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9DAA0" w14:textId="255EDE6D" w:rsidR="00F84B83" w:rsidRDefault="30741920" w:rsidP="01315E17">
      <w:pPr>
        <w:spacing w:line="360" w:lineRule="auto"/>
        <w:jc w:val="center"/>
        <w:rPr>
          <w:rFonts w:ascii="Arial" w:eastAsia="Arial" w:hAnsi="Arial" w:cs="Arial"/>
          <w:color w:val="000000" w:themeColor="text1"/>
          <w:sz w:val="32"/>
          <w:szCs w:val="32"/>
        </w:rPr>
      </w:pPr>
      <w:r>
        <w:rPr>
          <w:noProof/>
        </w:rPr>
        <w:drawing>
          <wp:inline distT="0" distB="0" distL="0" distR="0" wp14:anchorId="46160E2E" wp14:editId="28FF93AF">
            <wp:extent cx="2971800" cy="1485900"/>
            <wp:effectExtent l="0" t="0" r="0" b="0"/>
            <wp:docPr id="17300819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08190" name="Picture 173008190"/>
                    <pic:cNvPicPr/>
                  </pic:nvPicPr>
                  <pic:blipFill>
                    <a:blip r:embed="rId7">
                      <a:extLst>
                        <a:ext uri="{28A0092B-C50C-407E-A947-70E740481C1C}">
                          <a14:useLocalDpi xmlns:a14="http://schemas.microsoft.com/office/drawing/2010/main"/>
                        </a:ext>
                      </a:extLst>
                    </a:blip>
                    <a:stretch>
                      <a:fillRect/>
                    </a:stretch>
                  </pic:blipFill>
                  <pic:spPr>
                    <a:xfrm>
                      <a:off x="0" y="0"/>
                      <a:ext cx="2971800" cy="1485900"/>
                    </a:xfrm>
                    <a:prstGeom prst="rect">
                      <a:avLst/>
                    </a:prstGeom>
                  </pic:spPr>
                </pic:pic>
              </a:graphicData>
            </a:graphic>
          </wp:inline>
        </w:drawing>
      </w:r>
    </w:p>
    <w:p w14:paraId="1714A1C9" w14:textId="5AC4D95E" w:rsidR="00F84B83" w:rsidRDefault="30741920" w:rsidP="01315E17">
      <w:pPr>
        <w:spacing w:line="360" w:lineRule="auto"/>
        <w:jc w:val="center"/>
        <w:rPr>
          <w:rFonts w:ascii="Arial" w:eastAsia="Arial" w:hAnsi="Arial" w:cs="Arial"/>
          <w:color w:val="000000" w:themeColor="text1"/>
          <w:sz w:val="32"/>
          <w:szCs w:val="32"/>
        </w:rPr>
      </w:pPr>
      <w:r w:rsidRPr="01315E17">
        <w:rPr>
          <w:rFonts w:ascii="Arial" w:eastAsia="Arial" w:hAnsi="Arial" w:cs="Arial"/>
          <w:b/>
          <w:bCs/>
          <w:color w:val="000000" w:themeColor="text1"/>
          <w:sz w:val="32"/>
          <w:szCs w:val="32"/>
        </w:rPr>
        <w:t>Programme name: Master of Business Administration</w:t>
      </w:r>
    </w:p>
    <w:p w14:paraId="133DFEC4" w14:textId="081DE681" w:rsidR="00F84B83" w:rsidRDefault="30741920" w:rsidP="01315E17">
      <w:pPr>
        <w:spacing w:line="360" w:lineRule="auto"/>
        <w:jc w:val="center"/>
        <w:rPr>
          <w:rFonts w:ascii="Arial" w:eastAsia="Arial" w:hAnsi="Arial" w:cs="Arial"/>
          <w:color w:val="000000" w:themeColor="text1"/>
          <w:sz w:val="32"/>
          <w:szCs w:val="32"/>
        </w:rPr>
      </w:pPr>
      <w:r w:rsidRPr="01315E17">
        <w:rPr>
          <w:rFonts w:ascii="Arial" w:eastAsia="Arial" w:hAnsi="Arial" w:cs="Arial"/>
          <w:b/>
          <w:bCs/>
          <w:color w:val="000000" w:themeColor="text1"/>
          <w:sz w:val="32"/>
          <w:szCs w:val="32"/>
        </w:rPr>
        <w:t>Name and code of the module:</w:t>
      </w:r>
      <w:r w:rsidR="00A43DBE" w:rsidRPr="00A43DBE">
        <w:t xml:space="preserve"> </w:t>
      </w:r>
      <w:r w:rsidR="00A43DBE" w:rsidRPr="00A43DBE">
        <w:rPr>
          <w:rFonts w:ascii="Arial" w:eastAsia="Arial" w:hAnsi="Arial" w:cs="Arial"/>
          <w:b/>
          <w:bCs/>
          <w:color w:val="000000" w:themeColor="text1"/>
          <w:sz w:val="32"/>
          <w:szCs w:val="32"/>
        </w:rPr>
        <w:t>LCMB7024</w:t>
      </w:r>
      <w:r w:rsidR="00A43DBE">
        <w:rPr>
          <w:rFonts w:ascii="Arial" w:eastAsia="Arial" w:hAnsi="Arial" w:cs="Arial"/>
          <w:b/>
          <w:bCs/>
          <w:color w:val="000000" w:themeColor="text1"/>
          <w:sz w:val="32"/>
          <w:szCs w:val="32"/>
        </w:rPr>
        <w:t xml:space="preserve"> - Marketing Management</w:t>
      </w:r>
    </w:p>
    <w:p w14:paraId="6D980F20" w14:textId="1775DB43" w:rsidR="00F84B83" w:rsidRDefault="30741920" w:rsidP="01315E17">
      <w:pPr>
        <w:spacing w:line="360" w:lineRule="auto"/>
        <w:jc w:val="center"/>
        <w:rPr>
          <w:rFonts w:ascii="Arial" w:eastAsia="Arial" w:hAnsi="Arial" w:cs="Arial"/>
          <w:color w:val="000000" w:themeColor="text1"/>
          <w:sz w:val="32"/>
          <w:szCs w:val="32"/>
        </w:rPr>
      </w:pPr>
      <w:r w:rsidRPr="01315E17">
        <w:rPr>
          <w:rFonts w:ascii="Arial" w:eastAsia="Arial" w:hAnsi="Arial" w:cs="Arial"/>
          <w:b/>
          <w:bCs/>
          <w:color w:val="000000" w:themeColor="text1"/>
          <w:sz w:val="32"/>
          <w:szCs w:val="32"/>
        </w:rPr>
        <w:t xml:space="preserve">Title of submission: </w:t>
      </w:r>
      <w:r w:rsidR="00246D80">
        <w:rPr>
          <w:rFonts w:ascii="Arial" w:eastAsia="Arial" w:hAnsi="Arial" w:cs="Arial"/>
          <w:b/>
          <w:bCs/>
          <w:color w:val="000000" w:themeColor="text1"/>
          <w:sz w:val="32"/>
          <w:szCs w:val="32"/>
        </w:rPr>
        <w:t>Marketing Environment Analysis</w:t>
      </w:r>
    </w:p>
    <w:p w14:paraId="1B394E6A" w14:textId="484A3AA4" w:rsidR="00F84B83" w:rsidRDefault="30741920" w:rsidP="01315E17">
      <w:pPr>
        <w:spacing w:line="360" w:lineRule="auto"/>
        <w:jc w:val="center"/>
        <w:rPr>
          <w:rFonts w:ascii="Arial" w:eastAsia="Arial" w:hAnsi="Arial" w:cs="Arial"/>
          <w:color w:val="000000" w:themeColor="text1"/>
          <w:sz w:val="32"/>
          <w:szCs w:val="32"/>
        </w:rPr>
      </w:pPr>
      <w:r w:rsidRPr="01315E17">
        <w:rPr>
          <w:rFonts w:ascii="Arial" w:eastAsia="Arial" w:hAnsi="Arial" w:cs="Arial"/>
          <w:b/>
          <w:bCs/>
          <w:color w:val="000000" w:themeColor="text1"/>
          <w:sz w:val="32"/>
          <w:szCs w:val="32"/>
        </w:rPr>
        <w:t xml:space="preserve">Lecturer’s name: </w:t>
      </w:r>
      <w:r w:rsidR="00A43DBE" w:rsidRPr="00A43DBE">
        <w:rPr>
          <w:rFonts w:ascii="Arial" w:eastAsia="Arial" w:hAnsi="Arial" w:cs="Arial"/>
          <w:b/>
          <w:bCs/>
          <w:color w:val="000000" w:themeColor="text1"/>
          <w:sz w:val="32"/>
          <w:szCs w:val="32"/>
        </w:rPr>
        <w:t>Laila Maazouz</w:t>
      </w:r>
    </w:p>
    <w:p w14:paraId="30EEDC6B" w14:textId="4974B56F" w:rsidR="00F84B83" w:rsidRDefault="30741920" w:rsidP="01315E17">
      <w:pPr>
        <w:spacing w:line="360" w:lineRule="auto"/>
        <w:jc w:val="center"/>
        <w:rPr>
          <w:rFonts w:ascii="Arial" w:eastAsia="Arial" w:hAnsi="Arial" w:cs="Arial"/>
          <w:color w:val="000000" w:themeColor="text1"/>
          <w:sz w:val="32"/>
          <w:szCs w:val="32"/>
        </w:rPr>
      </w:pPr>
      <w:r w:rsidRPr="01315E17">
        <w:rPr>
          <w:rFonts w:ascii="Arial" w:eastAsia="Arial" w:hAnsi="Arial" w:cs="Arial"/>
          <w:b/>
          <w:bCs/>
          <w:color w:val="000000" w:themeColor="text1"/>
          <w:sz w:val="32"/>
          <w:szCs w:val="32"/>
        </w:rPr>
        <w:t>Name and ID of the student:</w:t>
      </w:r>
      <w:r w:rsidR="00A43DBE" w:rsidRPr="00A43DBE">
        <w:rPr>
          <w:rFonts w:ascii="Arial" w:eastAsia="Arial" w:hAnsi="Arial" w:cs="Arial"/>
          <w:b/>
          <w:bCs/>
          <w:color w:val="000000" w:themeColor="text1"/>
          <w:sz w:val="32"/>
          <w:szCs w:val="32"/>
        </w:rPr>
        <w:t xml:space="preserve"> </w:t>
      </w:r>
      <w:r w:rsidR="00A43DBE" w:rsidRPr="00E62D91">
        <w:rPr>
          <w:rFonts w:ascii="Arial" w:eastAsia="Arial" w:hAnsi="Arial" w:cs="Arial"/>
          <w:b/>
          <w:bCs/>
          <w:color w:val="000000" w:themeColor="text1"/>
          <w:sz w:val="32"/>
          <w:szCs w:val="32"/>
        </w:rPr>
        <w:t>Mohamed Habis</w:t>
      </w:r>
      <w:r w:rsidR="00A43DBE" w:rsidRPr="00E62D91">
        <w:rPr>
          <w:rFonts w:ascii="Arial" w:eastAsia="Arial" w:hAnsi="Arial" w:cs="Arial"/>
          <w:b/>
          <w:bCs/>
          <w:color w:val="000000" w:themeColor="text1"/>
          <w:sz w:val="32"/>
          <w:szCs w:val="32"/>
        </w:rPr>
        <w:br/>
      </w:r>
      <w:proofErr w:type="spellStart"/>
      <w:r w:rsidR="00A43DBE" w:rsidRPr="00E62D91">
        <w:rPr>
          <w:rFonts w:ascii="Arial" w:eastAsia="Arial" w:hAnsi="Arial" w:cs="Arial"/>
          <w:b/>
          <w:bCs/>
          <w:color w:val="000000" w:themeColor="text1"/>
          <w:sz w:val="32"/>
          <w:szCs w:val="32"/>
        </w:rPr>
        <w:t>Pakkir</w:t>
      </w:r>
      <w:proofErr w:type="spellEnd"/>
      <w:r w:rsidR="00A43DBE" w:rsidRPr="00E62D91">
        <w:rPr>
          <w:rFonts w:ascii="Arial" w:eastAsia="Arial" w:hAnsi="Arial" w:cs="Arial"/>
          <w:b/>
          <w:bCs/>
          <w:color w:val="000000" w:themeColor="text1"/>
          <w:sz w:val="32"/>
          <w:szCs w:val="32"/>
        </w:rPr>
        <w:t xml:space="preserve"> Mohamed</w:t>
      </w:r>
      <w:r w:rsidR="00A43DBE">
        <w:rPr>
          <w:rFonts w:ascii="Arial" w:eastAsia="Arial" w:hAnsi="Arial" w:cs="Arial"/>
          <w:b/>
          <w:bCs/>
          <w:color w:val="000000" w:themeColor="text1"/>
          <w:sz w:val="32"/>
          <w:szCs w:val="32"/>
        </w:rPr>
        <w:t xml:space="preserve"> (</w:t>
      </w:r>
      <w:r w:rsidR="00A43DBE" w:rsidRPr="00E62D91">
        <w:rPr>
          <w:rFonts w:ascii="Arial" w:eastAsia="Arial" w:hAnsi="Arial" w:cs="Arial"/>
          <w:b/>
          <w:bCs/>
          <w:color w:val="000000" w:themeColor="text1"/>
          <w:sz w:val="32"/>
          <w:szCs w:val="32"/>
        </w:rPr>
        <w:t>2539916</w:t>
      </w:r>
      <w:r w:rsidR="00A43DBE">
        <w:rPr>
          <w:rFonts w:ascii="Arial" w:eastAsia="Arial" w:hAnsi="Arial" w:cs="Arial"/>
          <w:b/>
          <w:bCs/>
          <w:color w:val="000000" w:themeColor="text1"/>
          <w:sz w:val="32"/>
          <w:szCs w:val="32"/>
        </w:rPr>
        <w:t>)</w:t>
      </w:r>
    </w:p>
    <w:p w14:paraId="06DBA901" w14:textId="69C11531" w:rsidR="00F84B83" w:rsidRDefault="30741920" w:rsidP="01315E17">
      <w:pPr>
        <w:spacing w:line="360" w:lineRule="auto"/>
        <w:jc w:val="center"/>
        <w:rPr>
          <w:rFonts w:ascii="Arial" w:eastAsia="Arial" w:hAnsi="Arial" w:cs="Arial"/>
          <w:color w:val="000000" w:themeColor="text1"/>
          <w:sz w:val="32"/>
          <w:szCs w:val="32"/>
        </w:rPr>
      </w:pPr>
      <w:r w:rsidRPr="01315E17">
        <w:rPr>
          <w:rFonts w:ascii="Arial" w:eastAsia="Arial" w:hAnsi="Arial" w:cs="Arial"/>
          <w:b/>
          <w:bCs/>
          <w:color w:val="000000" w:themeColor="text1"/>
          <w:sz w:val="32"/>
          <w:szCs w:val="32"/>
        </w:rPr>
        <w:t xml:space="preserve">Word count: </w:t>
      </w:r>
      <w:r w:rsidR="2882017A" w:rsidRPr="01315E17">
        <w:rPr>
          <w:rFonts w:ascii="Arial" w:eastAsia="Arial" w:hAnsi="Arial" w:cs="Arial"/>
          <w:b/>
          <w:bCs/>
          <w:color w:val="000000" w:themeColor="text1"/>
          <w:sz w:val="32"/>
          <w:szCs w:val="32"/>
        </w:rPr>
        <w:t>2733</w:t>
      </w:r>
    </w:p>
    <w:p w14:paraId="0986FF89" w14:textId="05899D37" w:rsidR="00F84B83" w:rsidRDefault="30741920" w:rsidP="01315E17">
      <w:pPr>
        <w:spacing w:line="360" w:lineRule="auto"/>
        <w:jc w:val="center"/>
        <w:rPr>
          <w:rFonts w:ascii="Arial" w:eastAsia="Arial" w:hAnsi="Arial" w:cs="Arial"/>
          <w:color w:val="000000" w:themeColor="text1"/>
          <w:sz w:val="32"/>
          <w:szCs w:val="32"/>
        </w:rPr>
      </w:pPr>
      <w:r w:rsidRPr="01315E17">
        <w:rPr>
          <w:rFonts w:ascii="Arial" w:eastAsia="Arial" w:hAnsi="Arial" w:cs="Arial"/>
          <w:b/>
          <w:bCs/>
          <w:color w:val="000000" w:themeColor="text1"/>
          <w:sz w:val="32"/>
          <w:szCs w:val="32"/>
        </w:rPr>
        <w:t xml:space="preserve">Submission date: </w:t>
      </w:r>
      <w:r w:rsidR="00A43DBE">
        <w:rPr>
          <w:rFonts w:ascii="Arial" w:eastAsia="Arial" w:hAnsi="Arial" w:cs="Arial"/>
          <w:b/>
          <w:bCs/>
          <w:color w:val="000000" w:themeColor="text1"/>
          <w:sz w:val="32"/>
          <w:szCs w:val="32"/>
        </w:rPr>
        <w:t>24-07-2026</w:t>
      </w:r>
    </w:p>
    <w:p w14:paraId="1736AC16" w14:textId="07843365" w:rsidR="00F84B83" w:rsidRDefault="00F84B83" w:rsidP="01315E17"/>
    <w:p w14:paraId="7018974C" w14:textId="31FA3742" w:rsidR="00F84B83" w:rsidRDefault="00000000" w:rsidP="01315E17">
      <w:pPr>
        <w:spacing w:line="360" w:lineRule="auto"/>
      </w:pPr>
      <w:r>
        <w:br w:type="page"/>
      </w:r>
    </w:p>
    <w:sdt>
      <w:sdtPr>
        <w:id w:val="1815180994"/>
        <w:docPartObj>
          <w:docPartGallery w:val="Table of Contents"/>
          <w:docPartUnique/>
        </w:docPartObj>
      </w:sdtPr>
      <w:sdtContent>
        <w:p w14:paraId="32FDE587" w14:textId="66E00958" w:rsidR="00F84B83" w:rsidRDefault="00000000" w:rsidP="01315E17">
          <w:pPr>
            <w:pStyle w:val="TOC1"/>
            <w:tabs>
              <w:tab w:val="right" w:leader="dot" w:pos="9360"/>
            </w:tabs>
            <w:rPr>
              <w:noProof/>
            </w:rPr>
          </w:pPr>
          <w:r>
            <w:fldChar w:fldCharType="begin"/>
          </w:r>
          <w:r>
            <w:instrText>TOC \o "1-9" \z \u \h</w:instrText>
          </w:r>
          <w:r>
            <w:fldChar w:fldCharType="separate"/>
          </w:r>
          <w:hyperlink w:anchor="_Toc833963295" w:history="1">
            <w:r w:rsidR="01315E17" w:rsidRPr="01315E17">
              <w:rPr>
                <w:rStyle w:val="Hyperlink"/>
                <w:noProof/>
              </w:rPr>
              <w:t>Executive summary</w:t>
            </w:r>
            <w:r>
              <w:rPr>
                <w:noProof/>
              </w:rPr>
              <w:tab/>
            </w:r>
            <w:r>
              <w:rPr>
                <w:noProof/>
              </w:rPr>
              <w:fldChar w:fldCharType="begin"/>
            </w:r>
            <w:r>
              <w:rPr>
                <w:noProof/>
              </w:rPr>
              <w:instrText>PAGEREF _Toc833963295 \h</w:instrText>
            </w:r>
            <w:r>
              <w:rPr>
                <w:noProof/>
              </w:rPr>
            </w:r>
            <w:r>
              <w:rPr>
                <w:noProof/>
              </w:rPr>
              <w:fldChar w:fldCharType="separate"/>
            </w:r>
            <w:r w:rsidR="00373F09">
              <w:rPr>
                <w:noProof/>
              </w:rPr>
              <w:t>3</w:t>
            </w:r>
            <w:r>
              <w:rPr>
                <w:noProof/>
              </w:rPr>
              <w:fldChar w:fldCharType="end"/>
            </w:r>
          </w:hyperlink>
        </w:p>
        <w:p w14:paraId="1982427B" w14:textId="38040486" w:rsidR="00F84B83" w:rsidRDefault="00000000" w:rsidP="01315E17">
          <w:pPr>
            <w:pStyle w:val="TOC1"/>
            <w:tabs>
              <w:tab w:val="right" w:leader="dot" w:pos="9360"/>
            </w:tabs>
            <w:rPr>
              <w:noProof/>
            </w:rPr>
          </w:pPr>
          <w:hyperlink w:anchor="_Toc2056977083" w:history="1">
            <w:r w:rsidR="01315E17" w:rsidRPr="01315E17">
              <w:rPr>
                <w:rStyle w:val="Hyperlink"/>
                <w:noProof/>
              </w:rPr>
              <w:t>1. Introduction:</w:t>
            </w:r>
            <w:r>
              <w:rPr>
                <w:noProof/>
              </w:rPr>
              <w:tab/>
            </w:r>
            <w:r>
              <w:rPr>
                <w:noProof/>
              </w:rPr>
              <w:fldChar w:fldCharType="begin"/>
            </w:r>
            <w:r>
              <w:rPr>
                <w:noProof/>
              </w:rPr>
              <w:instrText>PAGEREF _Toc2056977083 \h</w:instrText>
            </w:r>
            <w:r>
              <w:rPr>
                <w:noProof/>
              </w:rPr>
            </w:r>
            <w:r>
              <w:rPr>
                <w:noProof/>
              </w:rPr>
              <w:fldChar w:fldCharType="separate"/>
            </w:r>
            <w:r w:rsidR="00373F09">
              <w:rPr>
                <w:noProof/>
              </w:rPr>
              <w:t>4</w:t>
            </w:r>
            <w:r>
              <w:rPr>
                <w:noProof/>
              </w:rPr>
              <w:fldChar w:fldCharType="end"/>
            </w:r>
          </w:hyperlink>
        </w:p>
        <w:p w14:paraId="5148E262" w14:textId="447E3CE8" w:rsidR="00F84B83" w:rsidRDefault="00000000" w:rsidP="01315E17">
          <w:pPr>
            <w:pStyle w:val="TOC1"/>
            <w:tabs>
              <w:tab w:val="right" w:leader="dot" w:pos="9360"/>
            </w:tabs>
            <w:rPr>
              <w:noProof/>
            </w:rPr>
          </w:pPr>
          <w:hyperlink w:anchor="_Toc105961590" w:history="1">
            <w:r w:rsidR="01315E17" w:rsidRPr="01315E17">
              <w:rPr>
                <w:rStyle w:val="Hyperlink"/>
                <w:noProof/>
              </w:rPr>
              <w:t>2. Task 1: Marketing Environment Analysis:</w:t>
            </w:r>
            <w:r>
              <w:rPr>
                <w:noProof/>
              </w:rPr>
              <w:tab/>
            </w:r>
            <w:r>
              <w:rPr>
                <w:noProof/>
              </w:rPr>
              <w:fldChar w:fldCharType="begin"/>
            </w:r>
            <w:r>
              <w:rPr>
                <w:noProof/>
              </w:rPr>
              <w:instrText>PAGEREF _Toc105961590 \h</w:instrText>
            </w:r>
            <w:r>
              <w:rPr>
                <w:noProof/>
              </w:rPr>
            </w:r>
            <w:r>
              <w:rPr>
                <w:noProof/>
              </w:rPr>
              <w:fldChar w:fldCharType="separate"/>
            </w:r>
            <w:r w:rsidR="00373F09">
              <w:rPr>
                <w:noProof/>
              </w:rPr>
              <w:t>5</w:t>
            </w:r>
            <w:r>
              <w:rPr>
                <w:noProof/>
              </w:rPr>
              <w:fldChar w:fldCharType="end"/>
            </w:r>
          </w:hyperlink>
        </w:p>
        <w:p w14:paraId="5FDA0017" w14:textId="4A2F7973" w:rsidR="00F84B83" w:rsidRDefault="00000000" w:rsidP="01315E17">
          <w:pPr>
            <w:pStyle w:val="TOC2"/>
            <w:tabs>
              <w:tab w:val="right" w:leader="dot" w:pos="9360"/>
            </w:tabs>
            <w:rPr>
              <w:noProof/>
            </w:rPr>
          </w:pPr>
          <w:hyperlink w:anchor="_Toc794613146" w:history="1">
            <w:r w:rsidR="01315E17" w:rsidRPr="01315E17">
              <w:rPr>
                <w:rStyle w:val="Hyperlink"/>
                <w:noProof/>
              </w:rPr>
              <w:t>2.1 Company Overview:</w:t>
            </w:r>
            <w:r>
              <w:rPr>
                <w:noProof/>
              </w:rPr>
              <w:tab/>
            </w:r>
            <w:r>
              <w:rPr>
                <w:noProof/>
              </w:rPr>
              <w:fldChar w:fldCharType="begin"/>
            </w:r>
            <w:r>
              <w:rPr>
                <w:noProof/>
              </w:rPr>
              <w:instrText>PAGEREF _Toc794613146 \h</w:instrText>
            </w:r>
            <w:r>
              <w:rPr>
                <w:noProof/>
              </w:rPr>
            </w:r>
            <w:r>
              <w:rPr>
                <w:noProof/>
              </w:rPr>
              <w:fldChar w:fldCharType="separate"/>
            </w:r>
            <w:r w:rsidR="00373F09">
              <w:rPr>
                <w:noProof/>
              </w:rPr>
              <w:t>5</w:t>
            </w:r>
            <w:r>
              <w:rPr>
                <w:noProof/>
              </w:rPr>
              <w:fldChar w:fldCharType="end"/>
            </w:r>
          </w:hyperlink>
        </w:p>
        <w:p w14:paraId="557F07A5" w14:textId="01324566" w:rsidR="00F84B83" w:rsidRDefault="00000000" w:rsidP="01315E17">
          <w:pPr>
            <w:pStyle w:val="TOC2"/>
            <w:tabs>
              <w:tab w:val="right" w:leader="dot" w:pos="9360"/>
            </w:tabs>
            <w:rPr>
              <w:noProof/>
            </w:rPr>
          </w:pPr>
          <w:hyperlink w:anchor="_Toc105891808" w:history="1">
            <w:r w:rsidR="01315E17" w:rsidRPr="01315E17">
              <w:rPr>
                <w:rStyle w:val="Hyperlink"/>
                <w:noProof/>
              </w:rPr>
              <w:t>2.2 Marketing Environment Analysis:</w:t>
            </w:r>
            <w:r>
              <w:rPr>
                <w:noProof/>
              </w:rPr>
              <w:tab/>
            </w:r>
            <w:r>
              <w:rPr>
                <w:noProof/>
              </w:rPr>
              <w:fldChar w:fldCharType="begin"/>
            </w:r>
            <w:r>
              <w:rPr>
                <w:noProof/>
              </w:rPr>
              <w:instrText>PAGEREF _Toc105891808 \h</w:instrText>
            </w:r>
            <w:r>
              <w:rPr>
                <w:noProof/>
              </w:rPr>
            </w:r>
            <w:r>
              <w:rPr>
                <w:noProof/>
              </w:rPr>
              <w:fldChar w:fldCharType="separate"/>
            </w:r>
            <w:r w:rsidR="00373F09">
              <w:rPr>
                <w:noProof/>
              </w:rPr>
              <w:t>5</w:t>
            </w:r>
            <w:r>
              <w:rPr>
                <w:noProof/>
              </w:rPr>
              <w:fldChar w:fldCharType="end"/>
            </w:r>
          </w:hyperlink>
        </w:p>
        <w:p w14:paraId="08316062" w14:textId="241CEC15" w:rsidR="00F84B83" w:rsidRDefault="00000000" w:rsidP="01315E17">
          <w:pPr>
            <w:pStyle w:val="TOC3"/>
            <w:tabs>
              <w:tab w:val="right" w:leader="dot" w:pos="9360"/>
            </w:tabs>
            <w:rPr>
              <w:noProof/>
            </w:rPr>
          </w:pPr>
          <w:hyperlink w:anchor="_Toc1858525975" w:history="1">
            <w:r w:rsidR="01315E17" w:rsidRPr="01315E17">
              <w:rPr>
                <w:rStyle w:val="Hyperlink"/>
                <w:noProof/>
              </w:rPr>
              <w:t>2.2.1 Natural Environment:</w:t>
            </w:r>
            <w:r>
              <w:rPr>
                <w:noProof/>
              </w:rPr>
              <w:tab/>
            </w:r>
            <w:r>
              <w:rPr>
                <w:noProof/>
              </w:rPr>
              <w:fldChar w:fldCharType="begin"/>
            </w:r>
            <w:r>
              <w:rPr>
                <w:noProof/>
              </w:rPr>
              <w:instrText>PAGEREF _Toc1858525975 \h</w:instrText>
            </w:r>
            <w:r>
              <w:rPr>
                <w:noProof/>
              </w:rPr>
            </w:r>
            <w:r>
              <w:rPr>
                <w:noProof/>
              </w:rPr>
              <w:fldChar w:fldCharType="separate"/>
            </w:r>
            <w:r w:rsidR="00373F09">
              <w:rPr>
                <w:noProof/>
              </w:rPr>
              <w:t>5</w:t>
            </w:r>
            <w:r>
              <w:rPr>
                <w:noProof/>
              </w:rPr>
              <w:fldChar w:fldCharType="end"/>
            </w:r>
          </w:hyperlink>
        </w:p>
        <w:p w14:paraId="2DD02821" w14:textId="14A1E468" w:rsidR="00F84B83" w:rsidRDefault="00000000" w:rsidP="01315E17">
          <w:pPr>
            <w:pStyle w:val="TOC2"/>
            <w:tabs>
              <w:tab w:val="right" w:leader="dot" w:pos="9360"/>
            </w:tabs>
            <w:rPr>
              <w:noProof/>
            </w:rPr>
          </w:pPr>
          <w:hyperlink w:anchor="_Toc1646917121" w:history="1">
            <w:r w:rsidR="01315E17" w:rsidRPr="01315E17">
              <w:rPr>
                <w:rStyle w:val="Hyperlink"/>
                <w:noProof/>
              </w:rPr>
              <w:t>2.2.2 Political Environment :</w:t>
            </w:r>
            <w:r>
              <w:rPr>
                <w:noProof/>
              </w:rPr>
              <w:tab/>
            </w:r>
            <w:r>
              <w:rPr>
                <w:noProof/>
              </w:rPr>
              <w:fldChar w:fldCharType="begin"/>
            </w:r>
            <w:r>
              <w:rPr>
                <w:noProof/>
              </w:rPr>
              <w:instrText>PAGEREF _Toc1646917121 \h</w:instrText>
            </w:r>
            <w:r>
              <w:rPr>
                <w:noProof/>
              </w:rPr>
            </w:r>
            <w:r>
              <w:rPr>
                <w:noProof/>
              </w:rPr>
              <w:fldChar w:fldCharType="separate"/>
            </w:r>
            <w:r w:rsidR="00373F09">
              <w:rPr>
                <w:noProof/>
              </w:rPr>
              <w:t>8</w:t>
            </w:r>
            <w:r>
              <w:rPr>
                <w:noProof/>
              </w:rPr>
              <w:fldChar w:fldCharType="end"/>
            </w:r>
          </w:hyperlink>
        </w:p>
        <w:p w14:paraId="3C74013B" w14:textId="7AF27699" w:rsidR="00F84B83" w:rsidRDefault="00000000" w:rsidP="01315E17">
          <w:pPr>
            <w:pStyle w:val="TOC1"/>
            <w:tabs>
              <w:tab w:val="right" w:leader="dot" w:pos="9360"/>
            </w:tabs>
            <w:rPr>
              <w:noProof/>
            </w:rPr>
          </w:pPr>
          <w:hyperlink w:anchor="_Toc1071697376" w:history="1">
            <w:r w:rsidR="01315E17" w:rsidRPr="01315E17">
              <w:rPr>
                <w:rStyle w:val="Hyperlink"/>
                <w:noProof/>
              </w:rPr>
              <w:t>3. Task 2: Strategic Growth and Competitive Positioning:</w:t>
            </w:r>
            <w:r>
              <w:rPr>
                <w:noProof/>
              </w:rPr>
              <w:tab/>
            </w:r>
            <w:r>
              <w:rPr>
                <w:noProof/>
              </w:rPr>
              <w:fldChar w:fldCharType="begin"/>
            </w:r>
            <w:r>
              <w:rPr>
                <w:noProof/>
              </w:rPr>
              <w:instrText>PAGEREF _Toc1071697376 \h</w:instrText>
            </w:r>
            <w:r>
              <w:rPr>
                <w:noProof/>
              </w:rPr>
            </w:r>
            <w:r>
              <w:rPr>
                <w:noProof/>
              </w:rPr>
              <w:fldChar w:fldCharType="separate"/>
            </w:r>
            <w:r w:rsidR="00373F09">
              <w:rPr>
                <w:noProof/>
              </w:rPr>
              <w:t>10</w:t>
            </w:r>
            <w:r>
              <w:rPr>
                <w:noProof/>
              </w:rPr>
              <w:fldChar w:fldCharType="end"/>
            </w:r>
          </w:hyperlink>
        </w:p>
        <w:p w14:paraId="70430279" w14:textId="606E1974" w:rsidR="00F84B83" w:rsidRDefault="00000000" w:rsidP="01315E17">
          <w:pPr>
            <w:pStyle w:val="TOC2"/>
            <w:tabs>
              <w:tab w:val="right" w:leader="dot" w:pos="9360"/>
            </w:tabs>
            <w:rPr>
              <w:noProof/>
            </w:rPr>
          </w:pPr>
          <w:hyperlink w:anchor="_Toc1618695772" w:history="1">
            <w:r w:rsidR="01315E17" w:rsidRPr="01315E17">
              <w:rPr>
                <w:rStyle w:val="Hyperlink"/>
                <w:noProof/>
              </w:rPr>
              <w:t>3.1 Growth Strategy Using the Ansoff Matrix:</w:t>
            </w:r>
            <w:r>
              <w:rPr>
                <w:noProof/>
              </w:rPr>
              <w:tab/>
            </w:r>
            <w:r>
              <w:rPr>
                <w:noProof/>
              </w:rPr>
              <w:fldChar w:fldCharType="begin"/>
            </w:r>
            <w:r>
              <w:rPr>
                <w:noProof/>
              </w:rPr>
              <w:instrText>PAGEREF _Toc1618695772 \h</w:instrText>
            </w:r>
            <w:r>
              <w:rPr>
                <w:noProof/>
              </w:rPr>
            </w:r>
            <w:r>
              <w:rPr>
                <w:noProof/>
              </w:rPr>
              <w:fldChar w:fldCharType="separate"/>
            </w:r>
            <w:r w:rsidR="00373F09">
              <w:rPr>
                <w:noProof/>
              </w:rPr>
              <w:t>10</w:t>
            </w:r>
            <w:r>
              <w:rPr>
                <w:noProof/>
              </w:rPr>
              <w:fldChar w:fldCharType="end"/>
            </w:r>
          </w:hyperlink>
        </w:p>
        <w:p w14:paraId="4E1486EF" w14:textId="1CD5A54F" w:rsidR="00F84B83" w:rsidRDefault="00000000" w:rsidP="01315E17">
          <w:pPr>
            <w:pStyle w:val="TOC3"/>
            <w:tabs>
              <w:tab w:val="right" w:leader="dot" w:pos="9360"/>
            </w:tabs>
            <w:rPr>
              <w:noProof/>
            </w:rPr>
          </w:pPr>
          <w:hyperlink w:anchor="_Toc822828280" w:history="1">
            <w:r w:rsidR="01315E17" w:rsidRPr="01315E17">
              <w:rPr>
                <w:rStyle w:val="Hyperlink"/>
                <w:noProof/>
              </w:rPr>
              <w:t>3.1.1 Overview of the Ansoff Matrix:</w:t>
            </w:r>
            <w:r>
              <w:rPr>
                <w:noProof/>
              </w:rPr>
              <w:tab/>
            </w:r>
            <w:r>
              <w:rPr>
                <w:noProof/>
              </w:rPr>
              <w:fldChar w:fldCharType="begin"/>
            </w:r>
            <w:r>
              <w:rPr>
                <w:noProof/>
              </w:rPr>
              <w:instrText>PAGEREF _Toc822828280 \h</w:instrText>
            </w:r>
            <w:r>
              <w:rPr>
                <w:noProof/>
              </w:rPr>
            </w:r>
            <w:r>
              <w:rPr>
                <w:noProof/>
              </w:rPr>
              <w:fldChar w:fldCharType="separate"/>
            </w:r>
            <w:r w:rsidR="00373F09">
              <w:rPr>
                <w:noProof/>
              </w:rPr>
              <w:t>10</w:t>
            </w:r>
            <w:r>
              <w:rPr>
                <w:noProof/>
              </w:rPr>
              <w:fldChar w:fldCharType="end"/>
            </w:r>
          </w:hyperlink>
        </w:p>
        <w:p w14:paraId="1F1F103A" w14:textId="121D329B" w:rsidR="00F84B83" w:rsidRDefault="00000000" w:rsidP="01315E17">
          <w:pPr>
            <w:pStyle w:val="TOC3"/>
            <w:tabs>
              <w:tab w:val="right" w:leader="dot" w:pos="9360"/>
            </w:tabs>
            <w:rPr>
              <w:noProof/>
            </w:rPr>
          </w:pPr>
          <w:hyperlink w:anchor="_Toc921199502" w:history="1">
            <w:r w:rsidR="01315E17" w:rsidRPr="01315E17">
              <w:rPr>
                <w:rStyle w:val="Hyperlink"/>
                <w:noProof/>
              </w:rPr>
              <w:t>3.1.2 Product Development Strategy:</w:t>
            </w:r>
            <w:r>
              <w:rPr>
                <w:noProof/>
              </w:rPr>
              <w:tab/>
            </w:r>
            <w:r>
              <w:rPr>
                <w:noProof/>
              </w:rPr>
              <w:fldChar w:fldCharType="begin"/>
            </w:r>
            <w:r>
              <w:rPr>
                <w:noProof/>
              </w:rPr>
              <w:instrText>PAGEREF _Toc921199502 \h</w:instrText>
            </w:r>
            <w:r>
              <w:rPr>
                <w:noProof/>
              </w:rPr>
            </w:r>
            <w:r>
              <w:rPr>
                <w:noProof/>
              </w:rPr>
              <w:fldChar w:fldCharType="separate"/>
            </w:r>
            <w:r w:rsidR="00373F09">
              <w:rPr>
                <w:noProof/>
              </w:rPr>
              <w:t>10</w:t>
            </w:r>
            <w:r>
              <w:rPr>
                <w:noProof/>
              </w:rPr>
              <w:fldChar w:fldCharType="end"/>
            </w:r>
          </w:hyperlink>
        </w:p>
        <w:p w14:paraId="1BD89222" w14:textId="651EDEF1" w:rsidR="00F84B83" w:rsidRDefault="00000000" w:rsidP="01315E17">
          <w:pPr>
            <w:pStyle w:val="TOC3"/>
            <w:tabs>
              <w:tab w:val="right" w:leader="dot" w:pos="9360"/>
            </w:tabs>
            <w:rPr>
              <w:noProof/>
            </w:rPr>
          </w:pPr>
          <w:hyperlink w:anchor="_Toc936159681" w:history="1">
            <w:r w:rsidR="01315E17" w:rsidRPr="01315E17">
              <w:rPr>
                <w:rStyle w:val="Hyperlink"/>
                <w:noProof/>
              </w:rPr>
              <w:t>3.1.3 Critical Justification:</w:t>
            </w:r>
            <w:r>
              <w:rPr>
                <w:noProof/>
              </w:rPr>
              <w:tab/>
            </w:r>
            <w:r>
              <w:rPr>
                <w:noProof/>
              </w:rPr>
              <w:fldChar w:fldCharType="begin"/>
            </w:r>
            <w:r>
              <w:rPr>
                <w:noProof/>
              </w:rPr>
              <w:instrText>PAGEREF _Toc936159681 \h</w:instrText>
            </w:r>
            <w:r>
              <w:rPr>
                <w:noProof/>
              </w:rPr>
            </w:r>
            <w:r>
              <w:rPr>
                <w:noProof/>
              </w:rPr>
              <w:fldChar w:fldCharType="separate"/>
            </w:r>
            <w:r w:rsidR="00373F09">
              <w:rPr>
                <w:noProof/>
              </w:rPr>
              <w:t>11</w:t>
            </w:r>
            <w:r>
              <w:rPr>
                <w:noProof/>
              </w:rPr>
              <w:fldChar w:fldCharType="end"/>
            </w:r>
          </w:hyperlink>
        </w:p>
        <w:p w14:paraId="4A58A5D8" w14:textId="166920B0" w:rsidR="00F84B83" w:rsidRDefault="00000000" w:rsidP="01315E17">
          <w:pPr>
            <w:pStyle w:val="TOC2"/>
            <w:tabs>
              <w:tab w:val="right" w:leader="dot" w:pos="9360"/>
            </w:tabs>
            <w:rPr>
              <w:noProof/>
            </w:rPr>
          </w:pPr>
          <w:hyperlink w:anchor="_Toc1539030999" w:history="1">
            <w:r w:rsidR="01315E17" w:rsidRPr="01315E17">
              <w:rPr>
                <w:rStyle w:val="Hyperlink"/>
                <w:noProof/>
              </w:rPr>
              <w:t>3.2 Competitive Positioning Using Porter's Generic Strategies:</w:t>
            </w:r>
            <w:r>
              <w:rPr>
                <w:noProof/>
              </w:rPr>
              <w:tab/>
            </w:r>
            <w:r>
              <w:rPr>
                <w:noProof/>
              </w:rPr>
              <w:fldChar w:fldCharType="begin"/>
            </w:r>
            <w:r>
              <w:rPr>
                <w:noProof/>
              </w:rPr>
              <w:instrText>PAGEREF _Toc1539030999 \h</w:instrText>
            </w:r>
            <w:r>
              <w:rPr>
                <w:noProof/>
              </w:rPr>
            </w:r>
            <w:r>
              <w:rPr>
                <w:noProof/>
              </w:rPr>
              <w:fldChar w:fldCharType="separate"/>
            </w:r>
            <w:r w:rsidR="00373F09">
              <w:rPr>
                <w:noProof/>
              </w:rPr>
              <w:t>12</w:t>
            </w:r>
            <w:r>
              <w:rPr>
                <w:noProof/>
              </w:rPr>
              <w:fldChar w:fldCharType="end"/>
            </w:r>
          </w:hyperlink>
        </w:p>
        <w:p w14:paraId="3CD601EC" w14:textId="5992C375" w:rsidR="00F84B83" w:rsidRDefault="00000000" w:rsidP="01315E17">
          <w:pPr>
            <w:pStyle w:val="TOC3"/>
            <w:tabs>
              <w:tab w:val="right" w:leader="dot" w:pos="9360"/>
            </w:tabs>
            <w:rPr>
              <w:noProof/>
            </w:rPr>
          </w:pPr>
          <w:hyperlink w:anchor="_Toc844742995" w:history="1">
            <w:r w:rsidR="01315E17" w:rsidRPr="01315E17">
              <w:rPr>
                <w:rStyle w:val="Hyperlink"/>
                <w:noProof/>
              </w:rPr>
              <w:t>3.2.1 Overview of Porter's Generic Strategies:</w:t>
            </w:r>
            <w:r>
              <w:rPr>
                <w:noProof/>
              </w:rPr>
              <w:tab/>
            </w:r>
            <w:r>
              <w:rPr>
                <w:noProof/>
              </w:rPr>
              <w:fldChar w:fldCharType="begin"/>
            </w:r>
            <w:r>
              <w:rPr>
                <w:noProof/>
              </w:rPr>
              <w:instrText>PAGEREF _Toc844742995 \h</w:instrText>
            </w:r>
            <w:r>
              <w:rPr>
                <w:noProof/>
              </w:rPr>
            </w:r>
            <w:r>
              <w:rPr>
                <w:noProof/>
              </w:rPr>
              <w:fldChar w:fldCharType="separate"/>
            </w:r>
            <w:r w:rsidR="00373F09">
              <w:rPr>
                <w:noProof/>
              </w:rPr>
              <w:t>12</w:t>
            </w:r>
            <w:r>
              <w:rPr>
                <w:noProof/>
              </w:rPr>
              <w:fldChar w:fldCharType="end"/>
            </w:r>
          </w:hyperlink>
        </w:p>
        <w:p w14:paraId="5F4632FD" w14:textId="22187FB2" w:rsidR="00F84B83" w:rsidRDefault="00000000" w:rsidP="01315E17">
          <w:pPr>
            <w:pStyle w:val="TOC3"/>
            <w:tabs>
              <w:tab w:val="right" w:leader="dot" w:pos="9360"/>
            </w:tabs>
            <w:rPr>
              <w:noProof/>
            </w:rPr>
          </w:pPr>
          <w:hyperlink w:anchor="_Toc300927126" w:history="1">
            <w:r w:rsidR="01315E17" w:rsidRPr="01315E17">
              <w:rPr>
                <w:rStyle w:val="Hyperlink"/>
                <w:noProof/>
              </w:rPr>
              <w:t>3.2.2 Differentiation Strategy:</w:t>
            </w:r>
            <w:r>
              <w:rPr>
                <w:noProof/>
              </w:rPr>
              <w:tab/>
            </w:r>
            <w:r>
              <w:rPr>
                <w:noProof/>
              </w:rPr>
              <w:fldChar w:fldCharType="begin"/>
            </w:r>
            <w:r>
              <w:rPr>
                <w:noProof/>
              </w:rPr>
              <w:instrText>PAGEREF _Toc300927126 \h</w:instrText>
            </w:r>
            <w:r>
              <w:rPr>
                <w:noProof/>
              </w:rPr>
            </w:r>
            <w:r>
              <w:rPr>
                <w:noProof/>
              </w:rPr>
              <w:fldChar w:fldCharType="separate"/>
            </w:r>
            <w:r w:rsidR="00373F09">
              <w:rPr>
                <w:noProof/>
              </w:rPr>
              <w:t>12</w:t>
            </w:r>
            <w:r>
              <w:rPr>
                <w:noProof/>
              </w:rPr>
              <w:fldChar w:fldCharType="end"/>
            </w:r>
          </w:hyperlink>
        </w:p>
        <w:p w14:paraId="3AAFF0C5" w14:textId="6F8A2C1F" w:rsidR="00F84B83" w:rsidRDefault="00000000" w:rsidP="01315E17">
          <w:pPr>
            <w:pStyle w:val="TOC3"/>
            <w:tabs>
              <w:tab w:val="right" w:leader="dot" w:pos="9360"/>
            </w:tabs>
            <w:rPr>
              <w:noProof/>
            </w:rPr>
          </w:pPr>
          <w:hyperlink w:anchor="_Toc1055291909" w:history="1">
            <w:r w:rsidR="01315E17" w:rsidRPr="01315E17">
              <w:rPr>
                <w:rStyle w:val="Hyperlink"/>
                <w:noProof/>
              </w:rPr>
              <w:t>3.2.3 Critical Justification:</w:t>
            </w:r>
            <w:r>
              <w:rPr>
                <w:noProof/>
              </w:rPr>
              <w:tab/>
            </w:r>
            <w:r>
              <w:rPr>
                <w:noProof/>
              </w:rPr>
              <w:fldChar w:fldCharType="begin"/>
            </w:r>
            <w:r>
              <w:rPr>
                <w:noProof/>
              </w:rPr>
              <w:instrText>PAGEREF _Toc1055291909 \h</w:instrText>
            </w:r>
            <w:r>
              <w:rPr>
                <w:noProof/>
              </w:rPr>
            </w:r>
            <w:r>
              <w:rPr>
                <w:noProof/>
              </w:rPr>
              <w:fldChar w:fldCharType="separate"/>
            </w:r>
            <w:r w:rsidR="00373F09">
              <w:rPr>
                <w:noProof/>
              </w:rPr>
              <w:t>13</w:t>
            </w:r>
            <w:r>
              <w:rPr>
                <w:noProof/>
              </w:rPr>
              <w:fldChar w:fldCharType="end"/>
            </w:r>
          </w:hyperlink>
        </w:p>
        <w:p w14:paraId="21039F71" w14:textId="79546018" w:rsidR="00F84B83" w:rsidRDefault="00000000" w:rsidP="01315E17">
          <w:pPr>
            <w:pStyle w:val="TOC2"/>
            <w:tabs>
              <w:tab w:val="right" w:leader="dot" w:pos="9360"/>
            </w:tabs>
            <w:rPr>
              <w:noProof/>
            </w:rPr>
          </w:pPr>
          <w:hyperlink w:anchor="_Toc140228886" w:history="1">
            <w:r w:rsidR="01315E17" w:rsidRPr="01315E17">
              <w:rPr>
                <w:rStyle w:val="Hyperlink"/>
                <w:noProof/>
              </w:rPr>
              <w:t>3.3 Strategic Recommendations:</w:t>
            </w:r>
            <w:r>
              <w:rPr>
                <w:noProof/>
              </w:rPr>
              <w:tab/>
            </w:r>
            <w:r>
              <w:rPr>
                <w:noProof/>
              </w:rPr>
              <w:fldChar w:fldCharType="begin"/>
            </w:r>
            <w:r>
              <w:rPr>
                <w:noProof/>
              </w:rPr>
              <w:instrText>PAGEREF _Toc140228886 \h</w:instrText>
            </w:r>
            <w:r>
              <w:rPr>
                <w:noProof/>
              </w:rPr>
            </w:r>
            <w:r>
              <w:rPr>
                <w:noProof/>
              </w:rPr>
              <w:fldChar w:fldCharType="separate"/>
            </w:r>
            <w:r w:rsidR="00373F09">
              <w:rPr>
                <w:noProof/>
              </w:rPr>
              <w:t>13</w:t>
            </w:r>
            <w:r>
              <w:rPr>
                <w:noProof/>
              </w:rPr>
              <w:fldChar w:fldCharType="end"/>
            </w:r>
          </w:hyperlink>
        </w:p>
        <w:p w14:paraId="4E967225" w14:textId="14992AE7" w:rsidR="00F84B83" w:rsidRDefault="00000000" w:rsidP="01315E17">
          <w:pPr>
            <w:pStyle w:val="TOC1"/>
            <w:tabs>
              <w:tab w:val="right" w:leader="dot" w:pos="9360"/>
            </w:tabs>
            <w:rPr>
              <w:noProof/>
            </w:rPr>
          </w:pPr>
          <w:hyperlink w:anchor="_Toc344175783" w:history="1">
            <w:r w:rsidR="01315E17" w:rsidRPr="01315E17">
              <w:rPr>
                <w:rStyle w:val="Hyperlink"/>
                <w:noProof/>
              </w:rPr>
              <w:t>4. Task 3: Critical Reflection on AI Usage:</w:t>
            </w:r>
            <w:r>
              <w:rPr>
                <w:noProof/>
              </w:rPr>
              <w:tab/>
            </w:r>
            <w:r>
              <w:rPr>
                <w:noProof/>
              </w:rPr>
              <w:fldChar w:fldCharType="begin"/>
            </w:r>
            <w:r>
              <w:rPr>
                <w:noProof/>
              </w:rPr>
              <w:instrText>PAGEREF _Toc344175783 \h</w:instrText>
            </w:r>
            <w:r>
              <w:rPr>
                <w:noProof/>
              </w:rPr>
            </w:r>
            <w:r>
              <w:rPr>
                <w:noProof/>
              </w:rPr>
              <w:fldChar w:fldCharType="separate"/>
            </w:r>
            <w:r w:rsidR="00373F09">
              <w:rPr>
                <w:noProof/>
              </w:rPr>
              <w:t>14</w:t>
            </w:r>
            <w:r>
              <w:rPr>
                <w:noProof/>
              </w:rPr>
              <w:fldChar w:fldCharType="end"/>
            </w:r>
          </w:hyperlink>
        </w:p>
        <w:p w14:paraId="1995380D" w14:textId="16F282BD" w:rsidR="00F84B83" w:rsidRDefault="00000000" w:rsidP="01315E17">
          <w:pPr>
            <w:pStyle w:val="TOC2"/>
            <w:tabs>
              <w:tab w:val="right" w:leader="dot" w:pos="9360"/>
            </w:tabs>
            <w:rPr>
              <w:noProof/>
            </w:rPr>
          </w:pPr>
          <w:hyperlink w:anchor="_Toc1767893879" w:history="1">
            <w:r w:rsidR="01315E17" w:rsidRPr="01315E17">
              <w:rPr>
                <w:rStyle w:val="Hyperlink"/>
                <w:noProof/>
              </w:rPr>
              <w:t>4.1 AI Tool Disclosure:</w:t>
            </w:r>
            <w:r>
              <w:rPr>
                <w:noProof/>
              </w:rPr>
              <w:tab/>
            </w:r>
            <w:r>
              <w:rPr>
                <w:noProof/>
              </w:rPr>
              <w:fldChar w:fldCharType="begin"/>
            </w:r>
            <w:r>
              <w:rPr>
                <w:noProof/>
              </w:rPr>
              <w:instrText>PAGEREF _Toc1767893879 \h</w:instrText>
            </w:r>
            <w:r>
              <w:rPr>
                <w:noProof/>
              </w:rPr>
            </w:r>
            <w:r>
              <w:rPr>
                <w:noProof/>
              </w:rPr>
              <w:fldChar w:fldCharType="separate"/>
            </w:r>
            <w:r w:rsidR="00373F09">
              <w:rPr>
                <w:noProof/>
              </w:rPr>
              <w:t>14</w:t>
            </w:r>
            <w:r>
              <w:rPr>
                <w:noProof/>
              </w:rPr>
              <w:fldChar w:fldCharType="end"/>
            </w:r>
          </w:hyperlink>
        </w:p>
        <w:p w14:paraId="52D77D8F" w14:textId="1CE32905" w:rsidR="00F84B83" w:rsidRDefault="00000000" w:rsidP="01315E17">
          <w:pPr>
            <w:pStyle w:val="TOC2"/>
            <w:tabs>
              <w:tab w:val="right" w:leader="dot" w:pos="9360"/>
            </w:tabs>
            <w:rPr>
              <w:noProof/>
            </w:rPr>
          </w:pPr>
          <w:hyperlink w:anchor="_Toc1542991454" w:history="1">
            <w:r w:rsidR="01315E17" w:rsidRPr="01315E17">
              <w:rPr>
                <w:rStyle w:val="Hyperlink"/>
                <w:noProof/>
              </w:rPr>
              <w:t>4.2 Critical Evaluation of AI Output:</w:t>
            </w:r>
            <w:r>
              <w:rPr>
                <w:noProof/>
              </w:rPr>
              <w:tab/>
            </w:r>
            <w:r>
              <w:rPr>
                <w:noProof/>
              </w:rPr>
              <w:fldChar w:fldCharType="begin"/>
            </w:r>
            <w:r>
              <w:rPr>
                <w:noProof/>
              </w:rPr>
              <w:instrText>PAGEREF _Toc1542991454 \h</w:instrText>
            </w:r>
            <w:r>
              <w:rPr>
                <w:noProof/>
              </w:rPr>
            </w:r>
            <w:r>
              <w:rPr>
                <w:noProof/>
              </w:rPr>
              <w:fldChar w:fldCharType="separate"/>
            </w:r>
            <w:r w:rsidR="00373F09">
              <w:rPr>
                <w:noProof/>
              </w:rPr>
              <w:t>14</w:t>
            </w:r>
            <w:r>
              <w:rPr>
                <w:noProof/>
              </w:rPr>
              <w:fldChar w:fldCharType="end"/>
            </w:r>
          </w:hyperlink>
        </w:p>
        <w:p w14:paraId="62E1B1A3" w14:textId="67E98FB6" w:rsidR="00F84B83" w:rsidRDefault="00000000" w:rsidP="01315E17">
          <w:pPr>
            <w:pStyle w:val="TOC2"/>
            <w:tabs>
              <w:tab w:val="right" w:leader="dot" w:pos="9360"/>
            </w:tabs>
            <w:rPr>
              <w:noProof/>
            </w:rPr>
          </w:pPr>
          <w:hyperlink w:anchor="_Toc96215743" w:history="1">
            <w:r w:rsidR="01315E17" w:rsidRPr="01315E17">
              <w:rPr>
                <w:rStyle w:val="Hyperlink"/>
                <w:noProof/>
              </w:rPr>
              <w:t>4.3 My Contribution to the Assignment:</w:t>
            </w:r>
            <w:r>
              <w:rPr>
                <w:noProof/>
              </w:rPr>
              <w:tab/>
            </w:r>
            <w:r>
              <w:rPr>
                <w:noProof/>
              </w:rPr>
              <w:fldChar w:fldCharType="begin"/>
            </w:r>
            <w:r>
              <w:rPr>
                <w:noProof/>
              </w:rPr>
              <w:instrText>PAGEREF _Toc96215743 \h</w:instrText>
            </w:r>
            <w:r>
              <w:rPr>
                <w:noProof/>
              </w:rPr>
            </w:r>
            <w:r>
              <w:rPr>
                <w:noProof/>
              </w:rPr>
              <w:fldChar w:fldCharType="separate"/>
            </w:r>
            <w:r w:rsidR="00373F09">
              <w:rPr>
                <w:noProof/>
              </w:rPr>
              <w:t>15</w:t>
            </w:r>
            <w:r>
              <w:rPr>
                <w:noProof/>
              </w:rPr>
              <w:fldChar w:fldCharType="end"/>
            </w:r>
          </w:hyperlink>
        </w:p>
        <w:p w14:paraId="3955F382" w14:textId="25023F47" w:rsidR="00F84B83" w:rsidRDefault="00000000" w:rsidP="01315E17">
          <w:pPr>
            <w:pStyle w:val="TOC2"/>
            <w:tabs>
              <w:tab w:val="right" w:leader="dot" w:pos="9360"/>
            </w:tabs>
            <w:rPr>
              <w:noProof/>
            </w:rPr>
          </w:pPr>
          <w:hyperlink w:anchor="_Toc648314974" w:history="1">
            <w:r w:rsidR="01315E17" w:rsidRPr="01315E17">
              <w:rPr>
                <w:rStyle w:val="Hyperlink"/>
                <w:noProof/>
              </w:rPr>
              <w:t>4.4 Ethical Reflection on AI Use:</w:t>
            </w:r>
            <w:r>
              <w:rPr>
                <w:noProof/>
              </w:rPr>
              <w:tab/>
            </w:r>
            <w:r>
              <w:rPr>
                <w:noProof/>
              </w:rPr>
              <w:fldChar w:fldCharType="begin"/>
            </w:r>
            <w:r>
              <w:rPr>
                <w:noProof/>
              </w:rPr>
              <w:instrText>PAGEREF _Toc648314974 \h</w:instrText>
            </w:r>
            <w:r>
              <w:rPr>
                <w:noProof/>
              </w:rPr>
            </w:r>
            <w:r>
              <w:rPr>
                <w:noProof/>
              </w:rPr>
              <w:fldChar w:fldCharType="separate"/>
            </w:r>
            <w:r w:rsidR="00373F09">
              <w:rPr>
                <w:noProof/>
              </w:rPr>
              <w:t>15</w:t>
            </w:r>
            <w:r>
              <w:rPr>
                <w:noProof/>
              </w:rPr>
              <w:fldChar w:fldCharType="end"/>
            </w:r>
          </w:hyperlink>
        </w:p>
        <w:p w14:paraId="695BD95D" w14:textId="26CA00CD" w:rsidR="00F84B83" w:rsidRDefault="00000000" w:rsidP="01315E17">
          <w:pPr>
            <w:pStyle w:val="TOC1"/>
            <w:tabs>
              <w:tab w:val="right" w:leader="dot" w:pos="9360"/>
            </w:tabs>
            <w:rPr>
              <w:noProof/>
            </w:rPr>
          </w:pPr>
          <w:hyperlink w:anchor="_Toc441800942" w:history="1">
            <w:r w:rsidR="01315E17" w:rsidRPr="01315E17">
              <w:rPr>
                <w:rStyle w:val="Hyperlink"/>
                <w:noProof/>
              </w:rPr>
              <w:t>Conclusion</w:t>
            </w:r>
            <w:r>
              <w:rPr>
                <w:noProof/>
              </w:rPr>
              <w:tab/>
            </w:r>
            <w:r>
              <w:rPr>
                <w:noProof/>
              </w:rPr>
              <w:fldChar w:fldCharType="begin"/>
            </w:r>
            <w:r>
              <w:rPr>
                <w:noProof/>
              </w:rPr>
              <w:instrText>PAGEREF _Toc441800942 \h</w:instrText>
            </w:r>
            <w:r>
              <w:rPr>
                <w:noProof/>
              </w:rPr>
            </w:r>
            <w:r>
              <w:rPr>
                <w:noProof/>
              </w:rPr>
              <w:fldChar w:fldCharType="separate"/>
            </w:r>
            <w:r w:rsidR="00373F09">
              <w:rPr>
                <w:noProof/>
              </w:rPr>
              <w:t>16</w:t>
            </w:r>
            <w:r>
              <w:rPr>
                <w:noProof/>
              </w:rPr>
              <w:fldChar w:fldCharType="end"/>
            </w:r>
          </w:hyperlink>
        </w:p>
        <w:p w14:paraId="78E1C460" w14:textId="0769A1CA" w:rsidR="00F84B83" w:rsidRDefault="00000000" w:rsidP="01315E17">
          <w:pPr>
            <w:pStyle w:val="TOC1"/>
            <w:tabs>
              <w:tab w:val="right" w:leader="dot" w:pos="9360"/>
            </w:tabs>
            <w:rPr>
              <w:noProof/>
            </w:rPr>
          </w:pPr>
          <w:hyperlink w:anchor="_Toc30931134" w:history="1">
            <w:r w:rsidR="01315E17" w:rsidRPr="01315E17">
              <w:rPr>
                <w:rStyle w:val="Hyperlink"/>
                <w:noProof/>
              </w:rPr>
              <w:t>References:</w:t>
            </w:r>
            <w:r>
              <w:rPr>
                <w:noProof/>
              </w:rPr>
              <w:tab/>
            </w:r>
            <w:r>
              <w:rPr>
                <w:noProof/>
              </w:rPr>
              <w:fldChar w:fldCharType="begin"/>
            </w:r>
            <w:r>
              <w:rPr>
                <w:noProof/>
              </w:rPr>
              <w:instrText>PAGEREF _Toc30931134 \h</w:instrText>
            </w:r>
            <w:r>
              <w:rPr>
                <w:noProof/>
              </w:rPr>
            </w:r>
            <w:r>
              <w:rPr>
                <w:noProof/>
              </w:rPr>
              <w:fldChar w:fldCharType="separate"/>
            </w:r>
            <w:r w:rsidR="00373F09">
              <w:rPr>
                <w:noProof/>
              </w:rPr>
              <w:t>17</w:t>
            </w:r>
            <w:r>
              <w:rPr>
                <w:noProof/>
              </w:rPr>
              <w:fldChar w:fldCharType="end"/>
            </w:r>
          </w:hyperlink>
        </w:p>
        <w:p w14:paraId="3CFA76D6" w14:textId="004EE618" w:rsidR="00F84B83" w:rsidRDefault="00000000" w:rsidP="01315E17">
          <w:pPr>
            <w:spacing w:line="360" w:lineRule="auto"/>
          </w:pPr>
          <w:r>
            <w:fldChar w:fldCharType="end"/>
          </w:r>
        </w:p>
      </w:sdtContent>
    </w:sdt>
    <w:p w14:paraId="6F963973" w14:textId="29832392" w:rsidR="00F84B83" w:rsidRDefault="00F84B83" w:rsidP="01315E17">
      <w:pPr>
        <w:pStyle w:val="Heading1"/>
        <w:spacing w:line="360" w:lineRule="auto"/>
        <w:jc w:val="center"/>
        <w:rPr>
          <w:rFonts w:asciiTheme="minorHAnsi" w:eastAsiaTheme="minorEastAsia" w:hAnsiTheme="minorHAnsi" w:cstheme="minorBidi"/>
          <w:b/>
          <w:bCs/>
          <w:color w:val="auto"/>
          <w:sz w:val="24"/>
          <w:szCs w:val="24"/>
        </w:rPr>
      </w:pPr>
    </w:p>
    <w:p w14:paraId="06F7798F" w14:textId="771BB8ED" w:rsidR="00F84B83" w:rsidRDefault="00000000" w:rsidP="01315E17">
      <w:pPr>
        <w:spacing w:line="360" w:lineRule="auto"/>
      </w:pPr>
      <w:r>
        <w:br w:type="page"/>
      </w:r>
    </w:p>
    <w:p w14:paraId="633A0A78" w14:textId="52470978" w:rsidR="00F84B83" w:rsidRDefault="5D84D9C7" w:rsidP="01315E17">
      <w:pPr>
        <w:pStyle w:val="Heading1"/>
        <w:spacing w:line="360" w:lineRule="auto"/>
        <w:jc w:val="center"/>
        <w:rPr>
          <w:rFonts w:asciiTheme="minorHAnsi" w:eastAsiaTheme="minorEastAsia" w:hAnsiTheme="minorHAnsi" w:cstheme="minorBidi"/>
          <w:b/>
          <w:bCs/>
          <w:color w:val="auto"/>
          <w:sz w:val="24"/>
          <w:szCs w:val="24"/>
        </w:rPr>
      </w:pPr>
      <w:bookmarkStart w:id="0" w:name="_Toc833963295"/>
      <w:r w:rsidRPr="01315E17">
        <w:rPr>
          <w:rFonts w:asciiTheme="minorHAnsi" w:eastAsiaTheme="minorEastAsia" w:hAnsiTheme="minorHAnsi" w:cstheme="minorBidi"/>
          <w:b/>
          <w:bCs/>
          <w:color w:val="auto"/>
          <w:sz w:val="24"/>
          <w:szCs w:val="24"/>
        </w:rPr>
        <w:lastRenderedPageBreak/>
        <w:t>Executive summary</w:t>
      </w:r>
      <w:bookmarkEnd w:id="0"/>
    </w:p>
    <w:p w14:paraId="325DDAF2" w14:textId="6DB4211C" w:rsidR="00F84B83" w:rsidRDefault="5D84D9C7" w:rsidP="01315E17">
      <w:pPr>
        <w:spacing w:line="360" w:lineRule="auto"/>
        <w:jc w:val="both"/>
      </w:pPr>
      <w:r w:rsidRPr="01315E17">
        <w:rPr>
          <w:rFonts w:ascii="Arial" w:eastAsia="Arial" w:hAnsi="Arial" w:cs="Arial"/>
        </w:rPr>
        <w:t>This report evaluates Tata Steel's external marketing environment and strategic positioning to identify appropriate growth opportunities and long-term competitive strategies. The analysis begins by examining the Natural and Political dimensions of the marketing environment, highlighting how environmental sustainability, climate policies, and government regulations influence the company's strategic decisions. The findings demonstrate that Tata Steel has responded to these external pressures by investing in low-carbon steel production, renewable energy, resource efficiency, and sustainable manufacturing practices.</w:t>
      </w:r>
    </w:p>
    <w:p w14:paraId="6CC2A4F1" w14:textId="690AB45E" w:rsidR="00F84B83" w:rsidRDefault="5D84D9C7" w:rsidP="01315E17">
      <w:pPr>
        <w:spacing w:line="360" w:lineRule="auto"/>
        <w:jc w:val="both"/>
      </w:pPr>
      <w:r w:rsidRPr="01315E17">
        <w:rPr>
          <w:rFonts w:ascii="Arial" w:eastAsia="Arial" w:hAnsi="Arial" w:cs="Arial"/>
        </w:rPr>
        <w:t>After using the Ansoff Matrix to assess Tata Steel's growth strategy, the report comes to the conclusion that product development is the best strategic choice since it allows the company to launch cutting-edge and environmentally friendly steel products while utilising its current markets and clientele. Additionally, the company's competitive stance is evaluated using Porter's Generic Strategies, which indicate distinctiveness as Tata Steel's main source of competitive advantage through innovation, high-end products, and sustainability programs. Strategic proposals to improve long-term competitiveness through ongoing investments in digital technologies, R&amp;D, and green steel production are included in the report's conclusion. The proper use of AI-assisted writing tools to enhance research while upholding academic integrity, independent analysis, and evidence-based decision-making is finally covered in a critical perspective.</w:t>
      </w:r>
    </w:p>
    <w:p w14:paraId="030BA24D" w14:textId="665D46B1" w:rsidR="00F84B83" w:rsidRDefault="00000000" w:rsidP="01315E17">
      <w:pPr>
        <w:spacing w:line="360" w:lineRule="auto"/>
      </w:pPr>
      <w:r>
        <w:br w:type="page"/>
      </w:r>
    </w:p>
    <w:p w14:paraId="55918A2D" w14:textId="03F30E7F" w:rsidR="00F84B83" w:rsidRDefault="52E13518" w:rsidP="01315E17">
      <w:pPr>
        <w:pStyle w:val="Heading1"/>
        <w:spacing w:line="360" w:lineRule="auto"/>
        <w:jc w:val="both"/>
        <w:rPr>
          <w:rFonts w:asciiTheme="minorHAnsi" w:eastAsiaTheme="minorEastAsia" w:hAnsiTheme="minorHAnsi" w:cstheme="minorBidi"/>
          <w:b/>
          <w:bCs/>
          <w:color w:val="auto"/>
          <w:sz w:val="24"/>
          <w:szCs w:val="24"/>
        </w:rPr>
      </w:pPr>
      <w:bookmarkStart w:id="1" w:name="_Toc2056977083"/>
      <w:r w:rsidRPr="01315E17">
        <w:rPr>
          <w:rFonts w:asciiTheme="minorHAnsi" w:eastAsiaTheme="minorEastAsia" w:hAnsiTheme="minorHAnsi" w:cstheme="minorBidi"/>
          <w:b/>
          <w:bCs/>
          <w:color w:val="auto"/>
          <w:sz w:val="24"/>
          <w:szCs w:val="24"/>
        </w:rPr>
        <w:lastRenderedPageBreak/>
        <w:t>1. Introduction:</w:t>
      </w:r>
      <w:bookmarkEnd w:id="1"/>
    </w:p>
    <w:p w14:paraId="37CE11B7" w14:textId="56CD9A36" w:rsidR="00F84B83" w:rsidRDefault="2D1EDC34" w:rsidP="01315E17">
      <w:pPr>
        <w:spacing w:line="360" w:lineRule="auto"/>
        <w:jc w:val="both"/>
      </w:pPr>
      <w:r w:rsidRPr="01315E17">
        <w:rPr>
          <w:rFonts w:ascii="Arial" w:eastAsia="Arial" w:hAnsi="Arial" w:cs="Arial"/>
        </w:rPr>
        <w:t>Organisations function in dynamic business contexts where long-term organisational performance, competitive advantage, and strategic decision-making are constantly influenced by external influences. Businesses may recognise opportunities, address external difficulties, and create plans that promote sustainable growth by having a thorough understanding of the marketing environment. One of the top steel producers in the world, Tata Steel Limited, is the subject of this article. It is renowned for its dedication to sustainability, innovation, and global market presence.</w:t>
      </w:r>
    </w:p>
    <w:p w14:paraId="6E9226EB" w14:textId="52CE7BE3" w:rsidR="00F84B83" w:rsidRDefault="2D1EDC34" w:rsidP="01315E17">
      <w:pPr>
        <w:spacing w:before="240" w:after="240" w:line="360" w:lineRule="auto"/>
        <w:jc w:val="both"/>
      </w:pPr>
      <w:r w:rsidRPr="01315E17">
        <w:rPr>
          <w:rFonts w:ascii="Arial" w:eastAsia="Arial" w:hAnsi="Arial" w:cs="Arial"/>
        </w:rPr>
        <w:t>To investigate how environmental sustainability, climate policies, and governmental laws affect Tata Steel's marketing strategy and commercial operations, the report first examines the Natural and Political aspects of the marketing environment. After that, it uses the Ansoff Matrix to assess the company's strategic growth options and determine which growth strategy is best given to the organization's present market position. Additionally, Tata Steel's competitive positioning is evaluated using Porter's Generic Strategies, which also describe how differentiation helps the business generate value for customers and sustain a competitive edge. To improve future competitiveness through innovation and sustainable development, strategic recommendations are then put forth. The article concludes by offering a critical analysis of the appropriate use of AI-assisted writing tools during assignment preparation, emphasizing their advantages, drawbacks, and ethical issues in academic writing and research.</w:t>
      </w:r>
    </w:p>
    <w:p w14:paraId="7B074578" w14:textId="781C5200" w:rsidR="00F84B83" w:rsidRDefault="00F84B83" w:rsidP="01315E17">
      <w:pPr>
        <w:spacing w:line="360" w:lineRule="auto"/>
        <w:rPr>
          <w:rFonts w:ascii="Arial" w:eastAsia="Arial" w:hAnsi="Arial" w:cs="Arial"/>
        </w:rPr>
      </w:pPr>
    </w:p>
    <w:p w14:paraId="54E2D46A" w14:textId="5BED333A" w:rsidR="00F84B83" w:rsidRDefault="00000000" w:rsidP="01315E17">
      <w:pPr>
        <w:spacing w:line="360" w:lineRule="auto"/>
      </w:pPr>
      <w:r>
        <w:br w:type="page"/>
      </w:r>
    </w:p>
    <w:p w14:paraId="2C078E63" w14:textId="4F29281D" w:rsidR="00F84B83" w:rsidRDefault="5A2CA19F" w:rsidP="01315E17">
      <w:pPr>
        <w:pStyle w:val="Heading1"/>
        <w:spacing w:line="360" w:lineRule="auto"/>
        <w:rPr>
          <w:rFonts w:asciiTheme="minorHAnsi" w:eastAsiaTheme="minorEastAsia" w:hAnsiTheme="minorHAnsi" w:cstheme="minorBidi"/>
          <w:b/>
          <w:bCs/>
          <w:color w:val="auto"/>
          <w:sz w:val="24"/>
          <w:szCs w:val="24"/>
        </w:rPr>
      </w:pPr>
      <w:bookmarkStart w:id="2" w:name="_Toc105961590"/>
      <w:r w:rsidRPr="01315E17">
        <w:rPr>
          <w:rFonts w:asciiTheme="minorHAnsi" w:eastAsiaTheme="minorEastAsia" w:hAnsiTheme="minorHAnsi" w:cstheme="minorBidi"/>
          <w:b/>
          <w:bCs/>
          <w:color w:val="auto"/>
          <w:sz w:val="24"/>
          <w:szCs w:val="24"/>
        </w:rPr>
        <w:lastRenderedPageBreak/>
        <w:t xml:space="preserve">2. Task 1: Marketing Environment </w:t>
      </w:r>
      <w:r w:rsidR="69EC1993" w:rsidRPr="01315E17">
        <w:rPr>
          <w:rFonts w:asciiTheme="minorHAnsi" w:eastAsiaTheme="minorEastAsia" w:hAnsiTheme="minorHAnsi" w:cstheme="minorBidi"/>
          <w:b/>
          <w:bCs/>
          <w:color w:val="auto"/>
          <w:sz w:val="24"/>
          <w:szCs w:val="24"/>
        </w:rPr>
        <w:t>Analysis:</w:t>
      </w:r>
      <w:bookmarkEnd w:id="2"/>
    </w:p>
    <w:p w14:paraId="7F049A68" w14:textId="64C4076F" w:rsidR="62485A8B" w:rsidRDefault="5A2CA19F" w:rsidP="01315E17">
      <w:pPr>
        <w:pStyle w:val="Heading2"/>
        <w:spacing w:line="360" w:lineRule="auto"/>
        <w:rPr>
          <w:rFonts w:asciiTheme="minorHAnsi" w:eastAsiaTheme="minorEastAsia" w:hAnsiTheme="minorHAnsi" w:cstheme="minorBidi"/>
          <w:b/>
          <w:bCs/>
          <w:color w:val="auto"/>
          <w:sz w:val="24"/>
          <w:szCs w:val="24"/>
        </w:rPr>
      </w:pPr>
      <w:bookmarkStart w:id="3" w:name="_Toc794613146"/>
      <w:r w:rsidRPr="01315E17">
        <w:rPr>
          <w:rFonts w:asciiTheme="minorHAnsi" w:eastAsiaTheme="minorEastAsia" w:hAnsiTheme="minorHAnsi" w:cstheme="minorBidi"/>
          <w:b/>
          <w:bCs/>
          <w:color w:val="auto"/>
          <w:sz w:val="24"/>
          <w:szCs w:val="24"/>
        </w:rPr>
        <w:t xml:space="preserve">2.1 Company </w:t>
      </w:r>
      <w:r w:rsidR="0C9A0560" w:rsidRPr="01315E17">
        <w:rPr>
          <w:rFonts w:asciiTheme="minorHAnsi" w:eastAsiaTheme="minorEastAsia" w:hAnsiTheme="minorHAnsi" w:cstheme="minorBidi"/>
          <w:b/>
          <w:bCs/>
          <w:color w:val="auto"/>
          <w:sz w:val="24"/>
          <w:szCs w:val="24"/>
        </w:rPr>
        <w:t>Overview:</w:t>
      </w:r>
      <w:bookmarkEnd w:id="3"/>
    </w:p>
    <w:p w14:paraId="16D55DE0" w14:textId="22B47FB7" w:rsidR="5765EA0A" w:rsidRDefault="5765EA0A" w:rsidP="71717DA2">
      <w:pPr>
        <w:spacing w:line="360" w:lineRule="auto"/>
        <w:jc w:val="both"/>
      </w:pPr>
      <w:r w:rsidRPr="71717DA2">
        <w:t>One of the top steel producers in the world, Tata Steel Limited was established in 1907 and has its headquarters in Mumbai, India. It operates in Europe, Asia, and other foreign markets. For the automotive, construction, engineering, and infrastructure sectors, the company manufactures a broad variety of steel products</w:t>
      </w:r>
      <w:r w:rsidR="762E89EB" w:rsidRPr="71717DA2">
        <w:t>.</w:t>
      </w:r>
    </w:p>
    <w:p w14:paraId="1967F9DE" w14:textId="7C2FCD60" w:rsidR="762E89EB" w:rsidRDefault="762E89EB" w:rsidP="71717DA2">
      <w:pPr>
        <w:spacing w:line="360" w:lineRule="auto"/>
        <w:jc w:val="both"/>
      </w:pPr>
      <w:r w:rsidRPr="71717DA2">
        <w:t xml:space="preserve">Tata Steel has accelerated its shift to sustainable production by investing in low-carbon steel technologies, renewable energy, and circular economy practices in response to growing environmental constraints and changing stakeholder expectations </w:t>
      </w:r>
      <w:r w:rsidRPr="71717DA2">
        <w:rPr>
          <w:rFonts w:ascii="Arial" w:eastAsia="Arial" w:hAnsi="Arial" w:cs="Arial"/>
          <w:b/>
          <w:bCs/>
        </w:rPr>
        <w:t>(Tata Steel Ltd., 2025)</w:t>
      </w:r>
      <w:r w:rsidRPr="71717DA2">
        <w:t>. Because of these initiatives, the company is a good candidate to investigate how elements of the external marketing environment affect competitive positioning, sustainable growth, and strategic decision-making.</w:t>
      </w:r>
    </w:p>
    <w:p w14:paraId="359705C6" w14:textId="77777777" w:rsidR="00246D80" w:rsidRDefault="00246D80" w:rsidP="71717DA2">
      <w:pPr>
        <w:spacing w:line="360" w:lineRule="auto"/>
        <w:jc w:val="both"/>
      </w:pPr>
    </w:p>
    <w:p w14:paraId="54CBA7B2" w14:textId="23ED3A93" w:rsidR="00246D80" w:rsidRPr="00246D80" w:rsidRDefault="224D3DF5" w:rsidP="00246D80">
      <w:pPr>
        <w:pStyle w:val="Heading2"/>
        <w:spacing w:line="360" w:lineRule="auto"/>
        <w:jc w:val="both"/>
        <w:rPr>
          <w:rFonts w:asciiTheme="minorHAnsi" w:eastAsiaTheme="minorEastAsia" w:hAnsiTheme="minorHAnsi" w:cstheme="minorBidi"/>
          <w:b/>
          <w:bCs/>
          <w:color w:val="auto"/>
          <w:sz w:val="24"/>
          <w:szCs w:val="24"/>
        </w:rPr>
      </w:pPr>
      <w:bookmarkStart w:id="4" w:name="_Toc105891808"/>
      <w:r w:rsidRPr="01315E17">
        <w:rPr>
          <w:rFonts w:asciiTheme="minorHAnsi" w:eastAsiaTheme="minorEastAsia" w:hAnsiTheme="minorHAnsi" w:cstheme="minorBidi"/>
          <w:b/>
          <w:bCs/>
          <w:color w:val="auto"/>
          <w:sz w:val="24"/>
          <w:szCs w:val="24"/>
        </w:rPr>
        <w:t xml:space="preserve">2.2 Marketing Environment </w:t>
      </w:r>
      <w:r w:rsidR="318F0D1F" w:rsidRPr="01315E17">
        <w:rPr>
          <w:rFonts w:asciiTheme="minorHAnsi" w:eastAsiaTheme="minorEastAsia" w:hAnsiTheme="minorHAnsi" w:cstheme="minorBidi"/>
          <w:b/>
          <w:bCs/>
          <w:color w:val="auto"/>
          <w:sz w:val="24"/>
          <w:szCs w:val="24"/>
        </w:rPr>
        <w:t>Analysis:</w:t>
      </w:r>
      <w:bookmarkEnd w:id="4"/>
    </w:p>
    <w:p w14:paraId="22F01B47" w14:textId="6A53A4A6" w:rsidR="1DCE93C6" w:rsidRDefault="0A72EDBC" w:rsidP="71717DA2">
      <w:pPr>
        <w:pStyle w:val="Heading3"/>
        <w:spacing w:line="360" w:lineRule="auto"/>
        <w:jc w:val="both"/>
        <w:rPr>
          <w:rFonts w:eastAsiaTheme="minorEastAsia" w:cstheme="minorBidi"/>
          <w:b/>
          <w:bCs/>
          <w:color w:val="auto"/>
          <w:sz w:val="24"/>
          <w:szCs w:val="24"/>
        </w:rPr>
      </w:pPr>
      <w:bookmarkStart w:id="5" w:name="_Toc1858525975"/>
      <w:r w:rsidRPr="01315E17">
        <w:rPr>
          <w:rFonts w:eastAsiaTheme="minorEastAsia" w:cstheme="minorBidi"/>
          <w:b/>
          <w:bCs/>
          <w:color w:val="auto"/>
          <w:sz w:val="24"/>
          <w:szCs w:val="24"/>
        </w:rPr>
        <w:t xml:space="preserve">2.2.1 Natural </w:t>
      </w:r>
      <w:r w:rsidR="6692874D" w:rsidRPr="01315E17">
        <w:rPr>
          <w:rFonts w:eastAsiaTheme="minorEastAsia" w:cstheme="minorBidi"/>
          <w:b/>
          <w:bCs/>
          <w:color w:val="auto"/>
          <w:sz w:val="24"/>
          <w:szCs w:val="24"/>
        </w:rPr>
        <w:t>Environment:</w:t>
      </w:r>
      <w:bookmarkEnd w:id="5"/>
    </w:p>
    <w:p w14:paraId="678CEEBC" w14:textId="4A9EB943" w:rsidR="0C9AA30C" w:rsidRDefault="0C9AA30C" w:rsidP="71717DA2">
      <w:pPr>
        <w:spacing w:line="360" w:lineRule="auto"/>
        <w:jc w:val="both"/>
      </w:pPr>
      <w:r w:rsidRPr="71717DA2">
        <w:rPr>
          <w:rFonts w:ascii="Arial" w:eastAsia="Arial" w:hAnsi="Arial" w:cs="Arial"/>
          <w:b/>
          <w:bCs/>
        </w:rPr>
        <w:t xml:space="preserve">Kotler and Armstrong (2010) </w:t>
      </w:r>
      <w:r w:rsidRPr="71717DA2">
        <w:rPr>
          <w:rFonts w:ascii="Arial" w:eastAsia="Arial" w:hAnsi="Arial" w:cs="Arial"/>
        </w:rPr>
        <w:t>state that, a</w:t>
      </w:r>
      <w:r w:rsidR="5D059C24" w:rsidRPr="71717DA2">
        <w:t>n important part of the macro-marketing environment is the natural environment, which includes ecological elements like pollution, climate change, the availability of natural resources, and environmental sustainability, all of which have a big impact on organisational marketing strategy. Organisations are under increased pressure to implement sustainable production and marketing strategies due to growing global concerns about greenhouse gas emissions and resource depletion. Businesses are under increasing pressure from stakeholders, including governments, investors, and consumers, to reduce their environmental effect while providing long-term value</w:t>
      </w:r>
      <w:r w:rsidR="38DBCF82" w:rsidRPr="71717DA2">
        <w:t xml:space="preserve"> </w:t>
      </w:r>
      <w:r w:rsidR="38DBCF82" w:rsidRPr="71717DA2">
        <w:rPr>
          <w:rFonts w:ascii="Arial" w:eastAsia="Arial" w:hAnsi="Arial" w:cs="Arial"/>
          <w:b/>
          <w:bCs/>
        </w:rPr>
        <w:t xml:space="preserve">(Belz </w:t>
      </w:r>
      <w:r w:rsidR="38DBCF82" w:rsidRPr="71717DA2">
        <w:rPr>
          <w:rFonts w:ascii="Arial" w:eastAsia="Arial" w:hAnsi="Arial" w:cs="Arial"/>
          <w:b/>
          <w:bCs/>
          <w:i/>
          <w:iCs/>
        </w:rPr>
        <w:t>et al</w:t>
      </w:r>
      <w:r w:rsidR="38DBCF82" w:rsidRPr="71717DA2">
        <w:rPr>
          <w:rFonts w:ascii="Arial" w:eastAsia="Arial" w:hAnsi="Arial" w:cs="Arial"/>
          <w:b/>
          <w:bCs/>
        </w:rPr>
        <w:t>., 2025)</w:t>
      </w:r>
      <w:r w:rsidR="5D059C24" w:rsidRPr="71717DA2">
        <w:t>.</w:t>
      </w:r>
      <w:r w:rsidR="702971C2" w:rsidRPr="71717DA2">
        <w:rPr>
          <w:rFonts w:ascii="Arial" w:eastAsia="Arial" w:hAnsi="Arial" w:cs="Arial"/>
        </w:rPr>
        <w:t xml:space="preserve"> Therefore, in order to stay competitive and satisfy changing market demands, companies in carbon-intensive sectors, such as steel manufacture, must incorporate environmental sustainability into their strategic decision-making.</w:t>
      </w:r>
    </w:p>
    <w:p w14:paraId="4A689C27" w14:textId="721DDD9C" w:rsidR="71717DA2" w:rsidRDefault="71717DA2" w:rsidP="71717DA2">
      <w:pPr>
        <w:spacing w:line="360" w:lineRule="auto"/>
        <w:jc w:val="both"/>
        <w:rPr>
          <w:rFonts w:ascii="Arial" w:eastAsia="Arial" w:hAnsi="Arial" w:cs="Arial"/>
        </w:rPr>
      </w:pPr>
    </w:p>
    <w:p w14:paraId="6224A9DE" w14:textId="4310641D" w:rsidR="02A85201" w:rsidRDefault="02A85201" w:rsidP="71717DA2">
      <w:pPr>
        <w:spacing w:line="360" w:lineRule="auto"/>
        <w:jc w:val="both"/>
      </w:pPr>
      <w:r w:rsidRPr="71717DA2">
        <w:rPr>
          <w:rFonts w:ascii="Arial" w:eastAsia="Arial" w:hAnsi="Arial" w:cs="Arial"/>
        </w:rPr>
        <w:lastRenderedPageBreak/>
        <w:t>By making investments in low-carbon technologies and sustainable steel production, Tata Steel has acknowledged the environment as a major driver of its long-term economic change</w:t>
      </w:r>
      <w:r w:rsidRPr="71717DA2">
        <w:rPr>
          <w:rFonts w:ascii="Arial" w:eastAsia="Arial" w:hAnsi="Arial" w:cs="Arial"/>
          <w:b/>
          <w:bCs/>
        </w:rPr>
        <w:t xml:space="preserve"> (Tata Steel Ltd., 2025)</w:t>
      </w:r>
      <w:r w:rsidRPr="71717DA2">
        <w:rPr>
          <w:rFonts w:ascii="Arial" w:eastAsia="Arial" w:hAnsi="Arial" w:cs="Arial"/>
        </w:rPr>
        <w:t>.</w:t>
      </w:r>
      <w:r w:rsidR="6E3C1FEF" w:rsidRPr="71717DA2">
        <w:rPr>
          <w:rFonts w:ascii="Arial" w:eastAsia="Arial" w:hAnsi="Arial" w:cs="Arial"/>
        </w:rPr>
        <w:t xml:space="preserve"> </w:t>
      </w:r>
      <w:r w:rsidR="6E3C1FEF" w:rsidRPr="71717DA2">
        <w:rPr>
          <w:rFonts w:ascii="Arial" w:eastAsia="Arial" w:hAnsi="Arial" w:cs="Arial"/>
          <w:b/>
          <w:bCs/>
        </w:rPr>
        <w:t xml:space="preserve">Xu </w:t>
      </w:r>
      <w:r w:rsidR="6E3C1FEF" w:rsidRPr="71717DA2">
        <w:rPr>
          <w:rFonts w:ascii="Arial" w:eastAsia="Arial" w:hAnsi="Arial" w:cs="Arial"/>
          <w:b/>
          <w:bCs/>
          <w:i/>
          <w:iCs/>
        </w:rPr>
        <w:t>et al.</w:t>
      </w:r>
      <w:r w:rsidR="6E3C1FEF" w:rsidRPr="71717DA2">
        <w:rPr>
          <w:rFonts w:ascii="Arial" w:eastAsia="Arial" w:hAnsi="Arial" w:cs="Arial"/>
          <w:b/>
          <w:bCs/>
        </w:rPr>
        <w:t xml:space="preserve"> (2023)</w:t>
      </w:r>
      <w:r w:rsidR="6E3C1FEF" w:rsidRPr="71717DA2">
        <w:rPr>
          <w:rFonts w:ascii="Arial" w:eastAsia="Arial" w:hAnsi="Arial" w:cs="Arial"/>
        </w:rPr>
        <w:t xml:space="preserve"> argue that</w:t>
      </w:r>
      <w:r w:rsidR="45B45F11" w:rsidRPr="71717DA2">
        <w:rPr>
          <w:rFonts w:ascii="Arial" w:eastAsia="Arial" w:hAnsi="Arial" w:cs="Arial"/>
        </w:rPr>
        <w:t xml:space="preserve"> </w:t>
      </w:r>
      <w:r w:rsidR="10F96C5A" w:rsidRPr="71717DA2">
        <w:rPr>
          <w:rFonts w:ascii="Arial" w:eastAsia="Arial" w:hAnsi="Arial" w:cs="Arial"/>
        </w:rPr>
        <w:t>the</w:t>
      </w:r>
      <w:r w:rsidR="6E3C1FEF" w:rsidRPr="71717DA2">
        <w:rPr>
          <w:rFonts w:ascii="Arial" w:eastAsia="Arial" w:hAnsi="Arial" w:cs="Arial"/>
        </w:rPr>
        <w:t xml:space="preserve"> iron and steel sector is essential to the decarbonisation of the world's energy systems, necessitating the development of sophisticated climate mitigation techniques.</w:t>
      </w:r>
      <w:r w:rsidR="201DF8D3" w:rsidRPr="71717DA2">
        <w:rPr>
          <w:rFonts w:ascii="Arial" w:eastAsia="Arial" w:hAnsi="Arial" w:cs="Arial"/>
        </w:rPr>
        <w:t xml:space="preserve"> </w:t>
      </w:r>
      <w:r w:rsidR="201DF8D3" w:rsidRPr="71717DA2">
        <w:rPr>
          <w:rFonts w:ascii="Arial" w:eastAsia="Arial" w:hAnsi="Arial" w:cs="Arial"/>
          <w:b/>
          <w:bCs/>
        </w:rPr>
        <w:t>Jha and Arora (2013</w:t>
      </w:r>
      <w:r w:rsidR="201DF8D3" w:rsidRPr="71717DA2">
        <w:rPr>
          <w:rFonts w:ascii="Arial" w:eastAsia="Arial" w:hAnsi="Arial" w:cs="Arial"/>
        </w:rPr>
        <w:t>), argue that b</w:t>
      </w:r>
      <w:r w:rsidR="429A6176" w:rsidRPr="71717DA2">
        <w:rPr>
          <w:rFonts w:ascii="Arial" w:eastAsia="Arial" w:hAnsi="Arial" w:cs="Arial"/>
        </w:rPr>
        <w:t>usinesses can achieve the traditional competitive advantages of cost leadership and market differentiation through environmental and social responsibility by integrating long-term profitability with their efforts to protect the ecosystem in a synergistic way.</w:t>
      </w:r>
      <w:r w:rsidR="45C26480" w:rsidRPr="71717DA2">
        <w:rPr>
          <w:rFonts w:ascii="Arial" w:eastAsia="Arial" w:hAnsi="Arial" w:cs="Arial"/>
        </w:rPr>
        <w:t xml:space="preserve"> In response, Tata Steel has stepped up efforts to lower greenhouse gas emissions by boosting the use of renewable energy, growing steel recycling, enhancing resource efficiency, and creating low-carbon steel production technology </w:t>
      </w:r>
      <w:r w:rsidR="45C26480" w:rsidRPr="71717DA2">
        <w:rPr>
          <w:rFonts w:ascii="Arial" w:eastAsia="Arial" w:hAnsi="Arial" w:cs="Arial"/>
          <w:b/>
          <w:bCs/>
        </w:rPr>
        <w:t>(Tata Steel Ltd., 2025)</w:t>
      </w:r>
      <w:r w:rsidR="45C26480" w:rsidRPr="71717DA2">
        <w:rPr>
          <w:rFonts w:ascii="Arial" w:eastAsia="Arial" w:hAnsi="Arial" w:cs="Arial"/>
        </w:rPr>
        <w:t>.</w:t>
      </w:r>
      <w:r w:rsidR="19AB1805" w:rsidRPr="71717DA2">
        <w:rPr>
          <w:rFonts w:ascii="Arial" w:eastAsia="Arial" w:hAnsi="Arial" w:cs="Arial"/>
        </w:rPr>
        <w:t xml:space="preserve"> As a result, Tata Steel's competitive positioning is strengthened and the shift to a low-carbon economy is aided by incorporating environmental sustainability into its business strategy.</w:t>
      </w:r>
    </w:p>
    <w:p w14:paraId="3A0E67E9" w14:textId="2160E175" w:rsidR="290CB9F1" w:rsidRDefault="290CB9F1" w:rsidP="71717DA2">
      <w:pPr>
        <w:spacing w:line="360" w:lineRule="auto"/>
        <w:jc w:val="both"/>
      </w:pPr>
      <w:r w:rsidRPr="71717DA2">
        <w:rPr>
          <w:rFonts w:ascii="Arial" w:eastAsia="Arial" w:hAnsi="Arial" w:cs="Arial"/>
        </w:rPr>
        <w:t xml:space="preserve">For Tata Steel, the shift to environmentally friendly steel production offers both operational and strategic opportunities. </w:t>
      </w:r>
      <w:r w:rsidR="29E1E0FC" w:rsidRPr="71717DA2">
        <w:rPr>
          <w:rFonts w:ascii="Arial" w:eastAsia="Arial" w:hAnsi="Arial" w:cs="Arial"/>
          <w:b/>
          <w:bCs/>
        </w:rPr>
        <w:t xml:space="preserve">Peng </w:t>
      </w:r>
      <w:r w:rsidR="29E1E0FC" w:rsidRPr="71717DA2">
        <w:rPr>
          <w:rFonts w:ascii="Arial" w:eastAsia="Arial" w:hAnsi="Arial" w:cs="Arial"/>
          <w:b/>
          <w:bCs/>
          <w:i/>
          <w:iCs/>
        </w:rPr>
        <w:t>et al.</w:t>
      </w:r>
      <w:r w:rsidR="29E1E0FC" w:rsidRPr="71717DA2">
        <w:rPr>
          <w:rFonts w:ascii="Arial" w:eastAsia="Arial" w:hAnsi="Arial" w:cs="Arial"/>
          <w:b/>
          <w:bCs/>
        </w:rPr>
        <w:t xml:space="preserve"> (2025</w:t>
      </w:r>
      <w:r w:rsidR="29E1E0FC" w:rsidRPr="71717DA2">
        <w:rPr>
          <w:rFonts w:ascii="Arial" w:eastAsia="Arial" w:hAnsi="Arial" w:cs="Arial"/>
        </w:rPr>
        <w:t>) states that Low-carbon innovation in supply chains is mostly driven by consumer demand for low-carbon products. Decision-making processes are greatly impacted by market strategies, especially their sensitivity to consumer preferences.</w:t>
      </w:r>
      <w:r w:rsidR="44AB0857" w:rsidRPr="71717DA2">
        <w:rPr>
          <w:rFonts w:ascii="Arial" w:eastAsia="Arial" w:hAnsi="Arial" w:cs="Arial"/>
        </w:rPr>
        <w:t xml:space="preserve"> These environmental demands have spurred Tata Steel to invest more in sustainable manufacturing techniques and green steel technology, allowing the business to adapt to shifting consumer demands while preserving its competitive position in international steel markets </w:t>
      </w:r>
      <w:r w:rsidR="44AB0857" w:rsidRPr="71717DA2">
        <w:rPr>
          <w:rFonts w:ascii="Arial" w:eastAsia="Arial" w:hAnsi="Arial" w:cs="Arial"/>
          <w:b/>
          <w:bCs/>
        </w:rPr>
        <w:t>(Tata Steel Ltd., 2025)</w:t>
      </w:r>
      <w:r w:rsidR="44AB0857" w:rsidRPr="71717DA2">
        <w:rPr>
          <w:rFonts w:ascii="Arial" w:eastAsia="Arial" w:hAnsi="Arial" w:cs="Arial"/>
        </w:rPr>
        <w:t>. However, attaining these advantages necessitates significant investments in clean technology, infrastructure for renewable energy, and process innovation, which may raise production costs and pose short-term financial risks</w:t>
      </w:r>
      <w:r w:rsidR="5DC5B8C0" w:rsidRPr="71717DA2">
        <w:rPr>
          <w:rFonts w:ascii="Arial" w:eastAsia="Arial" w:hAnsi="Arial" w:cs="Arial"/>
        </w:rPr>
        <w:t xml:space="preserve"> </w:t>
      </w:r>
      <w:r w:rsidR="5DC5B8C0" w:rsidRPr="71717DA2">
        <w:rPr>
          <w:rFonts w:ascii="Arial" w:eastAsia="Arial" w:hAnsi="Arial" w:cs="Arial"/>
          <w:b/>
          <w:bCs/>
        </w:rPr>
        <w:t xml:space="preserve">Xu </w:t>
      </w:r>
      <w:r w:rsidR="5DC5B8C0" w:rsidRPr="71717DA2">
        <w:rPr>
          <w:rFonts w:ascii="Arial" w:eastAsia="Arial" w:hAnsi="Arial" w:cs="Arial"/>
          <w:b/>
          <w:bCs/>
          <w:i/>
          <w:iCs/>
        </w:rPr>
        <w:t>et al.</w:t>
      </w:r>
      <w:r w:rsidR="5DC5B8C0" w:rsidRPr="71717DA2">
        <w:rPr>
          <w:rFonts w:ascii="Arial" w:eastAsia="Arial" w:hAnsi="Arial" w:cs="Arial"/>
          <w:b/>
          <w:bCs/>
        </w:rPr>
        <w:t xml:space="preserve"> (2023</w:t>
      </w:r>
      <w:r w:rsidR="3C7A7743" w:rsidRPr="71717DA2">
        <w:rPr>
          <w:rFonts w:ascii="Arial" w:eastAsia="Arial" w:hAnsi="Arial" w:cs="Arial"/>
          <w:b/>
          <w:bCs/>
        </w:rPr>
        <w:t>). Kim</w:t>
      </w:r>
      <w:r w:rsidR="685BA8F5" w:rsidRPr="71717DA2">
        <w:rPr>
          <w:rFonts w:ascii="Arial" w:eastAsia="Arial" w:hAnsi="Arial" w:cs="Arial"/>
          <w:b/>
          <w:bCs/>
        </w:rPr>
        <w:t xml:space="preserve"> and Sohn (2022)</w:t>
      </w:r>
      <w:r w:rsidR="685BA8F5" w:rsidRPr="71717DA2">
        <w:rPr>
          <w:rFonts w:ascii="Arial" w:eastAsia="Arial" w:hAnsi="Arial" w:cs="Arial"/>
        </w:rPr>
        <w:t xml:space="preserve"> argue that </w:t>
      </w:r>
      <w:r w:rsidR="375D88C8" w:rsidRPr="71717DA2">
        <w:rPr>
          <w:rFonts w:ascii="Arial" w:eastAsia="Arial" w:hAnsi="Arial" w:cs="Arial"/>
        </w:rPr>
        <w:t>additionally</w:t>
      </w:r>
      <w:r w:rsidR="79219FC9" w:rsidRPr="71717DA2">
        <w:rPr>
          <w:rFonts w:ascii="Arial" w:eastAsia="Arial" w:hAnsi="Arial" w:cs="Arial"/>
        </w:rPr>
        <w:t xml:space="preserve">, the industry's rate of </w:t>
      </w:r>
      <w:r w:rsidR="251E9320" w:rsidRPr="71717DA2">
        <w:rPr>
          <w:rFonts w:ascii="Arial" w:eastAsia="Arial" w:hAnsi="Arial" w:cs="Arial"/>
        </w:rPr>
        <w:t>decarbonization</w:t>
      </w:r>
      <w:r w:rsidR="79219FC9" w:rsidRPr="71717DA2">
        <w:rPr>
          <w:rFonts w:ascii="Arial" w:eastAsia="Arial" w:hAnsi="Arial" w:cs="Arial"/>
        </w:rPr>
        <w:t xml:space="preserve"> may be impacted by doubts about the practical scalability of cutting-edge technologies like carbon capture and hydrogen-based steelmaking.</w:t>
      </w:r>
      <w:r w:rsidR="7EDD07C9" w:rsidRPr="71717DA2">
        <w:rPr>
          <w:rFonts w:ascii="Arial" w:eastAsia="Arial" w:hAnsi="Arial" w:cs="Arial"/>
        </w:rPr>
        <w:t xml:space="preserve"> To remain competitive over the long run, Tata Steel must thus strike a balance between economic performance and environmental sustainability.</w:t>
      </w:r>
    </w:p>
    <w:p w14:paraId="0F79C87B" w14:textId="20283FE8" w:rsidR="231F4F6B" w:rsidRDefault="231F4F6B" w:rsidP="71717DA2">
      <w:pPr>
        <w:spacing w:line="360" w:lineRule="auto"/>
        <w:jc w:val="both"/>
      </w:pPr>
      <w:r w:rsidRPr="71717DA2">
        <w:rPr>
          <w:rFonts w:ascii="Arial" w:eastAsia="Arial" w:hAnsi="Arial" w:cs="Arial"/>
        </w:rPr>
        <w:lastRenderedPageBreak/>
        <w:t xml:space="preserve">In general, Tata Steel's marketing and business initiatives are now greatly influenced by the natural environment. The company has been motivated to incorporate sustainability into its value offering and long-term strategic planning due to growing environmental awareness, changing consumer preferences for sustainable products, and rising expectations for corporate environmental </w:t>
      </w:r>
      <w:r w:rsidR="788010E7" w:rsidRPr="71717DA2">
        <w:rPr>
          <w:rFonts w:ascii="Arial" w:eastAsia="Arial" w:hAnsi="Arial" w:cs="Arial"/>
        </w:rPr>
        <w:t>responsibility. Tata</w:t>
      </w:r>
      <w:r w:rsidRPr="71717DA2">
        <w:rPr>
          <w:rFonts w:ascii="Arial" w:eastAsia="Arial" w:hAnsi="Arial" w:cs="Arial"/>
        </w:rPr>
        <w:t xml:space="preserve"> Steel's market competitiveness and corporate reputation are strengthened by these activities, but sustaining this advantage will depend on its capacity to consistently innovate and adapt to shifting environmental standards and legislative developments</w:t>
      </w:r>
      <w:r w:rsidRPr="71717DA2">
        <w:rPr>
          <w:rFonts w:ascii="Arial" w:eastAsia="Arial" w:hAnsi="Arial" w:cs="Arial"/>
          <w:b/>
          <w:bCs/>
        </w:rPr>
        <w:t xml:space="preserve"> (Tata Steel Ltd., 2025)</w:t>
      </w:r>
      <w:r w:rsidRPr="71717DA2">
        <w:rPr>
          <w:rFonts w:ascii="Arial" w:eastAsia="Arial" w:hAnsi="Arial" w:cs="Arial"/>
        </w:rPr>
        <w:t>.</w:t>
      </w:r>
      <w:r w:rsidR="45D7DCFE" w:rsidRPr="71717DA2">
        <w:rPr>
          <w:rFonts w:ascii="Arial" w:eastAsia="Arial" w:hAnsi="Arial" w:cs="Arial"/>
        </w:rPr>
        <w:t xml:space="preserve"> As a result, the natural environment's impact goes beyond operational sustainability to become a crucial factor in determining marketing success and long-term company resilience.</w:t>
      </w:r>
    </w:p>
    <w:p w14:paraId="094E5F52" w14:textId="162CEDD5" w:rsidR="3E209EB9" w:rsidRDefault="517D411D" w:rsidP="71717DA2">
      <w:pPr>
        <w:spacing w:line="360" w:lineRule="auto"/>
        <w:jc w:val="center"/>
        <w:rPr>
          <w:rFonts w:ascii="Arial" w:eastAsia="Arial" w:hAnsi="Arial" w:cs="Arial"/>
          <w:b/>
          <w:bCs/>
          <w:i/>
          <w:iCs/>
        </w:rPr>
      </w:pPr>
      <w:r>
        <w:rPr>
          <w:noProof/>
        </w:rPr>
        <w:drawing>
          <wp:inline distT="0" distB="0" distL="0" distR="0" wp14:anchorId="03EB0771" wp14:editId="2433569D">
            <wp:extent cx="5943600" cy="3962400"/>
            <wp:effectExtent l="0" t="0" r="0" b="0"/>
            <wp:docPr id="15548040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804008" name="Picture 1554804008"/>
                    <pic:cNvPicPr/>
                  </pic:nvPicPr>
                  <pic:blipFill>
                    <a:blip r:embed="rId8">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r w:rsidR="3FBE9555" w:rsidRPr="01315E17">
        <w:rPr>
          <w:rFonts w:ascii="Arial" w:eastAsia="Arial" w:hAnsi="Arial" w:cs="Arial"/>
          <w:b/>
          <w:bCs/>
          <w:i/>
          <w:iCs/>
        </w:rPr>
        <w:t xml:space="preserve">Fig.1., Tata steel’s </w:t>
      </w:r>
      <w:proofErr w:type="spellStart"/>
      <w:r w:rsidR="3FBE9555" w:rsidRPr="01315E17">
        <w:rPr>
          <w:rFonts w:ascii="Arial" w:eastAsia="Arial" w:hAnsi="Arial" w:cs="Arial"/>
          <w:b/>
          <w:bCs/>
          <w:i/>
          <w:iCs/>
        </w:rPr>
        <w:t>decarbonisation</w:t>
      </w:r>
      <w:proofErr w:type="spellEnd"/>
      <w:r w:rsidR="3FBE9555" w:rsidRPr="01315E17">
        <w:rPr>
          <w:rFonts w:ascii="Arial" w:eastAsia="Arial" w:hAnsi="Arial" w:cs="Arial"/>
          <w:b/>
          <w:bCs/>
          <w:i/>
          <w:iCs/>
        </w:rPr>
        <w:t xml:space="preserve"> </w:t>
      </w:r>
      <w:r w:rsidR="7BA7E84E" w:rsidRPr="01315E17">
        <w:rPr>
          <w:rFonts w:ascii="Arial" w:eastAsia="Arial" w:hAnsi="Arial" w:cs="Arial"/>
          <w:b/>
          <w:bCs/>
          <w:i/>
          <w:iCs/>
        </w:rPr>
        <w:t>initiatives.</w:t>
      </w:r>
    </w:p>
    <w:p w14:paraId="0F246E02" w14:textId="77777777" w:rsidR="00246D80" w:rsidRDefault="00246D80" w:rsidP="71717DA2">
      <w:pPr>
        <w:spacing w:line="360" w:lineRule="auto"/>
        <w:jc w:val="center"/>
        <w:rPr>
          <w:rFonts w:ascii="Arial" w:eastAsia="Arial" w:hAnsi="Arial" w:cs="Arial"/>
          <w:b/>
          <w:bCs/>
          <w:i/>
          <w:iCs/>
        </w:rPr>
      </w:pPr>
    </w:p>
    <w:p w14:paraId="450A9D6F" w14:textId="77777777" w:rsidR="00246D80" w:rsidRDefault="00246D80" w:rsidP="71717DA2">
      <w:pPr>
        <w:spacing w:line="360" w:lineRule="auto"/>
        <w:jc w:val="center"/>
        <w:rPr>
          <w:rFonts w:ascii="Arial" w:eastAsia="Arial" w:hAnsi="Arial" w:cs="Arial"/>
          <w:b/>
          <w:bCs/>
          <w:i/>
          <w:iCs/>
        </w:rPr>
      </w:pPr>
    </w:p>
    <w:p w14:paraId="60DDBDF8" w14:textId="77777777" w:rsidR="00246D80" w:rsidRDefault="00246D80" w:rsidP="71717DA2">
      <w:pPr>
        <w:spacing w:line="360" w:lineRule="auto"/>
        <w:jc w:val="center"/>
      </w:pPr>
    </w:p>
    <w:p w14:paraId="38806A96" w14:textId="43EDCE18" w:rsidR="319EC4C1" w:rsidRDefault="7BA7E84E" w:rsidP="01315E17">
      <w:pPr>
        <w:pStyle w:val="Heading2"/>
        <w:spacing w:line="360" w:lineRule="auto"/>
        <w:jc w:val="both"/>
        <w:rPr>
          <w:rFonts w:asciiTheme="minorHAnsi" w:eastAsiaTheme="minorEastAsia" w:hAnsiTheme="minorHAnsi" w:cstheme="minorBidi"/>
          <w:b/>
          <w:bCs/>
          <w:color w:val="auto"/>
          <w:sz w:val="24"/>
          <w:szCs w:val="24"/>
        </w:rPr>
      </w:pPr>
      <w:bookmarkStart w:id="6" w:name="_Toc1646917121"/>
      <w:r w:rsidRPr="01315E17">
        <w:rPr>
          <w:rFonts w:asciiTheme="minorHAnsi" w:eastAsiaTheme="minorEastAsia" w:hAnsiTheme="minorHAnsi" w:cstheme="minorBidi"/>
          <w:b/>
          <w:bCs/>
          <w:color w:val="auto"/>
          <w:sz w:val="24"/>
          <w:szCs w:val="24"/>
        </w:rPr>
        <w:t xml:space="preserve">2.2.2 Political </w:t>
      </w:r>
      <w:bookmarkEnd w:id="6"/>
      <w:r w:rsidR="00A43DBE" w:rsidRPr="01315E17">
        <w:rPr>
          <w:rFonts w:asciiTheme="minorHAnsi" w:eastAsiaTheme="minorEastAsia" w:hAnsiTheme="minorHAnsi" w:cstheme="minorBidi"/>
          <w:b/>
          <w:bCs/>
          <w:color w:val="auto"/>
          <w:sz w:val="24"/>
          <w:szCs w:val="24"/>
        </w:rPr>
        <w:t>Environment:</w:t>
      </w:r>
    </w:p>
    <w:p w14:paraId="3A7E16F3" w14:textId="003718A0" w:rsidR="71717DA2" w:rsidRDefault="376FD66C" w:rsidP="01315E17">
      <w:pPr>
        <w:spacing w:line="360" w:lineRule="auto"/>
        <w:jc w:val="both"/>
      </w:pPr>
      <w:r w:rsidRPr="01315E17">
        <w:rPr>
          <w:rFonts w:ascii="Arial" w:eastAsia="Arial" w:hAnsi="Arial" w:cs="Arial"/>
          <w:b/>
          <w:bCs/>
        </w:rPr>
        <w:t>Lees-Marshment (2014)</w:t>
      </w:r>
      <w:r w:rsidRPr="01315E17">
        <w:rPr>
          <w:rFonts w:ascii="Arial" w:eastAsia="Arial" w:hAnsi="Arial" w:cs="Arial"/>
        </w:rPr>
        <w:t xml:space="preserve"> argues that political marketing is a ubiquitous force in our lives; it affects the ideas that politicians pursue, the chances they provide for people to participate in campaigns and party organisations, the personnel they hire, their communication style, and how they lead and rule.</w:t>
      </w:r>
      <w:r w:rsidR="3AA283E8" w:rsidRPr="01315E17">
        <w:rPr>
          <w:rFonts w:ascii="Arial" w:eastAsia="Arial" w:hAnsi="Arial" w:cs="Arial"/>
        </w:rPr>
        <w:t xml:space="preserve"> </w:t>
      </w:r>
      <w:r w:rsidR="68993C5F" w:rsidRPr="01315E17">
        <w:rPr>
          <w:rFonts w:ascii="Arial" w:eastAsia="Arial" w:hAnsi="Arial" w:cs="Arial"/>
        </w:rPr>
        <w:t xml:space="preserve">By influencing investment choices, international trade, environmental laws, and industrial progress, political issues have a big impact on how businesses operate. To lower carbon emissions and encourage greener industrial methods, governments have recently enacted more stringent climate policies and sustainability rules. </w:t>
      </w:r>
      <w:r w:rsidR="3AA283E8" w:rsidRPr="01315E17">
        <w:rPr>
          <w:rFonts w:ascii="Arial" w:eastAsia="Arial" w:hAnsi="Arial" w:cs="Arial"/>
        </w:rPr>
        <w:t>Therefore, it appears that a key factor in determining industry acceptance of market environmentalism has been the compatibility of tools and policy procedures with existing practice</w:t>
      </w:r>
      <w:r w:rsidR="1DF18A0C" w:rsidRPr="01315E17">
        <w:rPr>
          <w:rFonts w:ascii="Arial" w:eastAsia="Arial" w:hAnsi="Arial" w:cs="Arial"/>
        </w:rPr>
        <w:t xml:space="preserve"> </w:t>
      </w:r>
      <w:r w:rsidR="1DF18A0C" w:rsidRPr="01315E17">
        <w:rPr>
          <w:rFonts w:ascii="Arial" w:eastAsia="Arial" w:hAnsi="Arial" w:cs="Arial"/>
          <w:b/>
          <w:bCs/>
        </w:rPr>
        <w:t>(Bailey, 2007)</w:t>
      </w:r>
      <w:r w:rsidR="3AA283E8" w:rsidRPr="01315E17">
        <w:rPr>
          <w:rFonts w:ascii="Arial" w:eastAsia="Arial" w:hAnsi="Arial" w:cs="Arial"/>
        </w:rPr>
        <w:t>.</w:t>
      </w:r>
    </w:p>
    <w:p w14:paraId="7E006416" w14:textId="39A5BFB5" w:rsidR="71717DA2" w:rsidRDefault="425AFD29" w:rsidP="71717DA2">
      <w:pPr>
        <w:spacing w:line="360" w:lineRule="auto"/>
        <w:jc w:val="both"/>
      </w:pPr>
      <w:r w:rsidRPr="01315E17">
        <w:rPr>
          <w:rFonts w:ascii="Arial" w:eastAsia="Arial" w:hAnsi="Arial" w:cs="Arial"/>
        </w:rPr>
        <w:t xml:space="preserve">Tata Steel's shift to sustainable steel production and global market competitiveness has been greatly impacted by government policy. </w:t>
      </w:r>
      <w:r w:rsidR="3BEB45EB" w:rsidRPr="01315E17">
        <w:rPr>
          <w:rFonts w:ascii="Arial" w:eastAsia="Arial" w:hAnsi="Arial" w:cs="Arial"/>
          <w:b/>
          <w:bCs/>
        </w:rPr>
        <w:t>Prechel (1990)</w:t>
      </w:r>
      <w:r w:rsidR="3BEB45EB" w:rsidRPr="01315E17">
        <w:rPr>
          <w:rFonts w:ascii="Arial" w:eastAsia="Arial" w:hAnsi="Arial" w:cs="Arial"/>
        </w:rPr>
        <w:t xml:space="preserve"> argues that b</w:t>
      </w:r>
      <w:r w:rsidRPr="01315E17">
        <w:rPr>
          <w:rFonts w:ascii="Arial" w:eastAsia="Arial" w:hAnsi="Arial" w:cs="Arial"/>
        </w:rPr>
        <w:t>ecause unutilised capacity hampered accumulation on the downside of the business cycle, the steel sector opposed growth during times of economic upswing. In other words, the steel industry had its own particular interests and political and economic needs due to its unique position in the social process of production.</w:t>
      </w:r>
      <w:r w:rsidR="07A620C5" w:rsidRPr="01315E17">
        <w:rPr>
          <w:rFonts w:ascii="Arial" w:eastAsia="Arial" w:hAnsi="Arial" w:cs="Arial"/>
        </w:rPr>
        <w:t xml:space="preserve"> Initiatives like the National Steel Policy and the National Green Hydrogen Mission in India promote investment in greener production methods and aid in the decarbonisation of the steel industry </w:t>
      </w:r>
      <w:r w:rsidR="07A620C5" w:rsidRPr="01315E17">
        <w:rPr>
          <w:rFonts w:ascii="Arial" w:eastAsia="Arial" w:hAnsi="Arial" w:cs="Arial"/>
          <w:b/>
          <w:bCs/>
        </w:rPr>
        <w:t>(Government of India, 2023)</w:t>
      </w:r>
      <w:r w:rsidR="07A620C5" w:rsidRPr="01315E17">
        <w:rPr>
          <w:rFonts w:ascii="Arial" w:eastAsia="Arial" w:hAnsi="Arial" w:cs="Arial"/>
        </w:rPr>
        <w:t>.</w:t>
      </w:r>
      <w:r w:rsidR="4A914AB0" w:rsidRPr="01315E17">
        <w:rPr>
          <w:rFonts w:ascii="Arial" w:eastAsia="Arial" w:hAnsi="Arial" w:cs="Arial"/>
        </w:rPr>
        <w:t xml:space="preserve"> Tata Steel has strengthened its sustainability plan to fulfil both domestic and international regulatory expectations in reaction to these political events, increasing investment in low-carbon technology, renewable energy, and resource-efficient manufacturing processes </w:t>
      </w:r>
      <w:r w:rsidR="4A914AB0" w:rsidRPr="01315E17">
        <w:rPr>
          <w:rFonts w:ascii="Arial" w:eastAsia="Arial" w:hAnsi="Arial" w:cs="Arial"/>
          <w:b/>
          <w:bCs/>
        </w:rPr>
        <w:t>(Tata Steel Ltd., 2025)</w:t>
      </w:r>
      <w:r w:rsidR="4A914AB0" w:rsidRPr="01315E17">
        <w:rPr>
          <w:rFonts w:ascii="Arial" w:eastAsia="Arial" w:hAnsi="Arial" w:cs="Arial"/>
        </w:rPr>
        <w:t>.</w:t>
      </w:r>
    </w:p>
    <w:p w14:paraId="5811BC26" w14:textId="07265AB1" w:rsidR="45F3432A" w:rsidRDefault="45F3432A" w:rsidP="01315E17">
      <w:pPr>
        <w:spacing w:line="360" w:lineRule="auto"/>
        <w:jc w:val="both"/>
      </w:pPr>
      <w:r w:rsidRPr="01315E17">
        <w:rPr>
          <w:rFonts w:ascii="Arial" w:eastAsia="Arial" w:hAnsi="Arial" w:cs="Arial"/>
          <w:b/>
          <w:bCs/>
        </w:rPr>
        <w:t xml:space="preserve">Hermawan </w:t>
      </w:r>
      <w:r w:rsidRPr="01315E17">
        <w:rPr>
          <w:rFonts w:ascii="Arial" w:eastAsia="Arial" w:hAnsi="Arial" w:cs="Arial"/>
          <w:b/>
          <w:bCs/>
          <w:i/>
          <w:iCs/>
        </w:rPr>
        <w:t>et al.</w:t>
      </w:r>
      <w:r w:rsidRPr="01315E17">
        <w:rPr>
          <w:rFonts w:ascii="Arial" w:eastAsia="Arial" w:hAnsi="Arial" w:cs="Arial"/>
          <w:b/>
          <w:bCs/>
        </w:rPr>
        <w:t xml:space="preserve"> (2024) </w:t>
      </w:r>
      <w:r w:rsidRPr="01315E17">
        <w:rPr>
          <w:rFonts w:ascii="Arial" w:eastAsia="Arial" w:hAnsi="Arial" w:cs="Arial"/>
        </w:rPr>
        <w:t xml:space="preserve">suggest that </w:t>
      </w:r>
      <w:r w:rsidR="6EFC3A18" w:rsidRPr="01315E17">
        <w:rPr>
          <w:rFonts w:ascii="Arial" w:eastAsia="Arial" w:hAnsi="Arial" w:cs="Arial"/>
        </w:rPr>
        <w:t>the adoption of sustainable manufacturing techniques in the manufacturing industry and discovered that government rules are crucial for encouraging and upholding sustainable practices. They underlined how crucial government assistance and incentives are in motivating businesses to use sustainable production practices.</w:t>
      </w:r>
      <w:r w:rsidR="37CEBD17" w:rsidRPr="01315E17">
        <w:rPr>
          <w:rFonts w:ascii="Arial" w:eastAsia="Arial" w:hAnsi="Arial" w:cs="Arial"/>
        </w:rPr>
        <w:t xml:space="preserve"> </w:t>
      </w:r>
      <w:r w:rsidR="7FFC53FE" w:rsidRPr="01315E17">
        <w:rPr>
          <w:rFonts w:ascii="Arial" w:eastAsia="Arial" w:hAnsi="Arial" w:cs="Arial"/>
          <w:b/>
          <w:bCs/>
        </w:rPr>
        <w:t xml:space="preserve">Prechel (1990) </w:t>
      </w:r>
      <w:r w:rsidR="7FFC53FE" w:rsidRPr="01315E17">
        <w:rPr>
          <w:rFonts w:ascii="Arial" w:eastAsia="Arial" w:hAnsi="Arial" w:cs="Arial"/>
        </w:rPr>
        <w:t xml:space="preserve">highlights that </w:t>
      </w:r>
      <w:r w:rsidR="37CEBD17" w:rsidRPr="01315E17">
        <w:rPr>
          <w:rFonts w:ascii="Arial" w:eastAsia="Arial" w:hAnsi="Arial" w:cs="Arial"/>
        </w:rPr>
        <w:t xml:space="preserve">the steel sector has specific interests and political and economic needs of its own. Because of this, the steel industry's goals </w:t>
      </w:r>
      <w:r w:rsidR="37CEBD17" w:rsidRPr="01315E17">
        <w:rPr>
          <w:rFonts w:ascii="Arial" w:eastAsia="Arial" w:hAnsi="Arial" w:cs="Arial"/>
        </w:rPr>
        <w:lastRenderedPageBreak/>
        <w:t xml:space="preserve">conflicted with those of other capitalist groups during specific historical </w:t>
      </w:r>
      <w:r w:rsidR="00246D80" w:rsidRPr="01315E17">
        <w:rPr>
          <w:rFonts w:ascii="Arial" w:eastAsia="Arial" w:hAnsi="Arial" w:cs="Arial"/>
        </w:rPr>
        <w:t>periods. Furthermore</w:t>
      </w:r>
      <w:r w:rsidR="45845F71" w:rsidRPr="01315E17">
        <w:rPr>
          <w:rFonts w:ascii="Arial" w:eastAsia="Arial" w:hAnsi="Arial" w:cs="Arial"/>
        </w:rPr>
        <w:t>, export competitiveness may be impacted by variations in environmental rules across international markets, which could lead to further compliance issues. In order to strike a balance between long-term profitability, market expansion, and regulatory compliance, Tata Steel must constantly modify its strategy and marketing choice.</w:t>
      </w:r>
    </w:p>
    <w:p w14:paraId="1BDB03B5" w14:textId="44DDC911" w:rsidR="038BA839" w:rsidRDefault="038BA839" w:rsidP="01315E17">
      <w:pPr>
        <w:spacing w:line="360" w:lineRule="auto"/>
        <w:jc w:val="both"/>
      </w:pPr>
      <w:r w:rsidRPr="01315E17">
        <w:rPr>
          <w:rFonts w:ascii="Arial" w:eastAsia="Arial" w:hAnsi="Arial" w:cs="Arial"/>
        </w:rPr>
        <w:t>All things considered, Tata Steel's marketing choices and strategic orientation are now heavily influenced by the political climate. While increasingly strict environmental rules necessitate ongoing investment and organisational adaption, government policies that support sustainable industrial development foster innovation and improve the company's competitive position. Therefore, Tata Steel's capacity to adapt proactively to shifting political priorities while providing customers with sustainable value and being competitive in international steel markets will be crucial to its long-term success.</w:t>
      </w:r>
    </w:p>
    <w:p w14:paraId="21C4055C" w14:textId="55D8C4AA" w:rsidR="0FDEC499" w:rsidRDefault="0FDEC499" w:rsidP="01315E17">
      <w:pPr>
        <w:spacing w:line="360" w:lineRule="auto"/>
        <w:jc w:val="both"/>
      </w:pPr>
      <w:r>
        <w:rPr>
          <w:noProof/>
        </w:rPr>
        <w:drawing>
          <wp:inline distT="0" distB="0" distL="0" distR="0" wp14:anchorId="53555A9F" wp14:editId="08DE6B9A">
            <wp:extent cx="5798057" cy="3372908"/>
            <wp:effectExtent l="0" t="0" r="0" b="0"/>
            <wp:docPr id="17441519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151976" name="Picture 1744151976"/>
                    <pic:cNvPicPr/>
                  </pic:nvPicPr>
                  <pic:blipFill>
                    <a:blip r:embed="rId9">
                      <a:extLst>
                        <a:ext uri="{28A0092B-C50C-407E-A947-70E740481C1C}">
                          <a14:useLocalDpi xmlns:a14="http://schemas.microsoft.com/office/drawing/2010/main"/>
                        </a:ext>
                      </a:extLst>
                    </a:blip>
                    <a:stretch>
                      <a:fillRect/>
                    </a:stretch>
                  </pic:blipFill>
                  <pic:spPr>
                    <a:xfrm>
                      <a:off x="0" y="0"/>
                      <a:ext cx="5798057" cy="3372908"/>
                    </a:xfrm>
                    <a:prstGeom prst="rect">
                      <a:avLst/>
                    </a:prstGeom>
                  </pic:spPr>
                </pic:pic>
              </a:graphicData>
            </a:graphic>
          </wp:inline>
        </w:drawing>
      </w:r>
    </w:p>
    <w:p w14:paraId="04EECE4B" w14:textId="5DF85F2A" w:rsidR="2BA273F8" w:rsidRDefault="2BA273F8" w:rsidP="01315E17">
      <w:pPr>
        <w:spacing w:line="360" w:lineRule="auto"/>
        <w:jc w:val="center"/>
        <w:rPr>
          <w:rFonts w:ascii="Arial" w:eastAsia="Arial" w:hAnsi="Arial" w:cs="Arial"/>
          <w:b/>
          <w:bCs/>
          <w:i/>
          <w:iCs/>
        </w:rPr>
      </w:pPr>
      <w:r w:rsidRPr="01315E17">
        <w:rPr>
          <w:rFonts w:ascii="Arial" w:eastAsia="Arial" w:hAnsi="Arial" w:cs="Arial"/>
          <w:b/>
          <w:bCs/>
          <w:i/>
          <w:iCs/>
        </w:rPr>
        <w:t>Fig.2, External Political Drivers Influencing Tata Steel's Marketing Strategy</w:t>
      </w:r>
      <w:r w:rsidR="1D2FFCA8" w:rsidRPr="01315E17">
        <w:rPr>
          <w:rFonts w:ascii="Arial" w:eastAsia="Arial" w:hAnsi="Arial" w:cs="Arial"/>
          <w:b/>
          <w:bCs/>
          <w:i/>
          <w:iCs/>
        </w:rPr>
        <w:t xml:space="preserve"> Source: Developed by the author based on Kotler et al. (2024), Government of India (2023),</w:t>
      </w:r>
    </w:p>
    <w:p w14:paraId="0FDDFA11" w14:textId="77777777" w:rsidR="00246D80" w:rsidRDefault="00246D80" w:rsidP="01315E17">
      <w:pPr>
        <w:spacing w:line="360" w:lineRule="auto"/>
        <w:jc w:val="center"/>
        <w:rPr>
          <w:rFonts w:ascii="Arial" w:eastAsia="Arial" w:hAnsi="Arial" w:cs="Arial"/>
          <w:b/>
          <w:bCs/>
          <w:i/>
          <w:iCs/>
        </w:rPr>
      </w:pPr>
    </w:p>
    <w:p w14:paraId="7C122285" w14:textId="474AF367" w:rsidR="2588E6C6" w:rsidRDefault="2588E6C6" w:rsidP="01315E17">
      <w:pPr>
        <w:pStyle w:val="Heading1"/>
        <w:spacing w:line="360" w:lineRule="auto"/>
        <w:rPr>
          <w:rFonts w:asciiTheme="minorHAnsi" w:eastAsiaTheme="minorEastAsia" w:hAnsiTheme="minorHAnsi" w:cstheme="minorBidi"/>
          <w:b/>
          <w:bCs/>
          <w:color w:val="auto"/>
          <w:sz w:val="24"/>
          <w:szCs w:val="24"/>
        </w:rPr>
      </w:pPr>
      <w:bookmarkStart w:id="7" w:name="_Toc1071697376"/>
      <w:r w:rsidRPr="01315E17">
        <w:rPr>
          <w:rFonts w:asciiTheme="minorHAnsi" w:eastAsiaTheme="minorEastAsia" w:hAnsiTheme="minorHAnsi" w:cstheme="minorBidi"/>
          <w:b/>
          <w:bCs/>
          <w:color w:val="auto"/>
          <w:sz w:val="24"/>
          <w:szCs w:val="24"/>
        </w:rPr>
        <w:lastRenderedPageBreak/>
        <w:t xml:space="preserve">3. Task 2: Strategic Growth and Competitive </w:t>
      </w:r>
      <w:r w:rsidR="29DB9FDA" w:rsidRPr="01315E17">
        <w:rPr>
          <w:rFonts w:asciiTheme="minorHAnsi" w:eastAsiaTheme="minorEastAsia" w:hAnsiTheme="minorHAnsi" w:cstheme="minorBidi"/>
          <w:b/>
          <w:bCs/>
          <w:color w:val="auto"/>
          <w:sz w:val="24"/>
          <w:szCs w:val="24"/>
        </w:rPr>
        <w:t>Positioning:</w:t>
      </w:r>
      <w:bookmarkEnd w:id="7"/>
    </w:p>
    <w:p w14:paraId="5C277D37" w14:textId="77777777" w:rsidR="00246D80" w:rsidRPr="00246D80" w:rsidRDefault="00246D80" w:rsidP="00246D80"/>
    <w:p w14:paraId="67B29C42" w14:textId="645580C6" w:rsidR="29DB9FDA" w:rsidRDefault="29DB9FDA" w:rsidP="01315E17">
      <w:pPr>
        <w:pStyle w:val="Heading2"/>
        <w:spacing w:line="360" w:lineRule="auto"/>
        <w:rPr>
          <w:rFonts w:asciiTheme="minorHAnsi" w:eastAsiaTheme="minorEastAsia" w:hAnsiTheme="minorHAnsi" w:cstheme="minorBidi"/>
          <w:b/>
          <w:bCs/>
          <w:color w:val="auto"/>
          <w:sz w:val="24"/>
          <w:szCs w:val="24"/>
        </w:rPr>
      </w:pPr>
      <w:bookmarkStart w:id="8" w:name="_Toc1618695772"/>
      <w:r w:rsidRPr="01315E17">
        <w:rPr>
          <w:rFonts w:asciiTheme="minorHAnsi" w:eastAsiaTheme="minorEastAsia" w:hAnsiTheme="minorHAnsi" w:cstheme="minorBidi"/>
          <w:b/>
          <w:bCs/>
          <w:color w:val="auto"/>
          <w:sz w:val="24"/>
          <w:szCs w:val="24"/>
        </w:rPr>
        <w:t>3.1 Growth Strategy Using the Ansoff Matrix:</w:t>
      </w:r>
      <w:bookmarkEnd w:id="8"/>
    </w:p>
    <w:p w14:paraId="60593C03" w14:textId="3D838EBF" w:rsidR="29DB9FDA" w:rsidRDefault="29DB9FDA" w:rsidP="01315E17">
      <w:pPr>
        <w:pStyle w:val="Heading3"/>
        <w:spacing w:line="360" w:lineRule="auto"/>
        <w:rPr>
          <w:rFonts w:ascii="Arial" w:eastAsia="Arial" w:hAnsi="Arial" w:cs="Arial"/>
          <w:b/>
          <w:bCs/>
          <w:color w:val="auto"/>
          <w:sz w:val="24"/>
          <w:szCs w:val="24"/>
        </w:rPr>
      </w:pPr>
      <w:bookmarkStart w:id="9" w:name="_Toc822828280"/>
      <w:r w:rsidRPr="01315E17">
        <w:rPr>
          <w:b/>
          <w:bCs/>
          <w:color w:val="auto"/>
          <w:sz w:val="24"/>
          <w:szCs w:val="24"/>
        </w:rPr>
        <w:t>3.1.1 Overview of the Ansoff Matrix:</w:t>
      </w:r>
      <w:bookmarkEnd w:id="9"/>
    </w:p>
    <w:p w14:paraId="45F16C99" w14:textId="2C685821" w:rsidR="7A49E325" w:rsidRDefault="7A49E325" w:rsidP="01315E17">
      <w:pPr>
        <w:spacing w:line="360" w:lineRule="auto"/>
        <w:jc w:val="both"/>
        <w:rPr>
          <w:rFonts w:ascii="Arial" w:eastAsia="Arial" w:hAnsi="Arial" w:cs="Arial"/>
        </w:rPr>
      </w:pPr>
      <w:r w:rsidRPr="01315E17">
        <w:rPr>
          <w:rFonts w:ascii="Arial" w:eastAsia="Arial" w:hAnsi="Arial" w:cs="Arial"/>
        </w:rPr>
        <w:t xml:space="preserve">The Ansoff Matrix is a strategic planning </w:t>
      </w:r>
      <w:r w:rsidR="0A580D81" w:rsidRPr="01315E17">
        <w:rPr>
          <w:rFonts w:ascii="Arial" w:eastAsia="Arial" w:hAnsi="Arial" w:cs="Arial"/>
        </w:rPr>
        <w:t>framework to</w:t>
      </w:r>
      <w:r w:rsidRPr="01315E17">
        <w:rPr>
          <w:rFonts w:ascii="Arial" w:eastAsia="Arial" w:hAnsi="Arial" w:cs="Arial"/>
        </w:rPr>
        <w:t xml:space="preserve"> help organisations identify opportunities for business growth by considering products and markets.</w:t>
      </w:r>
      <w:r w:rsidR="4F4F5982" w:rsidRPr="01315E17">
        <w:rPr>
          <w:rFonts w:ascii="Arial" w:eastAsia="Arial" w:hAnsi="Arial" w:cs="Arial"/>
          <w:b/>
          <w:bCs/>
        </w:rPr>
        <w:t xml:space="preserve"> Ansoff (1957)</w:t>
      </w:r>
      <w:r w:rsidR="4F4F5982" w:rsidRPr="01315E17">
        <w:rPr>
          <w:rFonts w:ascii="Arial" w:eastAsia="Arial" w:hAnsi="Arial" w:cs="Arial"/>
        </w:rPr>
        <w:t xml:space="preserve"> suggests that</w:t>
      </w:r>
      <w:r w:rsidRPr="01315E17">
        <w:rPr>
          <w:rFonts w:ascii="Arial" w:eastAsia="Arial" w:hAnsi="Arial" w:cs="Arial"/>
        </w:rPr>
        <w:t xml:space="preserve"> </w:t>
      </w:r>
      <w:r w:rsidR="429B6ECC" w:rsidRPr="01315E17">
        <w:rPr>
          <w:rFonts w:ascii="Arial" w:eastAsia="Arial" w:hAnsi="Arial" w:cs="Arial"/>
        </w:rPr>
        <w:t>t</w:t>
      </w:r>
      <w:r w:rsidR="668E4C36" w:rsidRPr="01315E17">
        <w:rPr>
          <w:rFonts w:ascii="Arial" w:eastAsia="Arial" w:hAnsi="Arial" w:cs="Arial"/>
        </w:rPr>
        <w:t>hose who are currently at the top have little motivation to stay there other than to stay up to date with innovation and competition. A company can choose from four fundamental growth options. Increased market penetration, market development, product development, or diversification are some of the ways it can expand.</w:t>
      </w:r>
      <w:r w:rsidR="2CDC36FD" w:rsidRPr="01315E17">
        <w:rPr>
          <w:rFonts w:ascii="Arial" w:eastAsia="Arial" w:hAnsi="Arial" w:cs="Arial"/>
        </w:rPr>
        <w:t xml:space="preserve"> Because it fosters innovation and solidifies its position in well-established markets with sustainable steel solutions, Tata Steel views the product development strategy as the most appropriate.</w:t>
      </w:r>
    </w:p>
    <w:p w14:paraId="5D1BB553" w14:textId="77777777" w:rsidR="00246D80" w:rsidRDefault="00246D80" w:rsidP="01315E17">
      <w:pPr>
        <w:spacing w:line="360" w:lineRule="auto"/>
        <w:jc w:val="both"/>
      </w:pPr>
    </w:p>
    <w:p w14:paraId="6FD3E15A" w14:textId="1CC88AA5" w:rsidR="2B6A4F1E" w:rsidRDefault="2B6A4F1E" w:rsidP="01315E17">
      <w:pPr>
        <w:pStyle w:val="Heading3"/>
        <w:spacing w:line="360" w:lineRule="auto"/>
        <w:jc w:val="both"/>
        <w:rPr>
          <w:b/>
          <w:bCs/>
          <w:color w:val="auto"/>
          <w:sz w:val="24"/>
          <w:szCs w:val="24"/>
        </w:rPr>
      </w:pPr>
      <w:bookmarkStart w:id="10" w:name="_Toc921199502"/>
      <w:r w:rsidRPr="01315E17">
        <w:rPr>
          <w:b/>
          <w:bCs/>
          <w:color w:val="auto"/>
          <w:sz w:val="24"/>
          <w:szCs w:val="24"/>
        </w:rPr>
        <w:t>3.1.2 Product Development Strategy:</w:t>
      </w:r>
      <w:bookmarkEnd w:id="10"/>
    </w:p>
    <w:p w14:paraId="42640034" w14:textId="34A97BCC" w:rsidR="3879E245" w:rsidRDefault="3879E245" w:rsidP="01315E17">
      <w:pPr>
        <w:spacing w:line="360" w:lineRule="auto"/>
        <w:jc w:val="both"/>
      </w:pPr>
      <w:r w:rsidRPr="01315E17">
        <w:rPr>
          <w:rFonts w:ascii="Arial" w:eastAsia="Arial" w:hAnsi="Arial" w:cs="Arial"/>
          <w:b/>
          <w:bCs/>
        </w:rPr>
        <w:t>Ansoff (1957)</w:t>
      </w:r>
      <w:r w:rsidRPr="01315E17">
        <w:rPr>
          <w:rFonts w:ascii="Arial" w:eastAsia="Arial" w:hAnsi="Arial" w:cs="Arial"/>
        </w:rPr>
        <w:t xml:space="preserve"> demonstrates that Product development is the process of bringing new or enhanced goods to current markets in order to meet evolving consumer demands and bolster competitive advantage. For Tata Steel, this approach is in line with the growing demand for high-performance, sustainable steel products around the world, which is </w:t>
      </w:r>
      <w:r w:rsidR="30411708" w:rsidRPr="01315E17">
        <w:rPr>
          <w:rFonts w:ascii="Arial" w:eastAsia="Arial" w:hAnsi="Arial" w:cs="Arial"/>
        </w:rPr>
        <w:t>fueled</w:t>
      </w:r>
      <w:r w:rsidRPr="01315E17">
        <w:rPr>
          <w:rFonts w:ascii="Arial" w:eastAsia="Arial" w:hAnsi="Arial" w:cs="Arial"/>
        </w:rPr>
        <w:t xml:space="preserve"> by consumer expectations and environmental regulations. By broadening its range of cutting-edge steel products, Tata Steel can capitalise on its existing clientele in the automotive, construction, engineering, and infrastructure industries rather than venturing into uncharted territory.</w:t>
      </w:r>
    </w:p>
    <w:p w14:paraId="42A95C6F" w14:textId="40DA2771" w:rsidR="03665135" w:rsidRDefault="03665135" w:rsidP="01315E17">
      <w:pPr>
        <w:spacing w:line="360" w:lineRule="auto"/>
        <w:jc w:val="both"/>
      </w:pPr>
      <w:r w:rsidRPr="01315E17">
        <w:rPr>
          <w:rFonts w:ascii="Arial" w:eastAsia="Arial" w:hAnsi="Arial" w:cs="Arial"/>
        </w:rPr>
        <w:t xml:space="preserve">This research has theoretical and practical ramifications, such as insights into how green steel technologies might help the steel sector become carbon neutral, impact regulations, and stimulate investment in renewable energy infrastructure </w:t>
      </w:r>
      <w:r w:rsidRPr="01315E17">
        <w:rPr>
          <w:rFonts w:ascii="Arial" w:eastAsia="Arial" w:hAnsi="Arial" w:cs="Arial"/>
          <w:b/>
          <w:bCs/>
        </w:rPr>
        <w:t xml:space="preserve">Teixeira (2025). </w:t>
      </w:r>
      <w:r w:rsidR="55F13B24" w:rsidRPr="01315E17">
        <w:rPr>
          <w:rFonts w:ascii="Arial" w:eastAsia="Arial" w:hAnsi="Arial" w:cs="Arial"/>
        </w:rPr>
        <w:t>Tata Steel is able to satisfy the sustainability demands of clients who are looking for eco-friendly materials while upholding strict performance and quality standards thanks to these developments.</w:t>
      </w:r>
      <w:r w:rsidR="525B91ED" w:rsidRPr="01315E17">
        <w:rPr>
          <w:rFonts w:ascii="Arial" w:eastAsia="Arial" w:hAnsi="Arial" w:cs="Arial"/>
        </w:rPr>
        <w:t xml:space="preserve"> </w:t>
      </w:r>
    </w:p>
    <w:p w14:paraId="38707EA3" w14:textId="70434122" w:rsidR="525B91ED" w:rsidRDefault="525B91ED" w:rsidP="01315E17">
      <w:pPr>
        <w:spacing w:line="360" w:lineRule="auto"/>
        <w:jc w:val="both"/>
      </w:pPr>
      <w:r w:rsidRPr="01315E17">
        <w:rPr>
          <w:rFonts w:ascii="Arial" w:eastAsia="Arial" w:hAnsi="Arial" w:cs="Arial"/>
        </w:rPr>
        <w:lastRenderedPageBreak/>
        <w:t>Additionally, the company is investing in breakthrough steel grades for electric vehicles, renewable energy infrastructure, and contemporary construction projects, where recyclable, lightweight, and durable materials are becoming more and more crucial.</w:t>
      </w:r>
    </w:p>
    <w:p w14:paraId="52763260" w14:textId="03006F6A" w:rsidR="525B91ED" w:rsidRDefault="525B91ED" w:rsidP="01315E17">
      <w:pPr>
        <w:spacing w:line="360" w:lineRule="auto"/>
        <w:jc w:val="both"/>
        <w:rPr>
          <w:rFonts w:ascii="Arial" w:eastAsia="Arial" w:hAnsi="Arial" w:cs="Arial"/>
        </w:rPr>
      </w:pPr>
      <w:r w:rsidRPr="01315E17">
        <w:rPr>
          <w:rFonts w:ascii="Arial" w:eastAsia="Arial" w:hAnsi="Arial" w:cs="Arial"/>
        </w:rPr>
        <w:t>From a marketing standpoint, Tata Steel may improve its value offer by introducing sustainable steel products in response to consumer demand for eco-friendly solutions. Additionally, this approach helps set the company apart from rivals in the global steel market by enhancing its reputation as a creative and ethical manufacturer. Additionally, sustained investment in R&amp;D fosters long-term product innovation, allowing Tata Steel to adjust to evolving market trends and technology breakthroughs while preserving solid client relationships.</w:t>
      </w:r>
    </w:p>
    <w:p w14:paraId="5FBF2632" w14:textId="77777777" w:rsidR="00246D80" w:rsidRDefault="00246D80" w:rsidP="01315E17">
      <w:pPr>
        <w:spacing w:line="360" w:lineRule="auto"/>
        <w:jc w:val="both"/>
      </w:pPr>
    </w:p>
    <w:p w14:paraId="3AD86C3F" w14:textId="43A2864A" w:rsidR="3E087592" w:rsidRDefault="3E087592" w:rsidP="01315E17">
      <w:pPr>
        <w:pStyle w:val="Heading3"/>
        <w:spacing w:line="360" w:lineRule="auto"/>
        <w:rPr>
          <w:b/>
          <w:bCs/>
          <w:color w:val="auto"/>
          <w:sz w:val="24"/>
          <w:szCs w:val="24"/>
        </w:rPr>
      </w:pPr>
      <w:bookmarkStart w:id="11" w:name="_Toc936159681"/>
      <w:r w:rsidRPr="01315E17">
        <w:rPr>
          <w:b/>
          <w:bCs/>
          <w:color w:val="auto"/>
          <w:sz w:val="24"/>
          <w:szCs w:val="24"/>
        </w:rPr>
        <w:t>3.1.3 Critical Justification:</w:t>
      </w:r>
      <w:bookmarkEnd w:id="11"/>
    </w:p>
    <w:p w14:paraId="55507A8C" w14:textId="08FF9895" w:rsidR="569491E3" w:rsidRDefault="569491E3" w:rsidP="01315E17">
      <w:pPr>
        <w:spacing w:line="360" w:lineRule="auto"/>
        <w:jc w:val="both"/>
      </w:pPr>
      <w:r w:rsidRPr="01315E17">
        <w:rPr>
          <w:rFonts w:ascii="Arial" w:eastAsia="Arial" w:hAnsi="Arial" w:cs="Arial"/>
          <w:b/>
          <w:bCs/>
        </w:rPr>
        <w:t>Tan (2010</w:t>
      </w:r>
      <w:r w:rsidRPr="01315E17">
        <w:rPr>
          <w:rFonts w:ascii="Arial" w:eastAsia="Arial" w:hAnsi="Arial" w:cs="Arial"/>
        </w:rPr>
        <w:t>) highlights that manufacturing firms have historically concentrated their efforts on creating, developing, and manufacturing tangible goods for the market. However, today's global competition, outsourcing, and laws demand that businesses take more responsibility for their goods.</w:t>
      </w:r>
      <w:r w:rsidR="7D19BC03" w:rsidRPr="01315E17">
        <w:rPr>
          <w:rFonts w:ascii="Arial" w:eastAsia="Arial" w:hAnsi="Arial" w:cs="Arial"/>
        </w:rPr>
        <w:t xml:space="preserve"> Product development is the best choice for Tata Steel among the four growth strategies in the Ansoff Matrix since it strikes a balance between growth prospects and reasonable risk. Due to fierce rivalry and established demand in many steel markets, market penetration offers limited growth, whereas market development would necessitate large expenditure to start operations in uncharted territory. On the other hand, product development allows Tata Steel to meet the growing need for sustainable steel solutions while leveraging its existing customer relationships, technical know-how, and manufacturing capabilities.</w:t>
      </w:r>
    </w:p>
    <w:p w14:paraId="78A2911B" w14:textId="226A6AAF" w:rsidR="2EE50606" w:rsidRDefault="2EE50606" w:rsidP="01315E17">
      <w:pPr>
        <w:spacing w:line="360" w:lineRule="auto"/>
        <w:jc w:val="both"/>
        <w:rPr>
          <w:rFonts w:ascii="Arial" w:eastAsia="Arial" w:hAnsi="Arial" w:cs="Arial"/>
        </w:rPr>
      </w:pPr>
      <w:r>
        <w:rPr>
          <w:noProof/>
        </w:rPr>
        <w:lastRenderedPageBreak/>
        <w:drawing>
          <wp:inline distT="0" distB="0" distL="0" distR="0" wp14:anchorId="64FEAA75" wp14:editId="393D630F">
            <wp:extent cx="5943600" cy="2847975"/>
            <wp:effectExtent l="0" t="0" r="0" b="0"/>
            <wp:docPr id="49506153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061535" name="Picture 495061535"/>
                    <pic:cNvPicPr/>
                  </pic:nvPicPr>
                  <pic:blipFill>
                    <a:blip r:embed="rId10">
                      <a:extLst>
                        <a:ext uri="{28A0092B-C50C-407E-A947-70E740481C1C}">
                          <a14:useLocalDpi xmlns:a14="http://schemas.microsoft.com/office/drawing/2010/main"/>
                        </a:ext>
                      </a:extLst>
                    </a:blip>
                    <a:stretch>
                      <a:fillRect/>
                    </a:stretch>
                  </pic:blipFill>
                  <pic:spPr>
                    <a:xfrm>
                      <a:off x="0" y="0"/>
                      <a:ext cx="5943600" cy="2847975"/>
                    </a:xfrm>
                    <a:prstGeom prst="rect">
                      <a:avLst/>
                    </a:prstGeom>
                  </pic:spPr>
                </pic:pic>
              </a:graphicData>
            </a:graphic>
          </wp:inline>
        </w:drawing>
      </w:r>
    </w:p>
    <w:p w14:paraId="2CCC9E8F" w14:textId="15453F2A" w:rsidR="0906FD8A" w:rsidRDefault="0906FD8A" w:rsidP="01315E17">
      <w:pPr>
        <w:spacing w:line="360" w:lineRule="auto"/>
        <w:jc w:val="center"/>
        <w:rPr>
          <w:rFonts w:ascii="Arial" w:eastAsia="Arial" w:hAnsi="Arial" w:cs="Arial"/>
          <w:b/>
          <w:bCs/>
          <w:i/>
          <w:iCs/>
        </w:rPr>
      </w:pPr>
      <w:r w:rsidRPr="01315E17">
        <w:rPr>
          <w:rFonts w:ascii="Arial" w:eastAsia="Arial" w:hAnsi="Arial" w:cs="Arial"/>
          <w:b/>
          <w:bCs/>
          <w:i/>
          <w:iCs/>
        </w:rPr>
        <w:t>Figure.3, Ansoff Matrix Highlighting Tata Steel's Recommended Product Development Strategy source: Ansoff (1957).</w:t>
      </w:r>
    </w:p>
    <w:p w14:paraId="50CD13B4" w14:textId="77777777" w:rsidR="00246D80" w:rsidRDefault="00246D80" w:rsidP="01315E17">
      <w:pPr>
        <w:spacing w:line="360" w:lineRule="auto"/>
        <w:jc w:val="center"/>
        <w:rPr>
          <w:rFonts w:ascii="Arial" w:eastAsia="Arial" w:hAnsi="Arial" w:cs="Arial"/>
          <w:b/>
          <w:bCs/>
          <w:i/>
          <w:iCs/>
        </w:rPr>
      </w:pPr>
    </w:p>
    <w:p w14:paraId="29802BE9" w14:textId="5BA8D112" w:rsidR="4EE4E5A5" w:rsidRDefault="4EE4E5A5" w:rsidP="01315E17">
      <w:pPr>
        <w:pStyle w:val="Heading2"/>
        <w:spacing w:line="360" w:lineRule="auto"/>
        <w:jc w:val="both"/>
        <w:rPr>
          <w:rFonts w:asciiTheme="minorHAnsi" w:eastAsiaTheme="minorEastAsia" w:hAnsiTheme="minorHAnsi" w:cstheme="minorBidi"/>
          <w:b/>
          <w:bCs/>
          <w:color w:val="auto"/>
          <w:sz w:val="24"/>
          <w:szCs w:val="24"/>
        </w:rPr>
      </w:pPr>
      <w:bookmarkStart w:id="12" w:name="_Toc1539030999"/>
      <w:r w:rsidRPr="01315E17">
        <w:rPr>
          <w:rFonts w:asciiTheme="minorHAnsi" w:eastAsiaTheme="minorEastAsia" w:hAnsiTheme="minorHAnsi" w:cstheme="minorBidi"/>
          <w:b/>
          <w:bCs/>
          <w:color w:val="auto"/>
          <w:sz w:val="24"/>
          <w:szCs w:val="24"/>
        </w:rPr>
        <w:t>3.2 Competitive Positioning Using Porter's Generic Strategies:</w:t>
      </w:r>
      <w:bookmarkEnd w:id="12"/>
    </w:p>
    <w:p w14:paraId="08ADC4A8" w14:textId="2F15226F" w:rsidR="50658DD0" w:rsidRDefault="50658DD0" w:rsidP="01315E17">
      <w:pPr>
        <w:pStyle w:val="Heading3"/>
        <w:spacing w:line="360" w:lineRule="auto"/>
        <w:jc w:val="both"/>
        <w:rPr>
          <w:b/>
          <w:bCs/>
          <w:color w:val="auto"/>
          <w:sz w:val="24"/>
          <w:szCs w:val="24"/>
        </w:rPr>
      </w:pPr>
      <w:bookmarkStart w:id="13" w:name="_Toc844742995"/>
      <w:r w:rsidRPr="01315E17">
        <w:rPr>
          <w:b/>
          <w:bCs/>
          <w:color w:val="auto"/>
          <w:sz w:val="24"/>
          <w:szCs w:val="24"/>
        </w:rPr>
        <w:t>3.2.1 Overview of Porter's Generic Strategies:</w:t>
      </w:r>
      <w:bookmarkEnd w:id="13"/>
    </w:p>
    <w:p w14:paraId="7388456D" w14:textId="6C44133F" w:rsidR="01315E17" w:rsidRDefault="2ED4B084" w:rsidP="01315E17">
      <w:pPr>
        <w:spacing w:line="360" w:lineRule="auto"/>
        <w:jc w:val="both"/>
        <w:rPr>
          <w:rFonts w:ascii="Arial" w:eastAsia="Arial" w:hAnsi="Arial" w:cs="Arial"/>
        </w:rPr>
      </w:pPr>
      <w:r w:rsidRPr="01315E17">
        <w:rPr>
          <w:rFonts w:ascii="Arial" w:eastAsia="Arial" w:hAnsi="Arial" w:cs="Arial"/>
          <w:b/>
          <w:bCs/>
        </w:rPr>
        <w:t xml:space="preserve">Islami </w:t>
      </w:r>
      <w:r w:rsidRPr="01315E17">
        <w:rPr>
          <w:rFonts w:ascii="Arial" w:eastAsia="Arial" w:hAnsi="Arial" w:cs="Arial"/>
          <w:b/>
          <w:bCs/>
          <w:i/>
          <w:iCs/>
        </w:rPr>
        <w:t>et al.</w:t>
      </w:r>
      <w:r w:rsidRPr="01315E17">
        <w:rPr>
          <w:rFonts w:ascii="Arial" w:eastAsia="Arial" w:hAnsi="Arial" w:cs="Arial"/>
          <w:b/>
          <w:bCs/>
        </w:rPr>
        <w:t xml:space="preserve"> (2020) </w:t>
      </w:r>
      <w:r w:rsidRPr="01315E17">
        <w:rPr>
          <w:rFonts w:ascii="Arial" w:eastAsia="Arial" w:hAnsi="Arial" w:cs="Arial"/>
        </w:rPr>
        <w:t xml:space="preserve">explain that the goal is to show how Porter's generic strategies (low-cost, distinctiveness, and focus) affect business </w:t>
      </w:r>
      <w:r w:rsidR="00246D80" w:rsidRPr="01315E17">
        <w:rPr>
          <w:rFonts w:ascii="Arial" w:eastAsia="Arial" w:hAnsi="Arial" w:cs="Arial"/>
        </w:rPr>
        <w:t>performance. Three</w:t>
      </w:r>
      <w:r w:rsidR="50658DD0" w:rsidRPr="01315E17">
        <w:rPr>
          <w:rFonts w:ascii="Arial" w:eastAsia="Arial" w:hAnsi="Arial" w:cs="Arial"/>
        </w:rPr>
        <w:t xml:space="preserve"> key aspects of competition are being impacted by the information revolution</w:t>
      </w:r>
      <w:r w:rsidR="7F11EF3A" w:rsidRPr="01315E17">
        <w:rPr>
          <w:rFonts w:ascii="Arial" w:eastAsia="Arial" w:hAnsi="Arial" w:cs="Arial"/>
        </w:rPr>
        <w:t xml:space="preserve">, </w:t>
      </w:r>
      <w:r w:rsidR="00246D80" w:rsidRPr="01315E17">
        <w:rPr>
          <w:rFonts w:ascii="Arial" w:eastAsia="Arial" w:hAnsi="Arial" w:cs="Arial"/>
        </w:rPr>
        <w:t>it</w:t>
      </w:r>
      <w:r w:rsidR="50658DD0" w:rsidRPr="01315E17">
        <w:rPr>
          <w:rFonts w:ascii="Arial" w:eastAsia="Arial" w:hAnsi="Arial" w:cs="Arial"/>
        </w:rPr>
        <w:t xml:space="preserve"> modifies industry structure, which in turn modifies the laws of competition. It gives businesses new methods to surpass their competitors, giving them a competitive advantage. It creates entirely new companies, frequently from within an organization's current operations</w:t>
      </w:r>
      <w:r w:rsidR="6C27DFDD" w:rsidRPr="01315E17">
        <w:rPr>
          <w:rFonts w:ascii="Arial" w:eastAsia="Arial" w:hAnsi="Arial" w:cs="Arial"/>
        </w:rPr>
        <w:t xml:space="preserve"> </w:t>
      </w:r>
      <w:r w:rsidR="0304DA15" w:rsidRPr="01315E17">
        <w:rPr>
          <w:rFonts w:ascii="Arial" w:eastAsia="Arial" w:hAnsi="Arial" w:cs="Arial"/>
          <w:b/>
          <w:bCs/>
        </w:rPr>
        <w:t>(Porter and Millar, 1985</w:t>
      </w:r>
      <w:r w:rsidR="0304DA15" w:rsidRPr="01315E17">
        <w:rPr>
          <w:rFonts w:ascii="Arial" w:eastAsia="Arial" w:hAnsi="Arial" w:cs="Arial"/>
        </w:rPr>
        <w:t>)</w:t>
      </w:r>
      <w:r w:rsidR="50658DD0" w:rsidRPr="01315E17">
        <w:rPr>
          <w:rFonts w:ascii="Arial" w:eastAsia="Arial" w:hAnsi="Arial" w:cs="Arial"/>
        </w:rPr>
        <w:t>.</w:t>
      </w:r>
    </w:p>
    <w:p w14:paraId="34288E6C" w14:textId="77777777" w:rsidR="00246D80" w:rsidRPr="00246D80" w:rsidRDefault="00246D80" w:rsidP="01315E17">
      <w:pPr>
        <w:spacing w:line="360" w:lineRule="auto"/>
        <w:jc w:val="both"/>
      </w:pPr>
    </w:p>
    <w:p w14:paraId="7A72B7C0" w14:textId="4E3D1EAE" w:rsidR="544C36F4" w:rsidRDefault="544C36F4" w:rsidP="01315E17">
      <w:pPr>
        <w:pStyle w:val="Heading3"/>
        <w:spacing w:line="360" w:lineRule="auto"/>
        <w:rPr>
          <w:b/>
          <w:bCs/>
          <w:color w:val="auto"/>
          <w:sz w:val="24"/>
          <w:szCs w:val="24"/>
        </w:rPr>
      </w:pPr>
      <w:bookmarkStart w:id="14" w:name="_Toc300927126"/>
      <w:r w:rsidRPr="01315E17">
        <w:rPr>
          <w:b/>
          <w:bCs/>
          <w:color w:val="auto"/>
          <w:sz w:val="24"/>
          <w:szCs w:val="24"/>
        </w:rPr>
        <w:t>3.2.2 Differentiation Strategy:</w:t>
      </w:r>
      <w:bookmarkEnd w:id="14"/>
    </w:p>
    <w:p w14:paraId="7E07EE11" w14:textId="2259A58C" w:rsidR="4E19AAEB" w:rsidRDefault="4E19AAEB" w:rsidP="01315E17">
      <w:pPr>
        <w:spacing w:line="360" w:lineRule="auto"/>
        <w:jc w:val="both"/>
      </w:pPr>
      <w:r w:rsidRPr="01315E17">
        <w:rPr>
          <w:rFonts w:ascii="Arial" w:eastAsia="Arial" w:hAnsi="Arial" w:cs="Arial"/>
        </w:rPr>
        <w:t xml:space="preserve">By providing superior steel products, technological innovation, and sustainable production solutions that set the company apart from its rivals, Tata Steel mainly employs Porter's differentiation strategy. By manufacturing specialist steel for sectors including </w:t>
      </w:r>
      <w:r w:rsidRPr="01315E17">
        <w:rPr>
          <w:rFonts w:ascii="Arial" w:eastAsia="Arial" w:hAnsi="Arial" w:cs="Arial"/>
        </w:rPr>
        <w:lastRenderedPageBreak/>
        <w:t>automotive, construction, engineering, and renewable energy, Tata Steel adds value rather than just competing on price. The business makes large investments in R&amp;D to boost customer-specific solutions, create advanced steel grades, and increase product quality, all of which reinforce its position in the market</w:t>
      </w:r>
      <w:r w:rsidR="219E2B4E" w:rsidRPr="01315E17">
        <w:rPr>
          <w:rFonts w:ascii="Arial" w:eastAsia="Arial" w:hAnsi="Arial" w:cs="Arial"/>
        </w:rPr>
        <w:t xml:space="preserve"> </w:t>
      </w:r>
      <w:r w:rsidR="219E2B4E" w:rsidRPr="01315E17">
        <w:rPr>
          <w:rFonts w:ascii="Arial" w:eastAsia="Arial" w:hAnsi="Arial" w:cs="Arial"/>
          <w:b/>
          <w:bCs/>
        </w:rPr>
        <w:t>(Tata Steel Ltd., 2025)</w:t>
      </w:r>
      <w:r w:rsidRPr="01315E17">
        <w:rPr>
          <w:rFonts w:ascii="Arial" w:eastAsia="Arial" w:hAnsi="Arial" w:cs="Arial"/>
        </w:rPr>
        <w:t>.</w:t>
      </w:r>
    </w:p>
    <w:p w14:paraId="28CD11B9" w14:textId="15D5D9F6" w:rsidR="57C22A75" w:rsidRDefault="57C22A75" w:rsidP="01315E17">
      <w:pPr>
        <w:spacing w:line="360" w:lineRule="auto"/>
        <w:jc w:val="both"/>
        <w:rPr>
          <w:rFonts w:ascii="Arial" w:eastAsia="Arial" w:hAnsi="Arial" w:cs="Arial"/>
        </w:rPr>
      </w:pPr>
      <w:r w:rsidRPr="01315E17">
        <w:rPr>
          <w:rFonts w:ascii="Arial" w:eastAsia="Arial" w:hAnsi="Arial" w:cs="Arial"/>
        </w:rPr>
        <w:t xml:space="preserve">Similarly, </w:t>
      </w:r>
      <w:r w:rsidRPr="01315E17">
        <w:rPr>
          <w:rFonts w:ascii="Arial" w:eastAsia="Arial" w:hAnsi="Arial" w:cs="Arial"/>
          <w:b/>
          <w:bCs/>
        </w:rPr>
        <w:t xml:space="preserve">Islami </w:t>
      </w:r>
      <w:r w:rsidRPr="01315E17">
        <w:rPr>
          <w:rFonts w:ascii="Arial" w:eastAsia="Arial" w:hAnsi="Arial" w:cs="Arial"/>
          <w:b/>
          <w:bCs/>
          <w:i/>
          <w:iCs/>
        </w:rPr>
        <w:t>et al.</w:t>
      </w:r>
      <w:r w:rsidRPr="01315E17">
        <w:rPr>
          <w:rFonts w:ascii="Arial" w:eastAsia="Arial" w:hAnsi="Arial" w:cs="Arial"/>
          <w:b/>
          <w:bCs/>
        </w:rPr>
        <w:t xml:space="preserve"> (2020)</w:t>
      </w:r>
      <w:r w:rsidRPr="01315E17">
        <w:rPr>
          <w:rFonts w:ascii="Arial" w:eastAsia="Arial" w:hAnsi="Arial" w:cs="Arial"/>
        </w:rPr>
        <w:t xml:space="preserve"> argue that the businesses that use differentiation strategies have a higher chance of increasing organisational performance through value creation and </w:t>
      </w:r>
      <w:r w:rsidR="00246D80" w:rsidRPr="01315E17">
        <w:rPr>
          <w:rFonts w:ascii="Arial" w:eastAsia="Arial" w:hAnsi="Arial" w:cs="Arial"/>
        </w:rPr>
        <w:t>innovation. Furthermore</w:t>
      </w:r>
      <w:r w:rsidRPr="01315E17">
        <w:rPr>
          <w:rFonts w:ascii="Arial" w:eastAsia="Arial" w:hAnsi="Arial" w:cs="Arial"/>
        </w:rPr>
        <w:t>, the organization enhances client pleasure and loyalty by offering long-term collaborations with industrial customers, digital services, and value-added technical assistance. Through these activities, Tata Steel is able to maintain a competitive position in the global steel market, increase customer trust, and build its brand reputation.</w:t>
      </w:r>
    </w:p>
    <w:p w14:paraId="32C490C6" w14:textId="77777777" w:rsidR="00246D80" w:rsidRDefault="00246D80" w:rsidP="01315E17">
      <w:pPr>
        <w:spacing w:line="360" w:lineRule="auto"/>
        <w:jc w:val="both"/>
      </w:pPr>
    </w:p>
    <w:p w14:paraId="2D637BEC" w14:textId="7FFECEBC" w:rsidR="76247C72" w:rsidRDefault="76247C72" w:rsidP="01315E17">
      <w:pPr>
        <w:pStyle w:val="Heading3"/>
        <w:spacing w:line="360" w:lineRule="auto"/>
        <w:rPr>
          <w:rFonts w:ascii="Arial" w:eastAsia="Arial" w:hAnsi="Arial" w:cs="Arial"/>
          <w:b/>
          <w:bCs/>
          <w:color w:val="auto"/>
          <w:sz w:val="24"/>
          <w:szCs w:val="24"/>
        </w:rPr>
      </w:pPr>
      <w:bookmarkStart w:id="15" w:name="_Toc1055291909"/>
      <w:r w:rsidRPr="01315E17">
        <w:rPr>
          <w:b/>
          <w:bCs/>
          <w:color w:val="auto"/>
          <w:sz w:val="24"/>
          <w:szCs w:val="24"/>
        </w:rPr>
        <w:t>3.2.3 Critical Justification:</w:t>
      </w:r>
      <w:bookmarkEnd w:id="15"/>
    </w:p>
    <w:p w14:paraId="3BEA8604" w14:textId="45ECD2A8" w:rsidR="01315E17" w:rsidRDefault="33FC6F79" w:rsidP="01315E17">
      <w:pPr>
        <w:spacing w:line="360" w:lineRule="auto"/>
        <w:jc w:val="both"/>
        <w:rPr>
          <w:rFonts w:ascii="Arial" w:eastAsia="Arial" w:hAnsi="Arial" w:cs="Arial"/>
        </w:rPr>
      </w:pPr>
      <w:r w:rsidRPr="01315E17">
        <w:rPr>
          <w:rFonts w:ascii="Arial" w:eastAsia="Arial" w:hAnsi="Arial" w:cs="Arial"/>
        </w:rPr>
        <w:t>Rather than depending only on price rivalry, Tata Steel's differentiation strategy allows the company to compete through innovation, greater product quality, and sustainable manufacturing.</w:t>
      </w:r>
      <w:r w:rsidR="444CD8A1" w:rsidRPr="01315E17">
        <w:rPr>
          <w:rFonts w:ascii="Arial" w:eastAsia="Arial" w:hAnsi="Arial" w:cs="Arial"/>
        </w:rPr>
        <w:t xml:space="preserve">By meeting the increasing consumer demand for high-performing and ecologically friendly steel goods, this strategy promotes long-term competitive advantage </w:t>
      </w:r>
      <w:r w:rsidR="444CD8A1" w:rsidRPr="01315E17">
        <w:rPr>
          <w:rFonts w:ascii="Arial" w:eastAsia="Arial" w:hAnsi="Arial" w:cs="Arial"/>
          <w:b/>
          <w:bCs/>
        </w:rPr>
        <w:t xml:space="preserve">(Islami </w:t>
      </w:r>
      <w:r w:rsidR="444CD8A1" w:rsidRPr="01315E17">
        <w:rPr>
          <w:rFonts w:ascii="Arial" w:eastAsia="Arial" w:hAnsi="Arial" w:cs="Arial"/>
          <w:b/>
          <w:bCs/>
          <w:i/>
          <w:iCs/>
        </w:rPr>
        <w:t>et al</w:t>
      </w:r>
      <w:r w:rsidR="444CD8A1" w:rsidRPr="01315E17">
        <w:rPr>
          <w:rFonts w:ascii="Arial" w:eastAsia="Arial" w:hAnsi="Arial" w:cs="Arial"/>
          <w:b/>
          <w:bCs/>
        </w:rPr>
        <w:t>., 2020)</w:t>
      </w:r>
      <w:r w:rsidR="444CD8A1" w:rsidRPr="01315E17">
        <w:rPr>
          <w:rFonts w:ascii="Arial" w:eastAsia="Arial" w:hAnsi="Arial" w:cs="Arial"/>
        </w:rPr>
        <w:t>.However, differentiation requires substantial investment in research, technology, and sustainability initiatives, which can increase operating costs and reduce short-term profitability. Despite these challenges, the strategy remains suitable because it enhances brand reputation, customer loyalty, and long-term business resilience in an increasingly competitive global steel industry.</w:t>
      </w:r>
    </w:p>
    <w:p w14:paraId="34CF6C26" w14:textId="77777777" w:rsidR="00246D80" w:rsidRDefault="00246D80" w:rsidP="01315E17">
      <w:pPr>
        <w:spacing w:line="360" w:lineRule="auto"/>
        <w:jc w:val="both"/>
        <w:rPr>
          <w:rFonts w:ascii="Arial" w:eastAsia="Arial" w:hAnsi="Arial" w:cs="Arial"/>
        </w:rPr>
      </w:pPr>
    </w:p>
    <w:p w14:paraId="25615502" w14:textId="60758958" w:rsidR="0142C5DB" w:rsidRDefault="0142C5DB" w:rsidP="01315E17">
      <w:pPr>
        <w:pStyle w:val="Heading2"/>
        <w:spacing w:line="360" w:lineRule="auto"/>
        <w:rPr>
          <w:rFonts w:asciiTheme="minorHAnsi" w:eastAsiaTheme="minorEastAsia" w:hAnsiTheme="minorHAnsi" w:cstheme="minorBidi"/>
          <w:b/>
          <w:bCs/>
          <w:color w:val="auto"/>
          <w:sz w:val="24"/>
          <w:szCs w:val="24"/>
        </w:rPr>
      </w:pPr>
      <w:bookmarkStart w:id="16" w:name="_Toc140228886"/>
      <w:r w:rsidRPr="01315E17">
        <w:rPr>
          <w:rFonts w:asciiTheme="minorHAnsi" w:eastAsiaTheme="minorEastAsia" w:hAnsiTheme="minorHAnsi" w:cstheme="minorBidi"/>
          <w:b/>
          <w:bCs/>
          <w:color w:val="auto"/>
          <w:sz w:val="24"/>
          <w:szCs w:val="24"/>
        </w:rPr>
        <w:t>3.3 Strategic Recommendations:</w:t>
      </w:r>
      <w:bookmarkEnd w:id="16"/>
    </w:p>
    <w:p w14:paraId="11368B69" w14:textId="77777777" w:rsidR="00246D80" w:rsidRDefault="3A07C17B" w:rsidP="00246D80">
      <w:pPr>
        <w:spacing w:line="360" w:lineRule="auto"/>
        <w:jc w:val="both"/>
        <w:rPr>
          <w:rFonts w:ascii="Arial" w:eastAsia="Arial" w:hAnsi="Arial" w:cs="Arial"/>
        </w:rPr>
      </w:pPr>
      <w:r w:rsidRPr="01315E17">
        <w:rPr>
          <w:rFonts w:ascii="Arial" w:eastAsia="Arial" w:hAnsi="Arial" w:cs="Arial"/>
          <w:b/>
          <w:bCs/>
        </w:rPr>
        <w:t xml:space="preserve">Teixeira (2025) </w:t>
      </w:r>
      <w:r w:rsidRPr="01315E17">
        <w:rPr>
          <w:rFonts w:ascii="Arial" w:eastAsia="Arial" w:hAnsi="Arial" w:cs="Arial"/>
        </w:rPr>
        <w:t>argue that to</w:t>
      </w:r>
      <w:r w:rsidR="0142C5DB" w:rsidRPr="01315E17">
        <w:rPr>
          <w:rFonts w:ascii="Arial" w:eastAsia="Arial" w:hAnsi="Arial" w:cs="Arial"/>
        </w:rPr>
        <w:t xml:space="preserve"> preserve its competitive edge, Tata Steel should keep bolstering its differentiation strategy by boosting investments in digital technologies, low-carbon steel manufacturing, and research and development. Increasing the use of circular economy and hydrogen-based steelmaking techniques would help the business fulfil more stringent environmental requirements and meet its sustainability goals.</w:t>
      </w:r>
      <w:r w:rsidR="247387DD" w:rsidRPr="01315E17">
        <w:rPr>
          <w:rFonts w:ascii="Arial" w:eastAsia="Arial" w:hAnsi="Arial" w:cs="Arial"/>
        </w:rPr>
        <w:t xml:space="preserve"> Additionally, </w:t>
      </w:r>
      <w:r w:rsidR="247387DD" w:rsidRPr="01315E17">
        <w:rPr>
          <w:rFonts w:ascii="Arial" w:eastAsia="Arial" w:hAnsi="Arial" w:cs="Arial"/>
        </w:rPr>
        <w:lastRenderedPageBreak/>
        <w:t>Tata Steel can improve customer connections by offering digital services, bespoke steel solutions, and strategic alliances in important sectors like renewable energy and automobiles. In an increasingly competitive global steel market, these measures will boost long-term growth, strengthen brand recognition, and increase operational efficiency</w:t>
      </w:r>
      <w:r w:rsidR="5FEAA436" w:rsidRPr="01315E17">
        <w:rPr>
          <w:rFonts w:ascii="Arial" w:eastAsia="Arial" w:hAnsi="Arial" w:cs="Arial"/>
        </w:rPr>
        <w:t xml:space="preserve"> </w:t>
      </w:r>
      <w:r w:rsidR="5FEAA436" w:rsidRPr="01315E17">
        <w:rPr>
          <w:rFonts w:ascii="Arial" w:eastAsia="Arial" w:hAnsi="Arial" w:cs="Arial"/>
          <w:b/>
          <w:bCs/>
        </w:rPr>
        <w:t>(Tata Steel Ltd., 2025)</w:t>
      </w:r>
      <w:r w:rsidR="247387DD" w:rsidRPr="01315E17">
        <w:rPr>
          <w:rFonts w:ascii="Arial" w:eastAsia="Arial" w:hAnsi="Arial" w:cs="Arial"/>
        </w:rPr>
        <w:t>.</w:t>
      </w:r>
      <w:bookmarkStart w:id="17" w:name="_Toc344175783"/>
    </w:p>
    <w:p w14:paraId="299BFB7E" w14:textId="77777777" w:rsidR="00246D80" w:rsidRDefault="00246D80" w:rsidP="00246D80">
      <w:pPr>
        <w:spacing w:line="360" w:lineRule="auto"/>
        <w:jc w:val="both"/>
        <w:rPr>
          <w:rFonts w:ascii="Arial" w:eastAsia="Arial" w:hAnsi="Arial" w:cs="Arial"/>
        </w:rPr>
      </w:pPr>
    </w:p>
    <w:p w14:paraId="41753B0F" w14:textId="748EE960" w:rsidR="35C58599" w:rsidRDefault="35C58599" w:rsidP="00246D80">
      <w:pPr>
        <w:spacing w:line="360" w:lineRule="auto"/>
        <w:jc w:val="both"/>
        <w:rPr>
          <w:b/>
          <w:bCs/>
        </w:rPr>
      </w:pPr>
      <w:r w:rsidRPr="01315E17">
        <w:rPr>
          <w:b/>
          <w:bCs/>
        </w:rPr>
        <w:t>4. Task 3: Critical Reflection on AI Usage:</w:t>
      </w:r>
      <w:bookmarkEnd w:id="17"/>
    </w:p>
    <w:p w14:paraId="632E5477" w14:textId="15E5AF58" w:rsidR="35C58599" w:rsidRDefault="35C58599" w:rsidP="01315E17">
      <w:pPr>
        <w:pStyle w:val="Heading2"/>
        <w:rPr>
          <w:rFonts w:asciiTheme="minorHAnsi" w:eastAsiaTheme="minorEastAsia" w:hAnsiTheme="minorHAnsi" w:cstheme="minorBidi"/>
          <w:b/>
          <w:bCs/>
          <w:color w:val="auto"/>
          <w:sz w:val="22"/>
          <w:szCs w:val="22"/>
        </w:rPr>
      </w:pPr>
      <w:bookmarkStart w:id="18" w:name="_Toc1767893879"/>
      <w:r w:rsidRPr="01315E17">
        <w:rPr>
          <w:rFonts w:asciiTheme="minorHAnsi" w:eastAsiaTheme="minorEastAsia" w:hAnsiTheme="minorHAnsi" w:cstheme="minorBidi"/>
          <w:b/>
          <w:bCs/>
          <w:color w:val="auto"/>
          <w:sz w:val="22"/>
          <w:szCs w:val="22"/>
        </w:rPr>
        <w:t>4.1 AI Tool Disclosure:</w:t>
      </w:r>
      <w:bookmarkEnd w:id="18"/>
    </w:p>
    <w:p w14:paraId="1754DEEB" w14:textId="600BCEBD" w:rsidR="01315E17" w:rsidRDefault="4F2A54BA" w:rsidP="01315E17">
      <w:pPr>
        <w:spacing w:line="360" w:lineRule="auto"/>
        <w:jc w:val="both"/>
      </w:pPr>
      <w:r w:rsidRPr="01315E17">
        <w:rPr>
          <w:rFonts w:ascii="Arial" w:eastAsia="Arial" w:hAnsi="Arial" w:cs="Arial"/>
        </w:rPr>
        <w:t>This project was prepared with the help of an AI-assisted writing tool that produced preliminary concepts, enhanced sentence structure, recommended report headings, and explained marketing theories. Additionally, the program helped find relevant keywords for literature searches and enhanced academic writing consistency and clarity. It wasn't the only source of information, though. According to recent research, generative AI can enhance learning and writing productivity when it is utilised sensibly in conjunction with autonomous critical thinking rather than in place of it</w:t>
      </w:r>
      <w:r w:rsidR="3D597074" w:rsidRPr="01315E17">
        <w:rPr>
          <w:rFonts w:ascii="Arial" w:eastAsia="Arial" w:hAnsi="Arial" w:cs="Arial"/>
        </w:rPr>
        <w:t xml:space="preserve"> </w:t>
      </w:r>
      <w:r w:rsidR="3D597074" w:rsidRPr="01315E17">
        <w:rPr>
          <w:rFonts w:ascii="Arial" w:eastAsia="Arial" w:hAnsi="Arial" w:cs="Arial"/>
          <w:b/>
          <w:bCs/>
        </w:rPr>
        <w:t>(Perkins, 2023</w:t>
      </w:r>
      <w:r w:rsidR="3D597074" w:rsidRPr="01315E17">
        <w:rPr>
          <w:rFonts w:ascii="Arial" w:eastAsia="Arial" w:hAnsi="Arial" w:cs="Arial"/>
        </w:rPr>
        <w:t>)</w:t>
      </w:r>
      <w:r w:rsidRPr="01315E17">
        <w:rPr>
          <w:rFonts w:ascii="Arial" w:eastAsia="Arial" w:hAnsi="Arial" w:cs="Arial"/>
        </w:rPr>
        <w:t>.</w:t>
      </w:r>
      <w:r w:rsidR="69BE9015" w:rsidRPr="01315E17">
        <w:rPr>
          <w:rFonts w:ascii="Arial" w:eastAsia="Arial" w:hAnsi="Arial" w:cs="Arial"/>
        </w:rPr>
        <w:t xml:space="preserve"> Therefore, before being included in the final report, all AI-assisted outputs were thoroughly examined and validated against peer-reviewed journal articles, official Tata Steel publications, and other reliable academic sources. This made sure that my knowledge and academic judgement were reflected in the work I turned in.</w:t>
      </w:r>
    </w:p>
    <w:p w14:paraId="6936CBD1" w14:textId="77777777" w:rsidR="00246D80" w:rsidRPr="00246D80" w:rsidRDefault="00246D80" w:rsidP="01315E17">
      <w:pPr>
        <w:spacing w:line="360" w:lineRule="auto"/>
        <w:jc w:val="both"/>
      </w:pPr>
    </w:p>
    <w:p w14:paraId="3DCE056D" w14:textId="3B8CB6DA" w:rsidR="69BE9015" w:rsidRDefault="69BE9015" w:rsidP="01315E17">
      <w:pPr>
        <w:pStyle w:val="Heading2"/>
        <w:spacing w:line="360" w:lineRule="auto"/>
        <w:jc w:val="both"/>
        <w:rPr>
          <w:rFonts w:asciiTheme="minorHAnsi" w:eastAsiaTheme="minorEastAsia" w:hAnsiTheme="minorHAnsi" w:cstheme="minorBidi"/>
          <w:b/>
          <w:bCs/>
          <w:color w:val="auto"/>
          <w:sz w:val="24"/>
          <w:szCs w:val="24"/>
        </w:rPr>
      </w:pPr>
      <w:bookmarkStart w:id="19" w:name="_Toc1542991454"/>
      <w:r w:rsidRPr="01315E17">
        <w:rPr>
          <w:rFonts w:asciiTheme="minorHAnsi" w:eastAsiaTheme="minorEastAsia" w:hAnsiTheme="minorHAnsi" w:cstheme="minorBidi"/>
          <w:b/>
          <w:bCs/>
          <w:color w:val="auto"/>
          <w:sz w:val="24"/>
          <w:szCs w:val="24"/>
        </w:rPr>
        <w:t>4.2 Critical Evaluation of AI Output:</w:t>
      </w:r>
      <w:bookmarkEnd w:id="19"/>
    </w:p>
    <w:p w14:paraId="3F42500F" w14:textId="23CAAC68" w:rsidR="69BE9015" w:rsidRDefault="69BE9015" w:rsidP="01315E17">
      <w:pPr>
        <w:spacing w:line="360" w:lineRule="auto"/>
        <w:jc w:val="both"/>
        <w:rPr>
          <w:rFonts w:ascii="Arial" w:eastAsia="Arial" w:hAnsi="Arial" w:cs="Arial"/>
        </w:rPr>
      </w:pPr>
      <w:r w:rsidRPr="01315E17">
        <w:rPr>
          <w:rFonts w:ascii="Arial" w:eastAsia="Arial" w:hAnsi="Arial" w:cs="Arial"/>
        </w:rPr>
        <w:t xml:space="preserve">The report was drafted more quickly thanks to the AI-assisted writing tool, but its results needed to be carefully considered before being used. While some answers were too generic and needed further proof from peer-reviewed literature, others lacked adequate critical examination. According to earlier studies, generative AI can help with academic writing, but it can also generate information that is erroneous, lacking, or unsubstantiated, necessitating human verification. In order to enhance analytical depth and guarantee that the conversation appropriately represented Tata Steel's strategic marketing environment, </w:t>
      </w:r>
      <w:r w:rsidRPr="01315E17">
        <w:rPr>
          <w:rFonts w:ascii="Arial" w:eastAsia="Arial" w:hAnsi="Arial" w:cs="Arial"/>
        </w:rPr>
        <w:lastRenderedPageBreak/>
        <w:t>each AI-generated segment was examined, revised as needed, and backed up by scholarly references.</w:t>
      </w:r>
    </w:p>
    <w:p w14:paraId="21A75F11" w14:textId="77777777" w:rsidR="00246D80" w:rsidRDefault="00246D80" w:rsidP="01315E17">
      <w:pPr>
        <w:spacing w:line="360" w:lineRule="auto"/>
        <w:jc w:val="both"/>
      </w:pPr>
    </w:p>
    <w:p w14:paraId="47817F83" w14:textId="29E7BA36" w:rsidR="3CA034CA" w:rsidRDefault="3CA034CA" w:rsidP="01315E17">
      <w:pPr>
        <w:pStyle w:val="Heading2"/>
        <w:spacing w:line="360" w:lineRule="auto"/>
        <w:jc w:val="both"/>
        <w:rPr>
          <w:rFonts w:asciiTheme="minorHAnsi" w:eastAsiaTheme="minorEastAsia" w:hAnsiTheme="minorHAnsi" w:cstheme="minorBidi"/>
          <w:b/>
          <w:bCs/>
          <w:color w:val="auto"/>
          <w:sz w:val="24"/>
          <w:szCs w:val="24"/>
        </w:rPr>
      </w:pPr>
      <w:bookmarkStart w:id="20" w:name="_Toc96215743"/>
      <w:r w:rsidRPr="01315E17">
        <w:rPr>
          <w:rFonts w:asciiTheme="minorHAnsi" w:eastAsiaTheme="minorEastAsia" w:hAnsiTheme="minorHAnsi" w:cstheme="minorBidi"/>
          <w:b/>
          <w:bCs/>
          <w:color w:val="auto"/>
          <w:sz w:val="24"/>
          <w:szCs w:val="24"/>
        </w:rPr>
        <w:t>4.3 My Contribution to the Assignment:</w:t>
      </w:r>
      <w:bookmarkEnd w:id="20"/>
    </w:p>
    <w:p w14:paraId="77764B75" w14:textId="4F5357B1" w:rsidR="3E39558F" w:rsidRDefault="3E39558F" w:rsidP="01315E17">
      <w:pPr>
        <w:spacing w:line="360" w:lineRule="auto"/>
        <w:jc w:val="both"/>
      </w:pPr>
      <w:r w:rsidRPr="01315E17">
        <w:rPr>
          <w:rFonts w:ascii="Arial" w:eastAsia="Arial" w:hAnsi="Arial" w:cs="Arial"/>
        </w:rPr>
        <w:t>My main contributions to Tata Steel were independent research, the selection of pertinent scholarly works, and the application of strategic marketing theories. Before assessing strategic growth using the Ansoff Matrix and competitive positioning using Porter's Generic Strategies, I separately examined the company's external marketing environment utilising the Natural and Political elements of PESTLE analysis. I also looked for peer-reviewed academic publications on Google Scholar, analysed the results of Tata Steel's Integrated Report, and made sure that all sources were cited following the Harvard referencing style. The AI-assisted writing tool was merely a supporting tool; my own analysis and academic judgement were used to finish the report's critical examination, evidence selection, recommendation development, and final presentation.</w:t>
      </w:r>
    </w:p>
    <w:p w14:paraId="06B97041" w14:textId="430EEC98" w:rsidR="01315E17" w:rsidRDefault="01315E17" w:rsidP="01315E17">
      <w:pPr>
        <w:spacing w:line="360" w:lineRule="auto"/>
        <w:jc w:val="both"/>
        <w:rPr>
          <w:rFonts w:ascii="Arial" w:eastAsia="Arial" w:hAnsi="Arial" w:cs="Arial"/>
        </w:rPr>
      </w:pPr>
    </w:p>
    <w:p w14:paraId="57BCBA3D" w14:textId="04129822" w:rsidR="3E39558F" w:rsidRDefault="3E39558F" w:rsidP="01315E17">
      <w:pPr>
        <w:pStyle w:val="Heading2"/>
        <w:spacing w:line="360" w:lineRule="auto"/>
        <w:jc w:val="both"/>
        <w:rPr>
          <w:rFonts w:asciiTheme="minorHAnsi" w:eastAsiaTheme="minorEastAsia" w:hAnsiTheme="minorHAnsi" w:cstheme="minorBidi"/>
          <w:b/>
          <w:bCs/>
          <w:color w:val="auto"/>
          <w:sz w:val="24"/>
          <w:szCs w:val="24"/>
        </w:rPr>
      </w:pPr>
      <w:bookmarkStart w:id="21" w:name="_Toc648314974"/>
      <w:r w:rsidRPr="01315E17">
        <w:rPr>
          <w:rFonts w:asciiTheme="minorHAnsi" w:eastAsiaTheme="minorEastAsia" w:hAnsiTheme="minorHAnsi" w:cstheme="minorBidi"/>
          <w:b/>
          <w:bCs/>
          <w:color w:val="auto"/>
          <w:sz w:val="24"/>
          <w:szCs w:val="24"/>
        </w:rPr>
        <w:t>4.4 Ethical Reflection on AI Use:</w:t>
      </w:r>
      <w:bookmarkEnd w:id="21"/>
    </w:p>
    <w:p w14:paraId="60DD9E9A" w14:textId="5AF9E612" w:rsidR="4144FA9E" w:rsidRDefault="4144FA9E" w:rsidP="01315E17">
      <w:pPr>
        <w:spacing w:line="360" w:lineRule="auto"/>
        <w:jc w:val="both"/>
      </w:pPr>
      <w:r w:rsidRPr="01315E17">
        <w:rPr>
          <w:rFonts w:ascii="Arial" w:eastAsia="Arial" w:hAnsi="Arial" w:cs="Arial"/>
        </w:rPr>
        <w:t xml:space="preserve">Transparency, academic integrity, and responsible decision-making are essential for the ethical application of AI in higher education. Instead of depending on unverified AI-generated content, I utilised the technology as a learning aid to structure thoughts and enhance writing quality while still taking ownership of the finished product. According to research, academic institutions are encouraging students to use generative AI in an ethical manner by critically assessing results, recognising its application when necessary, and guaranteeing originality through independent examination </w:t>
      </w:r>
      <w:r w:rsidRPr="01315E17">
        <w:rPr>
          <w:rFonts w:ascii="Arial" w:eastAsia="Arial" w:hAnsi="Arial" w:cs="Arial"/>
          <w:b/>
          <w:bCs/>
        </w:rPr>
        <w:t>(Perkins, 2023</w:t>
      </w:r>
      <w:r w:rsidRPr="01315E17">
        <w:rPr>
          <w:rFonts w:ascii="Arial" w:eastAsia="Arial" w:hAnsi="Arial" w:cs="Arial"/>
        </w:rPr>
        <w:t>).</w:t>
      </w:r>
    </w:p>
    <w:p w14:paraId="4682BD3A" w14:textId="15C07715" w:rsidR="01315E17" w:rsidRDefault="01315E17" w:rsidP="01315E17"/>
    <w:p w14:paraId="73FBBE7A" w14:textId="7F75000F" w:rsidR="01315E17" w:rsidRDefault="01315E17" w:rsidP="01315E17">
      <w:pPr>
        <w:spacing w:line="360" w:lineRule="auto"/>
        <w:jc w:val="both"/>
        <w:rPr>
          <w:rFonts w:ascii="Arial" w:eastAsia="Arial" w:hAnsi="Arial" w:cs="Arial"/>
        </w:rPr>
      </w:pPr>
    </w:p>
    <w:p w14:paraId="44544111" w14:textId="1CD0529A" w:rsidR="01315E17" w:rsidRDefault="01315E17">
      <w:r>
        <w:br w:type="page"/>
      </w:r>
    </w:p>
    <w:p w14:paraId="2041F3AC" w14:textId="50714E40" w:rsidR="23F3BC68" w:rsidRDefault="23F3BC68" w:rsidP="01315E17">
      <w:pPr>
        <w:pStyle w:val="Heading1"/>
        <w:spacing w:line="360" w:lineRule="auto"/>
        <w:jc w:val="center"/>
        <w:rPr>
          <w:rFonts w:asciiTheme="minorHAnsi" w:eastAsiaTheme="minorEastAsia" w:hAnsiTheme="minorHAnsi" w:cstheme="minorBidi"/>
          <w:b/>
          <w:bCs/>
          <w:color w:val="auto"/>
          <w:sz w:val="24"/>
          <w:szCs w:val="24"/>
        </w:rPr>
      </w:pPr>
      <w:bookmarkStart w:id="22" w:name="_Toc441800942"/>
      <w:r w:rsidRPr="01315E17">
        <w:rPr>
          <w:rFonts w:asciiTheme="minorHAnsi" w:eastAsiaTheme="minorEastAsia" w:hAnsiTheme="minorHAnsi" w:cstheme="minorBidi"/>
          <w:b/>
          <w:bCs/>
          <w:color w:val="auto"/>
          <w:sz w:val="24"/>
          <w:szCs w:val="24"/>
        </w:rPr>
        <w:lastRenderedPageBreak/>
        <w:t>Conclusion</w:t>
      </w:r>
      <w:bookmarkEnd w:id="22"/>
    </w:p>
    <w:p w14:paraId="40211742" w14:textId="2A263A87" w:rsidR="233D2C33" w:rsidRDefault="233D2C33" w:rsidP="01315E17">
      <w:pPr>
        <w:spacing w:before="240" w:after="240" w:line="360" w:lineRule="auto"/>
        <w:jc w:val="both"/>
      </w:pPr>
      <w:r w:rsidRPr="01315E17">
        <w:rPr>
          <w:rFonts w:ascii="Arial" w:eastAsia="Arial" w:hAnsi="Arial" w:cs="Arial"/>
        </w:rPr>
        <w:t>This paper indicates that by incorporating sustainability and innovation into its long-term business plan, Tata Steel has successfully adjusted to changes in the external marketing environment. The analysis shows that the company's investment in low-carbon technology, renewable energy, and sustainable manufacturing has been greatly impacted by environmental and political concerns. Product development was found to be the best growth strategy using the Ansoff Matrix, and Porter's Generic Strategies verified that differentiation gives Tata Steel a long-term competitive advantage through innovation, product quality, and customer value. The company's future competitiveness in the global steel sector is further supported by the suggested strategic objectives. All things considered, Tata Steel is well-positioned for robust and long-term growth in a market that is becoming more competitive and environmentally conscious because to its ongoing dedication to sustainable innovation, strategic adaptability, and customer-focused value creation.</w:t>
      </w:r>
    </w:p>
    <w:p w14:paraId="3AA54C31" w14:textId="45B65DD2" w:rsidR="01315E17" w:rsidRDefault="01315E17" w:rsidP="01315E17">
      <w:pPr>
        <w:spacing w:before="240" w:after="240" w:line="360" w:lineRule="auto"/>
        <w:jc w:val="both"/>
        <w:rPr>
          <w:rFonts w:ascii="Arial" w:eastAsia="Arial" w:hAnsi="Arial" w:cs="Arial"/>
        </w:rPr>
      </w:pPr>
    </w:p>
    <w:p w14:paraId="1B1C12CA" w14:textId="17C18FC1" w:rsidR="01315E17" w:rsidRDefault="01315E17">
      <w:r>
        <w:br w:type="page"/>
      </w:r>
    </w:p>
    <w:p w14:paraId="31B77226" w14:textId="171C6B0E" w:rsidR="1C0E5799" w:rsidRDefault="1C0E5799" w:rsidP="01315E17">
      <w:pPr>
        <w:pStyle w:val="Heading1"/>
        <w:spacing w:line="360" w:lineRule="auto"/>
        <w:rPr>
          <w:rFonts w:asciiTheme="minorHAnsi" w:eastAsiaTheme="minorEastAsia" w:hAnsiTheme="minorHAnsi" w:cstheme="minorBidi"/>
          <w:b/>
          <w:bCs/>
          <w:color w:val="auto"/>
          <w:sz w:val="24"/>
          <w:szCs w:val="24"/>
        </w:rPr>
      </w:pPr>
      <w:bookmarkStart w:id="23" w:name="_Toc30931134"/>
      <w:r w:rsidRPr="01315E17">
        <w:rPr>
          <w:rFonts w:asciiTheme="minorHAnsi" w:eastAsiaTheme="minorEastAsia" w:hAnsiTheme="minorHAnsi" w:cstheme="minorBidi"/>
          <w:b/>
          <w:bCs/>
          <w:color w:val="auto"/>
          <w:sz w:val="24"/>
          <w:szCs w:val="24"/>
        </w:rPr>
        <w:lastRenderedPageBreak/>
        <w:t>References:</w:t>
      </w:r>
      <w:bookmarkEnd w:id="23"/>
    </w:p>
    <w:p w14:paraId="625851BC" w14:textId="123FC9D6" w:rsidR="1C0E5799" w:rsidRDefault="1C0E5799" w:rsidP="01315E17">
      <w:pPr>
        <w:spacing w:line="360" w:lineRule="auto"/>
        <w:rPr>
          <w:rFonts w:ascii="Arial" w:eastAsia="Arial" w:hAnsi="Arial" w:cs="Arial"/>
        </w:rPr>
      </w:pPr>
      <w:r w:rsidRPr="01315E17">
        <w:rPr>
          <w:rFonts w:ascii="Arial" w:eastAsia="Arial" w:hAnsi="Arial" w:cs="Arial"/>
          <w:color w:val="222222"/>
        </w:rPr>
        <w:t xml:space="preserve">Ansoff, H.I., 1957. Strategies for diversification. </w:t>
      </w:r>
      <w:r w:rsidRPr="01315E17">
        <w:rPr>
          <w:rFonts w:ascii="Arial" w:eastAsia="Arial" w:hAnsi="Arial" w:cs="Arial"/>
          <w:i/>
          <w:iCs/>
          <w:color w:val="222222"/>
        </w:rPr>
        <w:t>Harvard business review</w:t>
      </w:r>
      <w:r w:rsidRPr="01315E17">
        <w:rPr>
          <w:rFonts w:ascii="Arial" w:eastAsia="Arial" w:hAnsi="Arial" w:cs="Arial"/>
          <w:color w:val="222222"/>
        </w:rPr>
        <w:t xml:space="preserve">, </w:t>
      </w:r>
      <w:r w:rsidRPr="01315E17">
        <w:rPr>
          <w:rFonts w:ascii="Arial" w:eastAsia="Arial" w:hAnsi="Arial" w:cs="Arial"/>
          <w:i/>
          <w:iCs/>
          <w:color w:val="222222"/>
        </w:rPr>
        <w:t>35</w:t>
      </w:r>
      <w:r w:rsidRPr="01315E17">
        <w:rPr>
          <w:rFonts w:ascii="Arial" w:eastAsia="Arial" w:hAnsi="Arial" w:cs="Arial"/>
          <w:color w:val="222222"/>
        </w:rPr>
        <w:t>(5), pp.113-124.</w:t>
      </w:r>
    </w:p>
    <w:p w14:paraId="1B1C187F" w14:textId="6C64870C" w:rsidR="1C0E5799" w:rsidRDefault="1C0E5799" w:rsidP="01315E17">
      <w:pPr>
        <w:spacing w:line="360" w:lineRule="auto"/>
        <w:rPr>
          <w:rFonts w:ascii="Arial" w:eastAsia="Arial" w:hAnsi="Arial" w:cs="Arial"/>
        </w:rPr>
      </w:pPr>
      <w:r w:rsidRPr="01315E17">
        <w:rPr>
          <w:rFonts w:ascii="Arial" w:eastAsia="Arial" w:hAnsi="Arial" w:cs="Arial"/>
          <w:color w:val="222222"/>
        </w:rPr>
        <w:t xml:space="preserve">Bailey, I., 2007. Market environmentalism, new environmental policy instruments, and climate policy in the United Kingdom and Germany. </w:t>
      </w:r>
      <w:r w:rsidRPr="01315E17">
        <w:rPr>
          <w:rFonts w:ascii="Arial" w:eastAsia="Arial" w:hAnsi="Arial" w:cs="Arial"/>
          <w:i/>
          <w:iCs/>
          <w:color w:val="222222"/>
        </w:rPr>
        <w:t>Annals of the Association of American Geographers</w:t>
      </w:r>
      <w:r w:rsidRPr="01315E17">
        <w:rPr>
          <w:rFonts w:ascii="Arial" w:eastAsia="Arial" w:hAnsi="Arial" w:cs="Arial"/>
          <w:color w:val="222222"/>
        </w:rPr>
        <w:t xml:space="preserve">, </w:t>
      </w:r>
      <w:r w:rsidRPr="01315E17">
        <w:rPr>
          <w:rFonts w:ascii="Arial" w:eastAsia="Arial" w:hAnsi="Arial" w:cs="Arial"/>
          <w:i/>
          <w:iCs/>
          <w:color w:val="222222"/>
        </w:rPr>
        <w:t>97</w:t>
      </w:r>
      <w:r w:rsidRPr="01315E17">
        <w:rPr>
          <w:rFonts w:ascii="Arial" w:eastAsia="Arial" w:hAnsi="Arial" w:cs="Arial"/>
          <w:color w:val="222222"/>
        </w:rPr>
        <w:t>(3), pp.530-550.</w:t>
      </w:r>
    </w:p>
    <w:p w14:paraId="0EA18F16" w14:textId="3028E9E6" w:rsidR="1C0E5799" w:rsidRDefault="1C0E5799" w:rsidP="01315E17">
      <w:pPr>
        <w:spacing w:line="360" w:lineRule="auto"/>
      </w:pPr>
      <w:r w:rsidRPr="01315E17">
        <w:rPr>
          <w:rFonts w:ascii="Arial" w:eastAsia="Arial" w:hAnsi="Arial" w:cs="Arial"/>
          <w:color w:val="000000" w:themeColor="text1"/>
        </w:rPr>
        <w:t xml:space="preserve">Belz, F.M., Peattie, K. and Onel, N., 2025. </w:t>
      </w:r>
      <w:r w:rsidRPr="01315E17">
        <w:rPr>
          <w:rFonts w:ascii="Arial" w:eastAsia="Arial" w:hAnsi="Arial" w:cs="Arial"/>
          <w:i/>
          <w:iCs/>
          <w:color w:val="000000" w:themeColor="text1"/>
        </w:rPr>
        <w:t>Sustainability Marketing: A Global Perspective</w:t>
      </w:r>
      <w:r w:rsidRPr="01315E17">
        <w:rPr>
          <w:rFonts w:ascii="Arial" w:eastAsia="Arial" w:hAnsi="Arial" w:cs="Arial"/>
          <w:color w:val="000000" w:themeColor="text1"/>
        </w:rPr>
        <w:t>. Hoboken, NJ: John Wiley &amp; Sons.</w:t>
      </w:r>
    </w:p>
    <w:p w14:paraId="6BE84E88" w14:textId="026AC740" w:rsidR="1C0E5799" w:rsidRDefault="1C0E5799" w:rsidP="01315E17">
      <w:pPr>
        <w:spacing w:line="360" w:lineRule="auto"/>
      </w:pPr>
      <w:r w:rsidRPr="01315E17">
        <w:rPr>
          <w:rFonts w:ascii="Arial" w:eastAsia="Arial" w:hAnsi="Arial" w:cs="Arial"/>
          <w:color w:val="222222"/>
        </w:rPr>
        <w:t>Government of India (2023) National Green Hydrogen Mission. New Delhi: Ministry of New and Renewable Energy.</w:t>
      </w:r>
    </w:p>
    <w:p w14:paraId="427C15F5" w14:textId="78DF459C" w:rsidR="1C0E5799" w:rsidRDefault="1C0E5799" w:rsidP="01315E17">
      <w:pPr>
        <w:spacing w:line="360" w:lineRule="auto"/>
        <w:rPr>
          <w:rFonts w:ascii="Arial" w:eastAsia="Arial" w:hAnsi="Arial" w:cs="Arial"/>
        </w:rPr>
      </w:pPr>
      <w:r w:rsidRPr="01315E17">
        <w:rPr>
          <w:rFonts w:ascii="Arial" w:eastAsia="Arial" w:hAnsi="Arial" w:cs="Arial"/>
          <w:color w:val="222222"/>
        </w:rPr>
        <w:t xml:space="preserve">Hermawan, A.N., Masudin, I., Zulfikarijah, F., Restuputri, D.P. and Shariff, S.S.R., 2024. The effect of sustainable manufacturing on environmental performance through government regulation and eco-innovation. </w:t>
      </w:r>
      <w:r w:rsidRPr="01315E17">
        <w:rPr>
          <w:rFonts w:ascii="Arial" w:eastAsia="Arial" w:hAnsi="Arial" w:cs="Arial"/>
          <w:i/>
          <w:iCs/>
          <w:color w:val="222222"/>
        </w:rPr>
        <w:t>International Journal of Industrial Engineering and Operations Management</w:t>
      </w:r>
      <w:r w:rsidRPr="01315E17">
        <w:rPr>
          <w:rFonts w:ascii="Arial" w:eastAsia="Arial" w:hAnsi="Arial" w:cs="Arial"/>
          <w:color w:val="222222"/>
        </w:rPr>
        <w:t xml:space="preserve">, </w:t>
      </w:r>
      <w:r w:rsidRPr="01315E17">
        <w:rPr>
          <w:rFonts w:ascii="Arial" w:eastAsia="Arial" w:hAnsi="Arial" w:cs="Arial"/>
          <w:i/>
          <w:iCs/>
          <w:color w:val="222222"/>
        </w:rPr>
        <w:t>6</w:t>
      </w:r>
      <w:r w:rsidRPr="01315E17">
        <w:rPr>
          <w:rFonts w:ascii="Arial" w:eastAsia="Arial" w:hAnsi="Arial" w:cs="Arial"/>
          <w:color w:val="222222"/>
        </w:rPr>
        <w:t>(4), pp.299-325.</w:t>
      </w:r>
    </w:p>
    <w:p w14:paraId="29D84B45" w14:textId="0FE72778" w:rsidR="1C0E5799" w:rsidRDefault="1C0E5799" w:rsidP="01315E17">
      <w:pPr>
        <w:spacing w:line="360" w:lineRule="auto"/>
      </w:pPr>
      <w:r w:rsidRPr="01315E17">
        <w:rPr>
          <w:rFonts w:ascii="Arial" w:eastAsia="Arial" w:hAnsi="Arial" w:cs="Arial"/>
          <w:color w:val="000000" w:themeColor="text1"/>
        </w:rPr>
        <w:t>Islami, X., Mustafa, N. and Topuzovska Latkovikj, M., 2020. Linking Porter’s generic strategies to firm performance. Future Business Journal, 6(1), p.3.</w:t>
      </w:r>
      <w:r w:rsidRPr="01315E17">
        <w:rPr>
          <w:rFonts w:ascii="Arial" w:eastAsia="Arial" w:hAnsi="Arial" w:cs="Arial"/>
        </w:rPr>
        <w:t xml:space="preserve"> </w:t>
      </w:r>
    </w:p>
    <w:p w14:paraId="53EFD13C" w14:textId="7ABED177" w:rsidR="1C0E5799" w:rsidRDefault="1C0E5799" w:rsidP="01315E17">
      <w:pPr>
        <w:spacing w:line="360" w:lineRule="auto"/>
      </w:pPr>
      <w:r w:rsidRPr="01315E17">
        <w:rPr>
          <w:rFonts w:ascii="Arial" w:eastAsia="Arial" w:hAnsi="Arial" w:cs="Arial"/>
          <w:color w:val="222222"/>
        </w:rPr>
        <w:t xml:space="preserve">Jha, V.S. and Arora, S., 2013. Strategic leadership for corporate sustainable development at Tata Steel. </w:t>
      </w:r>
      <w:r w:rsidRPr="01315E17">
        <w:rPr>
          <w:rFonts w:ascii="Arial" w:eastAsia="Arial" w:hAnsi="Arial" w:cs="Arial"/>
          <w:i/>
          <w:iCs/>
          <w:color w:val="222222"/>
        </w:rPr>
        <w:t>International Journal of Indian Culture and Business Management</w:t>
      </w:r>
      <w:r w:rsidRPr="01315E17">
        <w:rPr>
          <w:rFonts w:ascii="Arial" w:eastAsia="Arial" w:hAnsi="Arial" w:cs="Arial"/>
          <w:color w:val="222222"/>
        </w:rPr>
        <w:t xml:space="preserve">, </w:t>
      </w:r>
      <w:r w:rsidRPr="01315E17">
        <w:rPr>
          <w:rFonts w:ascii="Arial" w:eastAsia="Arial" w:hAnsi="Arial" w:cs="Arial"/>
          <w:i/>
          <w:iCs/>
          <w:color w:val="222222"/>
        </w:rPr>
        <w:t>7</w:t>
      </w:r>
      <w:r w:rsidRPr="01315E17">
        <w:rPr>
          <w:rFonts w:ascii="Arial" w:eastAsia="Arial" w:hAnsi="Arial" w:cs="Arial"/>
          <w:color w:val="222222"/>
        </w:rPr>
        <w:t>(3), pp.283-306.</w:t>
      </w:r>
    </w:p>
    <w:p w14:paraId="1B55B47E" w14:textId="4F5758BD" w:rsidR="1C0E5799" w:rsidRDefault="1C0E5799" w:rsidP="01315E17">
      <w:pPr>
        <w:spacing w:line="360" w:lineRule="auto"/>
        <w:rPr>
          <w:rFonts w:ascii="Arial" w:eastAsia="Arial" w:hAnsi="Arial" w:cs="Arial"/>
        </w:rPr>
      </w:pPr>
      <w:r w:rsidRPr="01315E17">
        <w:rPr>
          <w:rFonts w:ascii="Arial" w:eastAsia="Arial" w:hAnsi="Arial" w:cs="Arial"/>
          <w:color w:val="222222"/>
        </w:rPr>
        <w:t xml:space="preserve">Kim, W. and Sohn, I., 2022. Critical challenges facing low carbon steelmaking technology using hydrogen direct reduced iron. </w:t>
      </w:r>
      <w:r w:rsidRPr="01315E17">
        <w:rPr>
          <w:rFonts w:ascii="Arial" w:eastAsia="Arial" w:hAnsi="Arial" w:cs="Arial"/>
          <w:i/>
          <w:iCs/>
          <w:color w:val="222222"/>
        </w:rPr>
        <w:t>Joule</w:t>
      </w:r>
      <w:r w:rsidRPr="01315E17">
        <w:rPr>
          <w:rFonts w:ascii="Arial" w:eastAsia="Arial" w:hAnsi="Arial" w:cs="Arial"/>
          <w:color w:val="222222"/>
        </w:rPr>
        <w:t xml:space="preserve">, </w:t>
      </w:r>
      <w:r w:rsidRPr="01315E17">
        <w:rPr>
          <w:rFonts w:ascii="Arial" w:eastAsia="Arial" w:hAnsi="Arial" w:cs="Arial"/>
          <w:i/>
          <w:iCs/>
          <w:color w:val="222222"/>
        </w:rPr>
        <w:t>6</w:t>
      </w:r>
      <w:r w:rsidRPr="01315E17">
        <w:rPr>
          <w:rFonts w:ascii="Arial" w:eastAsia="Arial" w:hAnsi="Arial" w:cs="Arial"/>
          <w:color w:val="222222"/>
        </w:rPr>
        <w:t>(10), pp.2228-2232.</w:t>
      </w:r>
    </w:p>
    <w:p w14:paraId="08F2C0CC" w14:textId="033D8260" w:rsidR="1C0E5799" w:rsidRDefault="1C0E5799" w:rsidP="01315E17">
      <w:pPr>
        <w:spacing w:line="360" w:lineRule="auto"/>
      </w:pPr>
      <w:r w:rsidRPr="01315E17">
        <w:rPr>
          <w:rFonts w:ascii="Arial" w:eastAsia="Arial" w:hAnsi="Arial" w:cs="Arial"/>
          <w:color w:val="000000" w:themeColor="text1"/>
        </w:rPr>
        <w:t xml:space="preserve">Kotler, P. and Armstrong, G., 2010. </w:t>
      </w:r>
      <w:r w:rsidRPr="01315E17">
        <w:rPr>
          <w:rFonts w:ascii="Arial" w:eastAsia="Arial" w:hAnsi="Arial" w:cs="Arial"/>
          <w:i/>
          <w:iCs/>
          <w:color w:val="000000" w:themeColor="text1"/>
        </w:rPr>
        <w:t>Principles of Marketing</w:t>
      </w:r>
      <w:r w:rsidRPr="01315E17">
        <w:rPr>
          <w:rFonts w:ascii="Arial" w:eastAsia="Arial" w:hAnsi="Arial" w:cs="Arial"/>
          <w:color w:val="000000" w:themeColor="text1"/>
        </w:rPr>
        <w:t>. Pearson Education.</w:t>
      </w:r>
    </w:p>
    <w:p w14:paraId="682091F4" w14:textId="3B3069C4" w:rsidR="1C0E5799" w:rsidRDefault="1C0E5799" w:rsidP="01315E17">
      <w:pPr>
        <w:spacing w:line="360" w:lineRule="auto"/>
      </w:pPr>
      <w:r w:rsidRPr="01315E17">
        <w:rPr>
          <w:rFonts w:ascii="Arial" w:eastAsia="Arial" w:hAnsi="Arial" w:cs="Arial"/>
          <w:color w:val="222222"/>
        </w:rPr>
        <w:t xml:space="preserve">Lees-Marshment, J., 2014. </w:t>
      </w:r>
      <w:r w:rsidRPr="01315E17">
        <w:rPr>
          <w:rFonts w:ascii="Arial" w:eastAsia="Arial" w:hAnsi="Arial" w:cs="Arial"/>
          <w:i/>
          <w:iCs/>
          <w:color w:val="222222"/>
        </w:rPr>
        <w:t>Political marketing: Principles and applications</w:t>
      </w:r>
      <w:r w:rsidRPr="01315E17">
        <w:rPr>
          <w:rFonts w:ascii="Arial" w:eastAsia="Arial" w:hAnsi="Arial" w:cs="Arial"/>
          <w:color w:val="222222"/>
        </w:rPr>
        <w:t>. Routledge.</w:t>
      </w:r>
      <w:r w:rsidRPr="01315E17">
        <w:rPr>
          <w:rFonts w:ascii="Arial" w:eastAsia="Arial" w:hAnsi="Arial" w:cs="Arial"/>
          <w:color w:val="000000" w:themeColor="text1"/>
        </w:rPr>
        <w:t xml:space="preserve"> </w:t>
      </w:r>
    </w:p>
    <w:p w14:paraId="3177E975" w14:textId="7ADF5159" w:rsidR="1C0E5799" w:rsidRDefault="1C0E5799" w:rsidP="01315E17">
      <w:pPr>
        <w:spacing w:line="360" w:lineRule="auto"/>
      </w:pPr>
      <w:r w:rsidRPr="01315E17">
        <w:rPr>
          <w:rFonts w:ascii="Arial" w:eastAsia="Arial" w:hAnsi="Arial" w:cs="Arial"/>
          <w:color w:val="000000" w:themeColor="text1"/>
        </w:rPr>
        <w:t>Peng, L., Fan, Z. and Zhang, X., 2025. Consumer orientation and market-driven strategies for promoting low-carbon innovation in supply chains: pathways to sustainable development. Sustainability, 17(3), p.1128.</w:t>
      </w:r>
    </w:p>
    <w:p w14:paraId="65E62CCB" w14:textId="1EC0E7E8" w:rsidR="1C0E5799" w:rsidRDefault="1C0E5799" w:rsidP="01315E17">
      <w:pPr>
        <w:spacing w:line="360" w:lineRule="auto"/>
      </w:pPr>
      <w:r w:rsidRPr="01315E17">
        <w:rPr>
          <w:rFonts w:ascii="Arial" w:eastAsia="Arial" w:hAnsi="Arial" w:cs="Arial"/>
          <w:color w:val="000000" w:themeColor="text1"/>
        </w:rPr>
        <w:lastRenderedPageBreak/>
        <w:t xml:space="preserve">Perkins, M. (2023) 'Academic Integrity Considerations of AI Large Language Models in the Post-Pandemic Era: ChatGPT and Beyond', </w:t>
      </w:r>
      <w:r w:rsidRPr="01315E17">
        <w:rPr>
          <w:rFonts w:ascii="Arial" w:eastAsia="Arial" w:hAnsi="Arial" w:cs="Arial"/>
          <w:b/>
          <w:bCs/>
          <w:color w:val="000000" w:themeColor="text1"/>
        </w:rPr>
        <w:t>Journal of University Teaching and Learning Practice</w:t>
      </w:r>
      <w:r w:rsidRPr="01315E17">
        <w:rPr>
          <w:rFonts w:ascii="Arial" w:eastAsia="Arial" w:hAnsi="Arial" w:cs="Arial"/>
          <w:color w:val="000000" w:themeColor="text1"/>
        </w:rPr>
        <w:t>, 20(2).</w:t>
      </w:r>
      <w:r w:rsidRPr="01315E17">
        <w:rPr>
          <w:rFonts w:ascii="Arial" w:eastAsia="Arial" w:hAnsi="Arial" w:cs="Arial"/>
        </w:rPr>
        <w:t xml:space="preserve"> </w:t>
      </w:r>
    </w:p>
    <w:p w14:paraId="7B671C0F" w14:textId="1B87D997" w:rsidR="1C0E5799" w:rsidRDefault="1C0E5799" w:rsidP="01315E17">
      <w:pPr>
        <w:spacing w:line="360" w:lineRule="auto"/>
      </w:pPr>
      <w:r w:rsidRPr="01315E17">
        <w:rPr>
          <w:rFonts w:ascii="Arial" w:eastAsia="Arial" w:hAnsi="Arial" w:cs="Arial"/>
          <w:color w:val="222222"/>
        </w:rPr>
        <w:t>Porter, M.E. and Millar, V.E., 1985. How information gives you competitive advantage.</w:t>
      </w:r>
      <w:r w:rsidRPr="01315E17">
        <w:rPr>
          <w:rFonts w:ascii="Arial" w:eastAsia="Arial" w:hAnsi="Arial" w:cs="Arial"/>
        </w:rPr>
        <w:t xml:space="preserve"> </w:t>
      </w:r>
    </w:p>
    <w:p w14:paraId="2FCDDF4C" w14:textId="5954FAB9" w:rsidR="1C0E5799" w:rsidRDefault="1C0E5799" w:rsidP="01315E17">
      <w:pPr>
        <w:spacing w:line="360" w:lineRule="auto"/>
      </w:pPr>
      <w:r w:rsidRPr="01315E17">
        <w:rPr>
          <w:rFonts w:ascii="Arial" w:eastAsia="Arial" w:hAnsi="Arial" w:cs="Arial"/>
          <w:color w:val="222222"/>
        </w:rPr>
        <w:t xml:space="preserve">Tan, A.R., 2010. Service-oriented product development strategies. </w:t>
      </w:r>
      <w:r w:rsidRPr="01315E17">
        <w:rPr>
          <w:rFonts w:ascii="Arial" w:eastAsia="Arial" w:hAnsi="Arial" w:cs="Arial"/>
          <w:i/>
          <w:iCs/>
          <w:color w:val="222222"/>
        </w:rPr>
        <w:t>Danmarks Tekniske Universitet. DTU Management, DTU Management Engineering</w:t>
      </w:r>
      <w:r w:rsidRPr="01315E17">
        <w:rPr>
          <w:rFonts w:ascii="Arial" w:eastAsia="Arial" w:hAnsi="Arial" w:cs="Arial"/>
          <w:color w:val="222222"/>
        </w:rPr>
        <w:t>, pp.376-381.</w:t>
      </w:r>
      <w:r w:rsidRPr="01315E17">
        <w:rPr>
          <w:rFonts w:ascii="Arial" w:eastAsia="Arial" w:hAnsi="Arial" w:cs="Arial"/>
        </w:rPr>
        <w:t xml:space="preserve"> </w:t>
      </w:r>
    </w:p>
    <w:p w14:paraId="16E57DB0" w14:textId="357DF436" w:rsidR="1C0E5799" w:rsidRDefault="1C0E5799" w:rsidP="01315E17">
      <w:pPr>
        <w:spacing w:line="360" w:lineRule="auto"/>
      </w:pPr>
      <w:r w:rsidRPr="01315E17">
        <w:rPr>
          <w:rFonts w:ascii="Arial" w:eastAsia="Arial" w:hAnsi="Arial" w:cs="Arial"/>
          <w:color w:val="000000" w:themeColor="text1"/>
        </w:rPr>
        <w:t xml:space="preserve">Tata Steel Ltd., 2025. </w:t>
      </w:r>
      <w:r w:rsidRPr="01315E17">
        <w:rPr>
          <w:rFonts w:ascii="Arial" w:eastAsia="Arial" w:hAnsi="Arial" w:cs="Arial"/>
          <w:i/>
          <w:iCs/>
          <w:color w:val="000000" w:themeColor="text1"/>
        </w:rPr>
        <w:t>Integrated Report and Annual Accounts 2024–25 (118th Year).</w:t>
      </w:r>
      <w:r w:rsidRPr="01315E17">
        <w:rPr>
          <w:rFonts w:ascii="Arial" w:eastAsia="Arial" w:hAnsi="Arial" w:cs="Arial"/>
          <w:color w:val="000000" w:themeColor="text1"/>
        </w:rPr>
        <w:t xml:space="preserve"> Mumbai: Tata Steel Limited. Available at: </w:t>
      </w:r>
      <w:hyperlink r:id="rId11">
        <w:r w:rsidRPr="01315E17">
          <w:rPr>
            <w:rStyle w:val="Hyperlink"/>
          </w:rPr>
          <w:t>Tata Steel Integrated Report 2024–25</w:t>
        </w:r>
      </w:hyperlink>
      <w:r w:rsidRPr="01315E17">
        <w:rPr>
          <w:rFonts w:ascii="Arial" w:eastAsia="Arial" w:hAnsi="Arial" w:cs="Arial"/>
          <w:color w:val="000000" w:themeColor="text1"/>
        </w:rPr>
        <w:t xml:space="preserve"> [Accessed 22 July 2026].</w:t>
      </w:r>
      <w:r w:rsidRPr="01315E17">
        <w:rPr>
          <w:rFonts w:ascii="Arial" w:eastAsia="Arial" w:hAnsi="Arial" w:cs="Arial"/>
          <w:color w:val="222222"/>
        </w:rPr>
        <w:t xml:space="preserve"> </w:t>
      </w:r>
    </w:p>
    <w:p w14:paraId="2B289634" w14:textId="4AAC10BD" w:rsidR="1C0E5799" w:rsidRDefault="1C0E5799" w:rsidP="01315E17">
      <w:pPr>
        <w:spacing w:line="360" w:lineRule="auto"/>
        <w:rPr>
          <w:rFonts w:ascii="Arial" w:eastAsia="Arial" w:hAnsi="Arial" w:cs="Arial"/>
        </w:rPr>
      </w:pPr>
      <w:r w:rsidRPr="01315E17">
        <w:rPr>
          <w:rFonts w:ascii="Arial" w:eastAsia="Arial" w:hAnsi="Arial" w:cs="Arial"/>
          <w:color w:val="222222"/>
        </w:rPr>
        <w:t xml:space="preserve">Teixeira, R.L.P., 2025. Assessment of green steel production technologies: Feasibility, scalability, and economic viability. </w:t>
      </w:r>
      <w:r w:rsidRPr="01315E17">
        <w:rPr>
          <w:rFonts w:ascii="Arial" w:eastAsia="Arial" w:hAnsi="Arial" w:cs="Arial"/>
          <w:i/>
          <w:iCs/>
          <w:color w:val="222222"/>
        </w:rPr>
        <w:t>Revista de Gestão Social e Ambiental</w:t>
      </w:r>
      <w:r w:rsidRPr="01315E17">
        <w:rPr>
          <w:rFonts w:ascii="Arial" w:eastAsia="Arial" w:hAnsi="Arial" w:cs="Arial"/>
          <w:color w:val="222222"/>
        </w:rPr>
        <w:t xml:space="preserve">, </w:t>
      </w:r>
      <w:r w:rsidRPr="01315E17">
        <w:rPr>
          <w:rFonts w:ascii="Arial" w:eastAsia="Arial" w:hAnsi="Arial" w:cs="Arial"/>
          <w:i/>
          <w:iCs/>
          <w:color w:val="222222"/>
        </w:rPr>
        <w:t>19</w:t>
      </w:r>
      <w:r w:rsidRPr="01315E17">
        <w:rPr>
          <w:rFonts w:ascii="Arial" w:eastAsia="Arial" w:hAnsi="Arial" w:cs="Arial"/>
          <w:color w:val="222222"/>
        </w:rPr>
        <w:t>(3), pp.1-16.</w:t>
      </w:r>
    </w:p>
    <w:p w14:paraId="2105C98D" w14:textId="62BF35F4" w:rsidR="1C0E5799" w:rsidRDefault="1C0E5799" w:rsidP="01315E17">
      <w:pPr>
        <w:spacing w:line="360" w:lineRule="auto"/>
        <w:rPr>
          <w:rFonts w:ascii="Arial" w:eastAsia="Arial" w:hAnsi="Arial" w:cs="Arial"/>
        </w:rPr>
      </w:pPr>
      <w:r w:rsidRPr="01315E17">
        <w:rPr>
          <w:rFonts w:ascii="Arial" w:eastAsia="Arial" w:hAnsi="Arial" w:cs="Arial"/>
          <w:color w:val="222222"/>
        </w:rPr>
        <w:t xml:space="preserve">Xu, R., Tong, D., Davis, S.J., Qin, X., Cheng, J., Shi, Q., Liu, Y., Chen, C., Yan, L., Yan, X. and Wang, H., 2023. Plant-by-plant decarbonization strategies for the global steel industry. </w:t>
      </w:r>
      <w:r w:rsidRPr="01315E17">
        <w:rPr>
          <w:rFonts w:ascii="Arial" w:eastAsia="Arial" w:hAnsi="Arial" w:cs="Arial"/>
          <w:i/>
          <w:iCs/>
          <w:color w:val="222222"/>
        </w:rPr>
        <w:t>Nature Climate Change</w:t>
      </w:r>
      <w:r w:rsidRPr="01315E17">
        <w:rPr>
          <w:rFonts w:ascii="Arial" w:eastAsia="Arial" w:hAnsi="Arial" w:cs="Arial"/>
          <w:color w:val="222222"/>
        </w:rPr>
        <w:t xml:space="preserve">, </w:t>
      </w:r>
      <w:r w:rsidRPr="01315E17">
        <w:rPr>
          <w:rFonts w:ascii="Arial" w:eastAsia="Arial" w:hAnsi="Arial" w:cs="Arial"/>
          <w:i/>
          <w:iCs/>
          <w:color w:val="222222"/>
        </w:rPr>
        <w:t>13</w:t>
      </w:r>
      <w:r w:rsidRPr="01315E17">
        <w:rPr>
          <w:rFonts w:ascii="Arial" w:eastAsia="Arial" w:hAnsi="Arial" w:cs="Arial"/>
          <w:color w:val="222222"/>
        </w:rPr>
        <w:t>(10), pp.1067-1074.</w:t>
      </w:r>
    </w:p>
    <w:p w14:paraId="79B331A4" w14:textId="5DC51AC9" w:rsidR="01315E17" w:rsidRDefault="01315E17" w:rsidP="01315E17">
      <w:pPr>
        <w:spacing w:line="360" w:lineRule="auto"/>
        <w:jc w:val="both"/>
        <w:rPr>
          <w:rFonts w:ascii="Arial" w:eastAsia="Arial" w:hAnsi="Arial" w:cs="Arial"/>
          <w:color w:val="000000" w:themeColor="text1"/>
        </w:rPr>
      </w:pPr>
    </w:p>
    <w:p w14:paraId="45AFCF7A" w14:textId="418E0656" w:rsidR="1C0E5799" w:rsidRDefault="1C0E5799" w:rsidP="01315E17">
      <w:pPr>
        <w:spacing w:line="360" w:lineRule="auto"/>
        <w:jc w:val="both"/>
      </w:pPr>
      <w:r w:rsidRPr="01315E17">
        <w:rPr>
          <w:rFonts w:ascii="Arial" w:eastAsia="Arial" w:hAnsi="Arial" w:cs="Arial"/>
        </w:rPr>
        <w:t xml:space="preserve"> </w:t>
      </w:r>
    </w:p>
    <w:p w14:paraId="2753F703" w14:textId="12E21984" w:rsidR="01315E17" w:rsidRDefault="01315E17" w:rsidP="01315E17"/>
    <w:p w14:paraId="4614553F" w14:textId="196DCA39" w:rsidR="01315E17" w:rsidRDefault="01315E17" w:rsidP="01315E17"/>
    <w:p w14:paraId="0EAB94FB" w14:textId="749587C4" w:rsidR="01315E17" w:rsidRDefault="01315E17" w:rsidP="01315E17">
      <w:pPr>
        <w:spacing w:line="360" w:lineRule="auto"/>
        <w:rPr>
          <w:rFonts w:ascii="Arial" w:eastAsia="Arial" w:hAnsi="Arial" w:cs="Arial"/>
          <w:b/>
          <w:bCs/>
        </w:rPr>
      </w:pPr>
    </w:p>
    <w:p w14:paraId="0CA17F29" w14:textId="4BA2C7F2" w:rsidR="01315E17" w:rsidRDefault="01315E17" w:rsidP="01315E17">
      <w:pPr>
        <w:spacing w:line="360" w:lineRule="auto"/>
        <w:jc w:val="both"/>
        <w:rPr>
          <w:rFonts w:ascii="Arial" w:eastAsia="Arial" w:hAnsi="Arial" w:cs="Arial"/>
        </w:rPr>
      </w:pPr>
    </w:p>
    <w:p w14:paraId="5F0F9A58" w14:textId="022EA3C0" w:rsidR="01315E17" w:rsidRDefault="01315E17" w:rsidP="01315E17">
      <w:pPr>
        <w:spacing w:line="360" w:lineRule="auto"/>
        <w:jc w:val="both"/>
        <w:rPr>
          <w:rFonts w:ascii="Arial" w:eastAsia="Arial" w:hAnsi="Arial" w:cs="Arial"/>
        </w:rPr>
      </w:pPr>
    </w:p>
    <w:p w14:paraId="26ED905F" w14:textId="501651B0" w:rsidR="01315E17" w:rsidRDefault="01315E17" w:rsidP="01315E17">
      <w:pPr>
        <w:spacing w:line="360" w:lineRule="auto"/>
        <w:jc w:val="both"/>
        <w:rPr>
          <w:rFonts w:ascii="Arial" w:eastAsia="Arial" w:hAnsi="Arial" w:cs="Arial"/>
        </w:rPr>
      </w:pPr>
    </w:p>
    <w:p w14:paraId="0A591EE9" w14:textId="3BC918EF" w:rsidR="01315E17" w:rsidRDefault="01315E17" w:rsidP="01315E17">
      <w:pPr>
        <w:spacing w:line="360" w:lineRule="auto"/>
        <w:jc w:val="both"/>
        <w:rPr>
          <w:rFonts w:ascii="Arial" w:eastAsia="Arial" w:hAnsi="Arial" w:cs="Arial"/>
        </w:rPr>
      </w:pPr>
    </w:p>
    <w:p w14:paraId="4ED4AE4B" w14:textId="70D636A9" w:rsidR="01315E17" w:rsidRDefault="01315E17" w:rsidP="01315E17"/>
    <w:p w14:paraId="346E71B9" w14:textId="72DA70C5" w:rsidR="01315E17" w:rsidRDefault="01315E17" w:rsidP="01315E17">
      <w:pPr>
        <w:spacing w:line="360" w:lineRule="auto"/>
        <w:jc w:val="both"/>
        <w:rPr>
          <w:rFonts w:ascii="Arial" w:eastAsia="Arial" w:hAnsi="Arial" w:cs="Arial"/>
        </w:rPr>
      </w:pPr>
    </w:p>
    <w:sectPr w:rsidR="01315E17">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6293E7" w14:textId="77777777" w:rsidR="00352FD1" w:rsidRDefault="00352FD1">
      <w:pPr>
        <w:spacing w:after="0" w:line="240" w:lineRule="auto"/>
      </w:pPr>
      <w:r>
        <w:separator/>
      </w:r>
    </w:p>
  </w:endnote>
  <w:endnote w:type="continuationSeparator" w:id="0">
    <w:p w14:paraId="28098741" w14:textId="77777777" w:rsidR="00352FD1" w:rsidRDefault="00352F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1315E17" w14:paraId="1EB62474" w14:textId="77777777" w:rsidTr="01315E17">
      <w:trPr>
        <w:trHeight w:val="300"/>
      </w:trPr>
      <w:tc>
        <w:tcPr>
          <w:tcW w:w="3120" w:type="dxa"/>
        </w:tcPr>
        <w:p w14:paraId="338C38D3" w14:textId="5EE39336" w:rsidR="01315E17" w:rsidRDefault="01315E17" w:rsidP="01315E17">
          <w:pPr>
            <w:pStyle w:val="Header"/>
            <w:ind w:left="-115"/>
          </w:pPr>
        </w:p>
      </w:tc>
      <w:tc>
        <w:tcPr>
          <w:tcW w:w="3120" w:type="dxa"/>
        </w:tcPr>
        <w:p w14:paraId="636D2362" w14:textId="3B0648FE" w:rsidR="01315E17" w:rsidRDefault="01315E17" w:rsidP="01315E17">
          <w:pPr>
            <w:pStyle w:val="Header"/>
          </w:pPr>
        </w:p>
      </w:tc>
      <w:tc>
        <w:tcPr>
          <w:tcW w:w="3120" w:type="dxa"/>
        </w:tcPr>
        <w:p w14:paraId="5054173B" w14:textId="545ABC29" w:rsidR="01315E17" w:rsidRDefault="01315E17">
          <w:r>
            <w:fldChar w:fldCharType="begin"/>
          </w:r>
          <w:r>
            <w:instrText>PAGE</w:instrText>
          </w:r>
          <w:r>
            <w:fldChar w:fldCharType="separate"/>
          </w:r>
          <w:r w:rsidR="00A43DBE">
            <w:rPr>
              <w:noProof/>
            </w:rPr>
            <w:t>1</w:t>
          </w:r>
          <w:r>
            <w:fldChar w:fldCharType="end"/>
          </w:r>
        </w:p>
      </w:tc>
    </w:tr>
  </w:tbl>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23A744" w14:textId="77777777" w:rsidR="00352FD1" w:rsidRDefault="00352FD1">
      <w:pPr>
        <w:spacing w:after="0" w:line="240" w:lineRule="auto"/>
      </w:pPr>
      <w:r>
        <w:separator/>
      </w:r>
    </w:p>
  </w:footnote>
  <w:footnote w:type="continuationSeparator" w:id="0">
    <w:p w14:paraId="15FB2D10" w14:textId="77777777" w:rsidR="00352FD1" w:rsidRDefault="00352F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01315E17" w14:paraId="02DE43C4" w14:textId="77777777" w:rsidTr="01315E17">
      <w:trPr>
        <w:trHeight w:val="300"/>
      </w:trPr>
      <w:tc>
        <w:tcPr>
          <w:tcW w:w="3120" w:type="dxa"/>
        </w:tcPr>
        <w:p w14:paraId="6BCD4BB1" w14:textId="7E93B248" w:rsidR="01315E17" w:rsidRDefault="01315E17" w:rsidP="01315E17">
          <w:pPr>
            <w:pStyle w:val="Header"/>
            <w:ind w:left="-115"/>
          </w:pPr>
        </w:p>
      </w:tc>
      <w:tc>
        <w:tcPr>
          <w:tcW w:w="3120" w:type="dxa"/>
        </w:tcPr>
        <w:p w14:paraId="611AD261" w14:textId="70D85DE9" w:rsidR="01315E17" w:rsidRDefault="01315E17" w:rsidP="01315E17">
          <w:pPr>
            <w:pStyle w:val="Header"/>
            <w:jc w:val="center"/>
          </w:pPr>
        </w:p>
      </w:tc>
      <w:tc>
        <w:tcPr>
          <w:tcW w:w="3120" w:type="dxa"/>
        </w:tcPr>
        <w:p w14:paraId="24B0FCC8" w14:textId="33F3252E" w:rsidR="01315E17" w:rsidRDefault="01315E17" w:rsidP="01315E17">
          <w:pPr>
            <w:pStyle w:val="Header"/>
            <w:ind w:right="-115"/>
            <w:jc w:val="right"/>
          </w:pPr>
        </w:p>
      </w:tc>
    </w:tr>
  </w:tbl>
  <w:p w14:paraId="7634FA8D" w14:textId="4CC84A7C" w:rsidR="01315E17" w:rsidRDefault="01315E17" w:rsidP="01315E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F82AF6"/>
    <w:rsid w:val="000234E8"/>
    <w:rsid w:val="00246D80"/>
    <w:rsid w:val="00352FD1"/>
    <w:rsid w:val="00373F09"/>
    <w:rsid w:val="00A43DBE"/>
    <w:rsid w:val="00F84B83"/>
    <w:rsid w:val="01085AC1"/>
    <w:rsid w:val="01315E17"/>
    <w:rsid w:val="0142C5DB"/>
    <w:rsid w:val="01A131FA"/>
    <w:rsid w:val="0256697C"/>
    <w:rsid w:val="02A85201"/>
    <w:rsid w:val="02F82BD7"/>
    <w:rsid w:val="0304DA15"/>
    <w:rsid w:val="03094DE0"/>
    <w:rsid w:val="03665135"/>
    <w:rsid w:val="038BA839"/>
    <w:rsid w:val="03A758D7"/>
    <w:rsid w:val="047C4CCC"/>
    <w:rsid w:val="060629A4"/>
    <w:rsid w:val="07A620C5"/>
    <w:rsid w:val="07F82AF6"/>
    <w:rsid w:val="08163C55"/>
    <w:rsid w:val="08B88067"/>
    <w:rsid w:val="08BD8BC5"/>
    <w:rsid w:val="0906FD8A"/>
    <w:rsid w:val="09995A2E"/>
    <w:rsid w:val="0A580D81"/>
    <w:rsid w:val="0A72EDBC"/>
    <w:rsid w:val="0AFD0766"/>
    <w:rsid w:val="0B7F74F2"/>
    <w:rsid w:val="0C2E5418"/>
    <w:rsid w:val="0C5FD012"/>
    <w:rsid w:val="0C9A0560"/>
    <w:rsid w:val="0C9AA30C"/>
    <w:rsid w:val="0E426DCA"/>
    <w:rsid w:val="0E650E22"/>
    <w:rsid w:val="0E684744"/>
    <w:rsid w:val="0ED1C776"/>
    <w:rsid w:val="0F1E4622"/>
    <w:rsid w:val="0F357916"/>
    <w:rsid w:val="0FDEC499"/>
    <w:rsid w:val="10751D89"/>
    <w:rsid w:val="10F96C5A"/>
    <w:rsid w:val="11410751"/>
    <w:rsid w:val="11703785"/>
    <w:rsid w:val="11FE1502"/>
    <w:rsid w:val="12546151"/>
    <w:rsid w:val="12C33D23"/>
    <w:rsid w:val="145289B2"/>
    <w:rsid w:val="150FB480"/>
    <w:rsid w:val="163C6AF8"/>
    <w:rsid w:val="16B19F7A"/>
    <w:rsid w:val="16F86E29"/>
    <w:rsid w:val="178B06F7"/>
    <w:rsid w:val="19AB1805"/>
    <w:rsid w:val="19DF4E5E"/>
    <w:rsid w:val="1B3DAF03"/>
    <w:rsid w:val="1B536D32"/>
    <w:rsid w:val="1C0E5799"/>
    <w:rsid w:val="1CA7C789"/>
    <w:rsid w:val="1D1E32FA"/>
    <w:rsid w:val="1D2FFCA8"/>
    <w:rsid w:val="1D78FDB2"/>
    <w:rsid w:val="1D79EEC5"/>
    <w:rsid w:val="1D8AAA79"/>
    <w:rsid w:val="1DAD5437"/>
    <w:rsid w:val="1DCE93C6"/>
    <w:rsid w:val="1DF18A0C"/>
    <w:rsid w:val="1E9328FD"/>
    <w:rsid w:val="1EF5D95A"/>
    <w:rsid w:val="1F1F0766"/>
    <w:rsid w:val="201DF8D3"/>
    <w:rsid w:val="20FD4CA1"/>
    <w:rsid w:val="2112A0E6"/>
    <w:rsid w:val="21266706"/>
    <w:rsid w:val="219E2B4E"/>
    <w:rsid w:val="223727A9"/>
    <w:rsid w:val="224D3DF5"/>
    <w:rsid w:val="23159EF3"/>
    <w:rsid w:val="231D662A"/>
    <w:rsid w:val="231F4F6B"/>
    <w:rsid w:val="233D2C33"/>
    <w:rsid w:val="2396B43A"/>
    <w:rsid w:val="23F3BC68"/>
    <w:rsid w:val="240756DC"/>
    <w:rsid w:val="24182C02"/>
    <w:rsid w:val="24265CDF"/>
    <w:rsid w:val="247387DD"/>
    <w:rsid w:val="24ECFA99"/>
    <w:rsid w:val="250D4EDE"/>
    <w:rsid w:val="25175EEE"/>
    <w:rsid w:val="251E9320"/>
    <w:rsid w:val="2588E6C6"/>
    <w:rsid w:val="2636E715"/>
    <w:rsid w:val="26A6E762"/>
    <w:rsid w:val="26BB6B42"/>
    <w:rsid w:val="27120A0E"/>
    <w:rsid w:val="28125EC9"/>
    <w:rsid w:val="2882017A"/>
    <w:rsid w:val="290CB9F1"/>
    <w:rsid w:val="29C2272E"/>
    <w:rsid w:val="29DB9FDA"/>
    <w:rsid w:val="29E1E0FC"/>
    <w:rsid w:val="2A1BB0E1"/>
    <w:rsid w:val="2B4CF89E"/>
    <w:rsid w:val="2B6A4F1E"/>
    <w:rsid w:val="2BA273F8"/>
    <w:rsid w:val="2BAFB08C"/>
    <w:rsid w:val="2C0A1763"/>
    <w:rsid w:val="2CB1146A"/>
    <w:rsid w:val="2CDC36FD"/>
    <w:rsid w:val="2D1EDC34"/>
    <w:rsid w:val="2D5A6EE3"/>
    <w:rsid w:val="2E42B443"/>
    <w:rsid w:val="2E61FE5C"/>
    <w:rsid w:val="2ED4B084"/>
    <w:rsid w:val="2EE50606"/>
    <w:rsid w:val="2F55B7C0"/>
    <w:rsid w:val="2F9BAB9D"/>
    <w:rsid w:val="2FF0CC1C"/>
    <w:rsid w:val="30411708"/>
    <w:rsid w:val="3042D882"/>
    <w:rsid w:val="30741920"/>
    <w:rsid w:val="3117E47A"/>
    <w:rsid w:val="318F0D1F"/>
    <w:rsid w:val="319EC4C1"/>
    <w:rsid w:val="3221B326"/>
    <w:rsid w:val="32579A37"/>
    <w:rsid w:val="32BC2630"/>
    <w:rsid w:val="32C9E565"/>
    <w:rsid w:val="32FECEB2"/>
    <w:rsid w:val="33FC6F79"/>
    <w:rsid w:val="34013F53"/>
    <w:rsid w:val="34E182FA"/>
    <w:rsid w:val="35C58599"/>
    <w:rsid w:val="35D4CDAF"/>
    <w:rsid w:val="375D88C8"/>
    <w:rsid w:val="376FD66C"/>
    <w:rsid w:val="37CEBD17"/>
    <w:rsid w:val="37DEADCD"/>
    <w:rsid w:val="3879E245"/>
    <w:rsid w:val="38DBCF82"/>
    <w:rsid w:val="390DEF4E"/>
    <w:rsid w:val="3A07C17B"/>
    <w:rsid w:val="3AA09438"/>
    <w:rsid w:val="3AA283E8"/>
    <w:rsid w:val="3AE1930A"/>
    <w:rsid w:val="3BD5A18C"/>
    <w:rsid w:val="3BEB45EB"/>
    <w:rsid w:val="3C0A5AF6"/>
    <w:rsid w:val="3C678525"/>
    <w:rsid w:val="3C7A7743"/>
    <w:rsid w:val="3CA034CA"/>
    <w:rsid w:val="3D381510"/>
    <w:rsid w:val="3D597074"/>
    <w:rsid w:val="3E087592"/>
    <w:rsid w:val="3E209EB9"/>
    <w:rsid w:val="3E39558F"/>
    <w:rsid w:val="3E5C6435"/>
    <w:rsid w:val="3F4AE3F1"/>
    <w:rsid w:val="3FA9CD5D"/>
    <w:rsid w:val="3FBE9555"/>
    <w:rsid w:val="40014D2B"/>
    <w:rsid w:val="410F0060"/>
    <w:rsid w:val="41123E1F"/>
    <w:rsid w:val="4144FA9E"/>
    <w:rsid w:val="414D2039"/>
    <w:rsid w:val="41F06E1C"/>
    <w:rsid w:val="425AFD29"/>
    <w:rsid w:val="429A6176"/>
    <w:rsid w:val="429B6ECC"/>
    <w:rsid w:val="42C85055"/>
    <w:rsid w:val="430E2229"/>
    <w:rsid w:val="443C0ECB"/>
    <w:rsid w:val="444CD8A1"/>
    <w:rsid w:val="447178FF"/>
    <w:rsid w:val="447BBD0B"/>
    <w:rsid w:val="44AB0857"/>
    <w:rsid w:val="44B7FE8B"/>
    <w:rsid w:val="455BF95A"/>
    <w:rsid w:val="45845F71"/>
    <w:rsid w:val="45B45F11"/>
    <w:rsid w:val="45C26480"/>
    <w:rsid w:val="45D7DCFE"/>
    <w:rsid w:val="45F3432A"/>
    <w:rsid w:val="46694974"/>
    <w:rsid w:val="47F7495D"/>
    <w:rsid w:val="481C1ABC"/>
    <w:rsid w:val="48E22E42"/>
    <w:rsid w:val="4913973A"/>
    <w:rsid w:val="4A914AB0"/>
    <w:rsid w:val="4ACC7CBE"/>
    <w:rsid w:val="4B61BFF6"/>
    <w:rsid w:val="4B755CE5"/>
    <w:rsid w:val="4BB6C275"/>
    <w:rsid w:val="4C3BC302"/>
    <w:rsid w:val="4C98952C"/>
    <w:rsid w:val="4D16CEE5"/>
    <w:rsid w:val="4D4BA723"/>
    <w:rsid w:val="4E19AAEB"/>
    <w:rsid w:val="4EE4E5A5"/>
    <w:rsid w:val="4F2A54BA"/>
    <w:rsid w:val="4F4F5982"/>
    <w:rsid w:val="4FC79BBF"/>
    <w:rsid w:val="50658DD0"/>
    <w:rsid w:val="5071D9DB"/>
    <w:rsid w:val="5081807E"/>
    <w:rsid w:val="50853375"/>
    <w:rsid w:val="516F0E24"/>
    <w:rsid w:val="517D411D"/>
    <w:rsid w:val="51A32B03"/>
    <w:rsid w:val="51F108BE"/>
    <w:rsid w:val="51F626DE"/>
    <w:rsid w:val="525B91ED"/>
    <w:rsid w:val="52666D07"/>
    <w:rsid w:val="52E13518"/>
    <w:rsid w:val="536AB382"/>
    <w:rsid w:val="542984B5"/>
    <w:rsid w:val="542E384F"/>
    <w:rsid w:val="5436ED95"/>
    <w:rsid w:val="544C36F4"/>
    <w:rsid w:val="55D0FAFF"/>
    <w:rsid w:val="55F13B24"/>
    <w:rsid w:val="56044C83"/>
    <w:rsid w:val="562AD0FA"/>
    <w:rsid w:val="56498A5E"/>
    <w:rsid w:val="564E8AAA"/>
    <w:rsid w:val="569491E3"/>
    <w:rsid w:val="5765EA0A"/>
    <w:rsid w:val="57C22A75"/>
    <w:rsid w:val="5924A720"/>
    <w:rsid w:val="59486605"/>
    <w:rsid w:val="5A2CA19F"/>
    <w:rsid w:val="5A46315E"/>
    <w:rsid w:val="5ADF15B7"/>
    <w:rsid w:val="5B04235E"/>
    <w:rsid w:val="5BB36CAD"/>
    <w:rsid w:val="5D059C24"/>
    <w:rsid w:val="5D84D9C7"/>
    <w:rsid w:val="5DA2030D"/>
    <w:rsid w:val="5DC5B8C0"/>
    <w:rsid w:val="5DDB29A1"/>
    <w:rsid w:val="5F7259E3"/>
    <w:rsid w:val="5FEAA436"/>
    <w:rsid w:val="6036E978"/>
    <w:rsid w:val="611C420B"/>
    <w:rsid w:val="61F03BD7"/>
    <w:rsid w:val="62485A8B"/>
    <w:rsid w:val="63234105"/>
    <w:rsid w:val="65620ED4"/>
    <w:rsid w:val="668E4C36"/>
    <w:rsid w:val="6692874D"/>
    <w:rsid w:val="67B943EC"/>
    <w:rsid w:val="685BA8F5"/>
    <w:rsid w:val="68993C5F"/>
    <w:rsid w:val="69BA0367"/>
    <w:rsid w:val="69BE9015"/>
    <w:rsid w:val="69EC1993"/>
    <w:rsid w:val="6BA316DB"/>
    <w:rsid w:val="6C27DFDD"/>
    <w:rsid w:val="6D8003B6"/>
    <w:rsid w:val="6DA23607"/>
    <w:rsid w:val="6E3C1FEF"/>
    <w:rsid w:val="6E9C9A05"/>
    <w:rsid w:val="6EFC3A18"/>
    <w:rsid w:val="6F2E7ACA"/>
    <w:rsid w:val="6F32D3E8"/>
    <w:rsid w:val="6F6857E4"/>
    <w:rsid w:val="702971C2"/>
    <w:rsid w:val="70490507"/>
    <w:rsid w:val="71487FD8"/>
    <w:rsid w:val="71717DA2"/>
    <w:rsid w:val="731AAB75"/>
    <w:rsid w:val="73B5C26C"/>
    <w:rsid w:val="74848FF3"/>
    <w:rsid w:val="74B31D3D"/>
    <w:rsid w:val="74BC0C7A"/>
    <w:rsid w:val="75869430"/>
    <w:rsid w:val="758CC399"/>
    <w:rsid w:val="75C3A73E"/>
    <w:rsid w:val="76247C72"/>
    <w:rsid w:val="762E89EB"/>
    <w:rsid w:val="77BCA95C"/>
    <w:rsid w:val="77C43F92"/>
    <w:rsid w:val="787504E2"/>
    <w:rsid w:val="788010E7"/>
    <w:rsid w:val="79219FC9"/>
    <w:rsid w:val="792BD0D0"/>
    <w:rsid w:val="7A49E325"/>
    <w:rsid w:val="7A578680"/>
    <w:rsid w:val="7B16E0A4"/>
    <w:rsid w:val="7BA7E84E"/>
    <w:rsid w:val="7C1B8001"/>
    <w:rsid w:val="7C5E3CA4"/>
    <w:rsid w:val="7C6332F7"/>
    <w:rsid w:val="7CF8A051"/>
    <w:rsid w:val="7D19BC03"/>
    <w:rsid w:val="7D58FB09"/>
    <w:rsid w:val="7E493502"/>
    <w:rsid w:val="7EDD07C9"/>
    <w:rsid w:val="7EF70F59"/>
    <w:rsid w:val="7F11EF3A"/>
    <w:rsid w:val="7F8D46CC"/>
    <w:rsid w:val="7FBA2930"/>
    <w:rsid w:val="7FFC53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B9B7F"/>
  <w15:chartTrackingRefBased/>
  <w15:docId w15:val="{BBFC235E-72A6-4B04-AC23-21438AE65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71717D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1717D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1717DA2"/>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1315E17"/>
    <w:rPr>
      <w:color w:val="467886"/>
      <w:u w:val="single"/>
    </w:rPr>
  </w:style>
  <w:style w:type="paragraph" w:styleId="TOC1">
    <w:name w:val="toc 1"/>
    <w:basedOn w:val="Normal"/>
    <w:next w:val="Normal"/>
    <w:uiPriority w:val="39"/>
    <w:unhideWhenUsed/>
    <w:rsid w:val="01315E17"/>
    <w:pPr>
      <w:spacing w:after="100"/>
    </w:pPr>
  </w:style>
  <w:style w:type="paragraph" w:styleId="TOC2">
    <w:name w:val="toc 2"/>
    <w:basedOn w:val="Normal"/>
    <w:next w:val="Normal"/>
    <w:uiPriority w:val="39"/>
    <w:unhideWhenUsed/>
    <w:rsid w:val="01315E17"/>
    <w:pPr>
      <w:spacing w:after="100"/>
      <w:ind w:left="220"/>
    </w:pPr>
  </w:style>
  <w:style w:type="paragraph" w:styleId="TOC3">
    <w:name w:val="toc 3"/>
    <w:basedOn w:val="Normal"/>
    <w:next w:val="Normal"/>
    <w:uiPriority w:val="39"/>
    <w:unhideWhenUsed/>
    <w:rsid w:val="01315E17"/>
    <w:pPr>
      <w:spacing w:after="100"/>
      <w:ind w:left="440"/>
    </w:pPr>
  </w:style>
  <w:style w:type="paragraph" w:styleId="Header">
    <w:name w:val="header"/>
    <w:basedOn w:val="Normal"/>
    <w:uiPriority w:val="99"/>
    <w:unhideWhenUsed/>
    <w:rsid w:val="01315E17"/>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atasteel.com/investors/integrated-report-2024-25/index.html?utm_source=chatgpt.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5C2560-EA92-4019-8B10-186FF1313F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4356</Words>
  <Characters>24832</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Eliyash</dc:creator>
  <cp:keywords/>
  <dc:description/>
  <cp:lastModifiedBy>MOHAMED HABIS P</cp:lastModifiedBy>
  <cp:revision>2</cp:revision>
  <dcterms:created xsi:type="dcterms:W3CDTF">2026-07-24T09:48:00Z</dcterms:created>
  <dcterms:modified xsi:type="dcterms:W3CDTF">2026-07-24T09:48:00Z</dcterms:modified>
</cp:coreProperties>
</file>