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2E3AB8" w14:textId="77777777" w:rsidR="009A7427" w:rsidRPr="000370A9" w:rsidRDefault="009A7427" w:rsidP="009A7427">
      <w:pPr>
        <w:spacing w:after="400" w:line="360" w:lineRule="auto"/>
        <w:jc w:val="center"/>
        <w:rPr>
          <w:sz w:val="24"/>
          <w:szCs w:val="24"/>
        </w:rPr>
      </w:pPr>
      <w:r>
        <w:rPr>
          <w:rFonts w:eastAsia="Calibri"/>
          <w:b/>
          <w:bCs/>
          <w:sz w:val="24"/>
          <w:szCs w:val="24"/>
        </w:rPr>
        <w:t>The Role of Microcredit and Business Development Services in Supporting Rural Income-Generating Activities and Sustainable Rural Entrepreneurship in Developing Countries: A Systematic Literature Review</w:t>
      </w:r>
    </w:p>
    <w:p w14:paraId="1A8F72EC" w14:textId="77777777" w:rsidR="009A7427" w:rsidRPr="000370A9" w:rsidRDefault="009A7427" w:rsidP="009A7427">
      <w:pPr>
        <w:spacing w:after="200" w:line="360" w:lineRule="auto"/>
        <w:jc w:val="center"/>
        <w:rPr>
          <w:sz w:val="24"/>
          <w:szCs w:val="24"/>
        </w:rPr>
      </w:pPr>
      <w:r>
        <w:rPr>
          <w:rFonts w:eastAsia="Calibri"/>
          <w:sz w:val="24"/>
          <w:szCs w:val="24"/>
        </w:rPr>
        <w:t>Research Proposal</w:t>
      </w:r>
    </w:p>
    <w:p w14:paraId="0C38858E" w14:textId="77777777" w:rsidR="009A7427" w:rsidRPr="000370A9" w:rsidRDefault="009A7427" w:rsidP="009A7427">
      <w:pPr>
        <w:spacing w:after="800" w:line="360" w:lineRule="auto"/>
        <w:jc w:val="center"/>
        <w:rPr>
          <w:sz w:val="24"/>
          <w:szCs w:val="24"/>
        </w:rPr>
      </w:pPr>
      <w:r>
        <w:rPr>
          <w:rFonts w:eastAsia="Calibri"/>
          <w:sz w:val="24"/>
          <w:szCs w:val="24"/>
        </w:rPr>
        <w:t>Farjana Akter Rimu</w:t>
      </w:r>
    </w:p>
    <w:p w14:paraId="05D1D707" w14:textId="77777777" w:rsidR="009A7427" w:rsidRDefault="009A7427" w:rsidP="009A7427">
      <w:pPr>
        <w:pStyle w:val="NoSpacing"/>
        <w:spacing w:line="360" w:lineRule="auto"/>
        <w:rPr>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Reflective Account: Converting Research into Practice</w:t>
      </w:r>
    </w:p>
    <w:p w14:paraId="5E32E701" w14:textId="77777777" w:rsidR="009A7427" w:rsidRDefault="009A7427" w:rsidP="009A7427">
      <w:pPr>
        <w:pStyle w:val="NoSpacing"/>
        <w:spacing w:line="360" w:lineRule="auto"/>
        <w:rPr>
          <w:sz w:val="24"/>
          <w:szCs w:val="24"/>
        </w:rPr>
      </w:pPr>
      <w:r>
        <w:rPr>
          <w:sz w:val="24"/>
          <w:szCs w:val="24"/>
        </w:rPr>
        <w:t xml:space="preserve">Module Title: Converting Research into Practice  </w:t>
      </w:r>
    </w:p>
    <w:p w14:paraId="61D50BCB" w14:textId="77777777" w:rsidR="009A7427" w:rsidRDefault="009A7427" w:rsidP="009A7427">
      <w:pPr>
        <w:pStyle w:val="NoSpacing"/>
        <w:spacing w:line="360" w:lineRule="auto"/>
        <w:rPr>
          <w:sz w:val="24"/>
          <w:szCs w:val="24"/>
        </w:rPr>
      </w:pPr>
      <w:r>
        <w:rPr>
          <w:sz w:val="24"/>
          <w:szCs w:val="24"/>
        </w:rPr>
        <w:t xml:space="preserve">Course: Doctor of Business Administration (DBA)  </w:t>
      </w:r>
    </w:p>
    <w:p w14:paraId="4532634E" w14:textId="77777777" w:rsidR="009A7427" w:rsidRDefault="009A7427" w:rsidP="009A7427">
      <w:pPr>
        <w:pStyle w:val="NoSpacing"/>
        <w:spacing w:line="360" w:lineRule="auto"/>
        <w:rPr>
          <w:sz w:val="24"/>
          <w:szCs w:val="24"/>
        </w:rPr>
      </w:pPr>
      <w:r>
        <w:rPr>
          <w:sz w:val="24"/>
          <w:szCs w:val="24"/>
        </w:rPr>
        <w:t xml:space="preserve">Research Proposal Title: The Role of Microcredit and Business Development Services in Supporting Rural Entrepreneurs in Developing Countries  </w:t>
      </w:r>
    </w:p>
    <w:p w14:paraId="39188B24" w14:textId="77777777" w:rsidR="009A7427" w:rsidRDefault="009A7427" w:rsidP="009A7427">
      <w:pPr>
        <w:pStyle w:val="NoSpacing"/>
        <w:spacing w:line="360" w:lineRule="auto"/>
        <w:rPr>
          <w:sz w:val="24"/>
          <w:szCs w:val="24"/>
        </w:rPr>
      </w:pPr>
      <w:r>
        <w:rPr>
          <w:sz w:val="24"/>
          <w:szCs w:val="24"/>
        </w:rPr>
        <w:t xml:space="preserve"> Word Count: Approx. 1,510 Words  </w:t>
      </w:r>
    </w:p>
    <w:p w14:paraId="7D9EBBD1" w14:textId="77777777" w:rsidR="009A7427" w:rsidRDefault="009A7427" w:rsidP="009A7427">
      <w:pPr>
        <w:pStyle w:val="NoSpacing"/>
        <w:spacing w:line="360" w:lineRule="auto"/>
        <w:rPr>
          <w:sz w:val="24"/>
          <w:szCs w:val="24"/>
        </w:rPr>
      </w:pPr>
      <w:r>
        <w:rPr>
          <w:sz w:val="24"/>
          <w:szCs w:val="24"/>
        </w:rPr>
        <w:t>1. Background and Context</w:t>
      </w:r>
    </w:p>
    <w:p w14:paraId="4D9835AA" w14:textId="77777777" w:rsidR="009A7427" w:rsidRDefault="009A7427" w:rsidP="009A7427">
      <w:pPr>
        <w:pStyle w:val="NoSpacing"/>
        <w:spacing w:line="360" w:lineRule="auto"/>
        <w:rPr>
          <w:sz w:val="24"/>
          <w:szCs w:val="24"/>
        </w:rPr>
      </w:pPr>
      <w:r>
        <w:rPr>
          <w:sz w:val="24"/>
          <w:szCs w:val="24"/>
        </w:rPr>
        <w:t xml:space="preserve">Starting a DBA program is a big academic step for me, mostly because I wanted to learn how to connect theoretical concepts with actual business decisions. Theory on paper is helpful, but it only really matters when you can use it to fix practical problems. </w:t>
      </w:r>
    </w:p>
    <w:p w14:paraId="634F9498" w14:textId="77777777" w:rsidR="009A7427" w:rsidRDefault="009A7427" w:rsidP="009A7427">
      <w:pPr>
        <w:pStyle w:val="NoSpacing"/>
        <w:spacing w:line="360" w:lineRule="auto"/>
        <w:rPr>
          <w:sz w:val="24"/>
          <w:szCs w:val="24"/>
        </w:rPr>
      </w:pPr>
      <w:r>
        <w:rPr>
          <w:sz w:val="24"/>
          <w:szCs w:val="24"/>
        </w:rPr>
        <w:t xml:space="preserve">This module, Converting Research into Practice, was designed around that exact idea. Our main assessment was to write a detailed 6,500-word research proposal. </w:t>
      </w:r>
    </w:p>
    <w:p w14:paraId="7F048340" w14:textId="77777777" w:rsidR="009A7427" w:rsidRDefault="009A7427" w:rsidP="009A7427">
      <w:pPr>
        <w:pStyle w:val="NoSpacing"/>
        <w:spacing w:line="360" w:lineRule="auto"/>
        <w:rPr>
          <w:sz w:val="24"/>
          <w:szCs w:val="24"/>
        </w:rPr>
      </w:pPr>
      <w:r>
        <w:rPr>
          <w:sz w:val="24"/>
          <w:szCs w:val="24"/>
        </w:rPr>
        <w:t xml:space="preserve">I picked a topic that I personally care a lot about: "The Role of Microcredit and Business Development Services in Supporting Rural Entrepreneurs in Developing Countries." </w:t>
      </w:r>
    </w:p>
    <w:p w14:paraId="6B2C2E00" w14:textId="77777777" w:rsidR="009A7427" w:rsidRDefault="009A7427" w:rsidP="009A7427">
      <w:pPr>
        <w:pStyle w:val="NoSpacing"/>
        <w:spacing w:line="360" w:lineRule="auto"/>
        <w:rPr>
          <w:sz w:val="24"/>
          <w:szCs w:val="24"/>
        </w:rPr>
      </w:pPr>
      <w:r>
        <w:rPr>
          <w:sz w:val="24"/>
          <w:szCs w:val="24"/>
        </w:rPr>
        <w:t>If you look at rural areas in developing nations, small business owners run into huge roadblocks every single day. They struggle to get cash, they lack proper business training, and they find it hard to reach bigger markets. My proposal looked at how providing small loans (microcredit) along with non-financial support—like basic bookkeeping, mentorship, and marketing advice (Business Development Services)—can help these small village businesses survive and actually grow over time.</w:t>
      </w:r>
    </w:p>
    <w:p w14:paraId="18EDAAAB" w14:textId="77777777" w:rsidR="009A7427" w:rsidRDefault="009A7427" w:rsidP="009A7427">
      <w:pPr>
        <w:pStyle w:val="NoSpacing"/>
        <w:spacing w:line="360" w:lineRule="auto"/>
        <w:rPr>
          <w:sz w:val="24"/>
          <w:szCs w:val="24"/>
        </w:rPr>
      </w:pPr>
      <w:r>
        <w:rPr>
          <w:sz w:val="24"/>
          <w:szCs w:val="24"/>
        </w:rPr>
        <w:lastRenderedPageBreak/>
        <w:t xml:space="preserve">Our group was quite small. There were only three students in the class, including me. Because of this small setup, you could not just sit quietly in the back corner and ignore the lecture. Everyone had to speak up, share ideas, and engage in every single task. </w:t>
      </w:r>
    </w:p>
    <w:p w14:paraId="70B90E8D" w14:textId="77777777" w:rsidR="009A7427" w:rsidRDefault="009A7427" w:rsidP="009A7427">
      <w:pPr>
        <w:pStyle w:val="NoSpacing"/>
        <w:spacing w:line="360" w:lineRule="auto"/>
        <w:rPr>
          <w:sz w:val="24"/>
          <w:szCs w:val="24"/>
        </w:rPr>
      </w:pPr>
      <w:r>
        <w:rPr>
          <w:sz w:val="24"/>
          <w:szCs w:val="24"/>
        </w:rPr>
        <w:t xml:space="preserve">Our lecturer was Ms. Eno Maycok. She was a great teacher to work with—very friendly, encouraging, and clear in how she explained things. She took heavy, dry research ideas and made them easy to understand. Right from the start, she created a welcoming environment where none of us felt embarrassed to ask simple questions when we were confused.  </w:t>
      </w:r>
    </w:p>
    <w:p w14:paraId="06702C6A" w14:textId="77777777" w:rsidR="009A7427" w:rsidRDefault="009A7427" w:rsidP="009A7427">
      <w:pPr>
        <w:pStyle w:val="NoSpacing"/>
        <w:spacing w:line="360" w:lineRule="auto"/>
        <w:rPr>
          <w:sz w:val="24"/>
          <w:szCs w:val="24"/>
        </w:rPr>
      </w:pPr>
      <w:r>
        <w:rPr>
          <w:sz w:val="24"/>
          <w:szCs w:val="24"/>
        </w:rPr>
        <w:t xml:space="preserve"> 2. Methodology and Frameworks Used (PRISMA, CIMO, and CASP)</w:t>
      </w:r>
    </w:p>
    <w:p w14:paraId="18649548" w14:textId="77777777" w:rsidR="009A7427" w:rsidRDefault="009A7427" w:rsidP="009A7427">
      <w:pPr>
        <w:pStyle w:val="NoSpacing"/>
        <w:spacing w:line="360" w:lineRule="auto"/>
        <w:rPr>
          <w:sz w:val="24"/>
          <w:szCs w:val="24"/>
        </w:rPr>
      </w:pPr>
    </w:p>
    <w:p w14:paraId="65BFBC87" w14:textId="77777777" w:rsidR="009A7427" w:rsidRDefault="009A7427" w:rsidP="009A7427">
      <w:pPr>
        <w:pStyle w:val="NoSpacing"/>
        <w:spacing w:line="360" w:lineRule="auto"/>
        <w:rPr>
          <w:sz w:val="24"/>
          <w:szCs w:val="24"/>
        </w:rPr>
      </w:pPr>
      <w:r>
        <w:rPr>
          <w:sz w:val="24"/>
          <w:szCs w:val="24"/>
        </w:rPr>
        <w:t xml:space="preserve">To build a solid 6,500-word proposal at this level, simply reading a few articles from Google Scholar was not going to work. We had to carry out a proper Systematic Literature Review (SLR). </w:t>
      </w:r>
    </w:p>
    <w:p w14:paraId="07B06AED" w14:textId="77777777" w:rsidR="009A7427" w:rsidRDefault="009A7427" w:rsidP="009A7427">
      <w:pPr>
        <w:pStyle w:val="NoSpacing"/>
        <w:spacing w:line="360" w:lineRule="auto"/>
        <w:rPr>
          <w:sz w:val="24"/>
          <w:szCs w:val="24"/>
        </w:rPr>
      </w:pPr>
      <w:r>
        <w:rPr>
          <w:sz w:val="24"/>
          <w:szCs w:val="24"/>
        </w:rPr>
        <w:t>An SLR is not just a summary of what you read. It is a clear, step-by-step process to search, filter, and evaluate existing papers so that your work is fair, structured, and easy for others to trace.</w:t>
      </w:r>
    </w:p>
    <w:p w14:paraId="1602BE72" w14:textId="77777777" w:rsidR="009A7427" w:rsidRDefault="009A7427" w:rsidP="009A7427">
      <w:pPr>
        <w:pStyle w:val="NoSpacing"/>
        <w:spacing w:line="360" w:lineRule="auto"/>
        <w:rPr>
          <w:sz w:val="24"/>
          <w:szCs w:val="24"/>
        </w:rPr>
      </w:pPr>
      <w:r>
        <w:rPr>
          <w:sz w:val="24"/>
          <w:szCs w:val="24"/>
        </w:rPr>
        <w:t>During the module, I relied on three key frameworks:</w:t>
      </w:r>
    </w:p>
    <w:p w14:paraId="0250E5AC" w14:textId="77777777" w:rsidR="009A7427" w:rsidRDefault="009A7427" w:rsidP="009A7427">
      <w:pPr>
        <w:pStyle w:val="NoSpacing"/>
        <w:spacing w:line="360" w:lineRule="auto"/>
        <w:rPr>
          <w:sz w:val="24"/>
          <w:szCs w:val="24"/>
        </w:rPr>
      </w:pPr>
      <w:r>
        <w:rPr>
          <w:sz w:val="24"/>
          <w:szCs w:val="24"/>
        </w:rPr>
        <w:t xml:space="preserve"> A. The PRISMA Protocol</w:t>
      </w:r>
    </w:p>
    <w:p w14:paraId="7487AB2F" w14:textId="77777777" w:rsidR="009A7427" w:rsidRDefault="009A7427" w:rsidP="009A7427">
      <w:pPr>
        <w:pStyle w:val="NoSpacing"/>
        <w:spacing w:line="360" w:lineRule="auto"/>
        <w:rPr>
          <w:sz w:val="24"/>
          <w:szCs w:val="24"/>
        </w:rPr>
      </w:pPr>
      <w:r>
        <w:rPr>
          <w:sz w:val="24"/>
          <w:szCs w:val="24"/>
        </w:rPr>
        <w:t xml:space="preserve">PRISMA stands for Preferred Reporting Items for Systematic Reviews and Meta-Analyses. Before this module, whenever I needed references, I would just type a few keywords into a search bar and pick whatever looked useful. PRISMA forced me to be much more disciplined. </w:t>
      </w:r>
    </w:p>
    <w:p w14:paraId="13BF10A8" w14:textId="77777777" w:rsidR="009A7427" w:rsidRDefault="009A7427" w:rsidP="009A7427">
      <w:pPr>
        <w:pStyle w:val="NoSpacing"/>
        <w:spacing w:line="360" w:lineRule="auto"/>
        <w:rPr>
          <w:sz w:val="24"/>
          <w:szCs w:val="24"/>
        </w:rPr>
      </w:pPr>
      <w:r>
        <w:rPr>
          <w:sz w:val="24"/>
          <w:szCs w:val="24"/>
        </w:rPr>
        <w:t xml:space="preserve">I had to set up explicit rules before searching: Inclusion Criteria (reasons to keep a paper) and Exclusion Criteria (reasons to leave a paper out). </w:t>
      </w:r>
    </w:p>
    <w:p w14:paraId="23EEBAB3" w14:textId="77777777" w:rsidR="009A7427" w:rsidRDefault="009A7427" w:rsidP="009A7427">
      <w:pPr>
        <w:pStyle w:val="NoSpacing"/>
        <w:spacing w:line="360" w:lineRule="auto"/>
        <w:rPr>
          <w:sz w:val="24"/>
          <w:szCs w:val="24"/>
        </w:rPr>
      </w:pPr>
      <w:r>
        <w:rPr>
          <w:sz w:val="24"/>
          <w:szCs w:val="24"/>
        </w:rPr>
        <w:t>I searched databases like Scopus and Web of Science, going through hundreds of titles and abstracts step by step. I kept track of every single stage—how many papers turned up, how many duplicates were deleted, how many were removed during screening, and how many ended up in the final review. This gave my paper a clear structure.</w:t>
      </w:r>
    </w:p>
    <w:p w14:paraId="187D2B50" w14:textId="77777777" w:rsidR="009A7427" w:rsidRDefault="009A7427" w:rsidP="009A7427">
      <w:pPr>
        <w:pStyle w:val="NoSpacing"/>
        <w:spacing w:line="360" w:lineRule="auto"/>
        <w:rPr>
          <w:sz w:val="24"/>
          <w:szCs w:val="24"/>
        </w:rPr>
      </w:pPr>
      <w:r>
        <w:rPr>
          <w:sz w:val="24"/>
          <w:szCs w:val="24"/>
        </w:rPr>
        <w:t>B. The CIMO Framework</w:t>
      </w:r>
    </w:p>
    <w:p w14:paraId="14F35E14" w14:textId="77777777" w:rsidR="009A7427" w:rsidRDefault="009A7427" w:rsidP="009A7427">
      <w:pPr>
        <w:pStyle w:val="NoSpacing"/>
        <w:spacing w:line="360" w:lineRule="auto"/>
        <w:rPr>
          <w:sz w:val="24"/>
          <w:szCs w:val="24"/>
        </w:rPr>
      </w:pPr>
      <w:r>
        <w:rPr>
          <w:sz w:val="24"/>
          <w:szCs w:val="24"/>
        </w:rPr>
        <w:lastRenderedPageBreak/>
        <w:t xml:space="preserve">While PRISMA helped me filter through papers, the CIMO Framework (Context, Intervention, Mechanism, Outcome) helped me analyze the business dynamics in depth. In management studies, CIMO is a really practical way to figure out how and why a business solution works.</w:t>
      </w:r>
    </w:p>
    <w:p w14:paraId="576CD9B7" w14:textId="77777777" w:rsidR="009A7427" w:rsidRDefault="009A7427" w:rsidP="009A7427">
      <w:pPr>
        <w:pStyle w:val="NoSpacing"/>
        <w:spacing w:line="360" w:lineRule="auto"/>
        <w:rPr>
          <w:sz w:val="24"/>
          <w:szCs w:val="24"/>
        </w:rPr>
      </w:pPr>
      <w:r>
        <w:rPr>
          <w:sz w:val="24"/>
          <w:szCs w:val="24"/>
        </w:rPr>
        <w:t xml:space="preserve"> organized my reading into four parts using CIMO:</w:t>
      </w:r>
    </w:p>
    <w:p w14:paraId="05E92105" w14:textId="77777777" w:rsidR="009A7427" w:rsidRDefault="009A7427" w:rsidP="009A7427">
      <w:pPr>
        <w:pStyle w:val="NoSpacing"/>
        <w:spacing w:line="360" w:lineRule="auto"/>
        <w:rPr>
          <w:sz w:val="24"/>
          <w:szCs w:val="24"/>
        </w:rPr>
      </w:pPr>
      <w:r>
        <w:rPr>
          <w:sz w:val="24"/>
          <w:szCs w:val="24"/>
        </w:rPr>
        <w:t xml:space="preserve"> Context (C): Rural communities in developing countries where entrepreneurs face financial and institutional constraints.</w:t>
      </w:r>
    </w:p>
    <w:p w14:paraId="5BA460A1" w14:textId="77777777" w:rsidR="009A7427" w:rsidRDefault="009A7427" w:rsidP="009A7427">
      <w:pPr>
        <w:pStyle w:val="NoSpacing"/>
        <w:spacing w:line="360" w:lineRule="auto"/>
        <w:rPr>
          <w:sz w:val="24"/>
          <w:szCs w:val="24"/>
        </w:rPr>
      </w:pPr>
      <w:r>
        <w:rPr>
          <w:sz w:val="24"/>
          <w:szCs w:val="24"/>
        </w:rPr>
        <w:t>Intervention (I): Microcredit combined with Business Development Services (BDS).</w:t>
      </w:r>
    </w:p>
    <w:p w14:paraId="4C1BF9F2" w14:textId="77777777" w:rsidR="009A7427" w:rsidRDefault="009A7427" w:rsidP="009A7427">
      <w:pPr>
        <w:pStyle w:val="NoSpacing"/>
        <w:spacing w:line="360" w:lineRule="auto"/>
        <w:rPr>
          <w:sz w:val="24"/>
          <w:szCs w:val="24"/>
        </w:rPr>
      </w:pPr>
      <w:r>
        <w:rPr>
          <w:sz w:val="24"/>
          <w:szCs w:val="24"/>
        </w:rPr>
        <w:t>Mechanism (M): Capability building through training, mentoring, financial literacy, and market access, enabling effective use of credit</w:t>
      </w:r>
    </w:p>
    <w:p w14:paraId="6850A39C" w14:textId="77777777" w:rsidR="009A7427" w:rsidRDefault="009A7427" w:rsidP="009A7427">
      <w:pPr>
        <w:pStyle w:val="NoSpacing"/>
        <w:spacing w:line="360" w:lineRule="auto"/>
        <w:rPr>
          <w:sz w:val="24"/>
          <w:szCs w:val="24"/>
        </w:rPr>
      </w:pPr>
      <w:r>
        <w:rPr>
          <w:sz w:val="24"/>
          <w:szCs w:val="24"/>
        </w:rPr>
        <w:t>Outcome (O): Sustainable rural entrepreneurship, business growth, income generation, poverty reduction, and improved livelihoods</w:t>
      </w:r>
    </w:p>
    <w:p w14:paraId="78A18AAF" w14:textId="77777777" w:rsidR="009A7427" w:rsidRDefault="009A7427" w:rsidP="009A7427">
      <w:pPr>
        <w:pStyle w:val="NoSpacing"/>
        <w:spacing w:line="360" w:lineRule="auto"/>
        <w:rPr>
          <w:sz w:val="24"/>
          <w:szCs w:val="24"/>
        </w:rPr>
      </w:pPr>
      <w:r>
        <w:rPr>
          <w:sz w:val="24"/>
          <w:szCs w:val="24"/>
        </w:rPr>
        <w:t>C. The CASP Checklists</w:t>
      </w:r>
    </w:p>
    <w:p w14:paraId="685254CE" w14:textId="77777777" w:rsidR="009A7427" w:rsidRDefault="009A7427" w:rsidP="009A7427">
      <w:pPr>
        <w:pStyle w:val="NoSpacing"/>
        <w:spacing w:line="360" w:lineRule="auto"/>
        <w:rPr>
          <w:sz w:val="24"/>
          <w:szCs w:val="24"/>
        </w:rPr>
      </w:pPr>
      <w:r>
        <w:rPr>
          <w:sz w:val="24"/>
          <w:szCs w:val="24"/>
        </w:rPr>
        <w:t xml:space="preserve">CASP stands for Critical Appraisal Skills Programme. Finding articles is only half the battle; the other half is deciding if those articles are actually reliable. </w:t>
      </w:r>
    </w:p>
    <w:p w14:paraId="398C5F25" w14:textId="77777777" w:rsidR="009A7427" w:rsidRDefault="009A7427" w:rsidP="009A7427">
      <w:pPr>
        <w:pStyle w:val="NoSpacing"/>
        <w:spacing w:line="360" w:lineRule="auto"/>
        <w:rPr>
          <w:sz w:val="24"/>
          <w:szCs w:val="24"/>
        </w:rPr>
      </w:pPr>
      <w:r>
        <w:rPr>
          <w:sz w:val="24"/>
          <w:szCs w:val="24"/>
        </w:rPr>
        <w:t>CASP gives you simple appraisal checklists for both qualitative and quantitative papers. It helped me ask practical questions while reading:</w:t>
      </w:r>
    </w:p>
    <w:p w14:paraId="592ACF07" w14:textId="77777777" w:rsidR="009A7427" w:rsidRDefault="009A7427" w:rsidP="009A7427">
      <w:pPr>
        <w:pStyle w:val="NoSpacing"/>
        <w:numPr>
          <w:ilvl w:val="0"/>
          <w:numId w:val="10"/>
        </w:numPr>
        <w:spacing w:line="360" w:lineRule="auto"/>
        <w:rPr>
          <w:sz w:val="24"/>
          <w:szCs w:val="24"/>
        </w:rPr>
      </w:pPr>
      <w:r>
        <w:rPr>
          <w:sz w:val="24"/>
          <w:szCs w:val="24"/>
        </w:rPr>
        <w:t>Did the researchers use an appropriate methodology?</w:t>
      </w:r>
    </w:p>
    <w:p w14:paraId="5A552F69" w14:textId="77777777" w:rsidR="009A7427" w:rsidRDefault="009A7427" w:rsidP="009A7427">
      <w:pPr>
        <w:pStyle w:val="NoSpacing"/>
        <w:numPr>
          <w:ilvl w:val="0"/>
          <w:numId w:val="10"/>
        </w:numPr>
        <w:spacing w:line="360" w:lineRule="auto"/>
        <w:rPr>
          <w:sz w:val="24"/>
          <w:szCs w:val="24"/>
        </w:rPr>
      </w:pPr>
      <w:r>
        <w:rPr>
          <w:sz w:val="24"/>
          <w:szCs w:val="24"/>
        </w:rPr>
        <w:t>Was their sample size large enough to draw real conclusions?</w:t>
      </w:r>
    </w:p>
    <w:p w14:paraId="1108B041" w14:textId="77777777" w:rsidR="009A7427" w:rsidRDefault="009A7427" w:rsidP="009A7427">
      <w:pPr>
        <w:pStyle w:val="NoSpacing"/>
        <w:numPr>
          <w:ilvl w:val="0"/>
          <w:numId w:val="10"/>
        </w:numPr>
        <w:spacing w:line="360" w:lineRule="auto"/>
        <w:rPr>
          <w:sz w:val="24"/>
          <w:szCs w:val="24"/>
        </w:rPr>
      </w:pPr>
      <w:r>
        <w:rPr>
          <w:sz w:val="24"/>
          <w:szCs w:val="24"/>
        </w:rPr>
        <w:t>Are the conclusions backed up by solid evidence, or are they mostly assumptions?</w:t>
      </w:r>
    </w:p>
    <w:p w14:paraId="155E70AD" w14:textId="77777777" w:rsidR="009A7427" w:rsidRDefault="009A7427" w:rsidP="009A7427">
      <w:pPr>
        <w:pStyle w:val="NoSpacing"/>
        <w:spacing w:line="360" w:lineRule="auto"/>
        <w:rPr>
          <w:sz w:val="24"/>
          <w:szCs w:val="24"/>
        </w:rPr>
      </w:pPr>
      <w:r>
        <w:rPr>
          <w:sz w:val="24"/>
          <w:szCs w:val="24"/>
        </w:rPr>
        <w:t>Using CASP changed how I process academic literature. I stopped accepting claims just because they were in print and started reading with a critical eye.</w:t>
      </w:r>
    </w:p>
    <w:p w14:paraId="63156620" w14:textId="77777777" w:rsidR="009A7427" w:rsidRDefault="009A7427" w:rsidP="009A7427">
      <w:pPr>
        <w:pStyle w:val="NoSpacing"/>
        <w:spacing w:line="360" w:lineRule="auto"/>
        <w:rPr>
          <w:sz w:val="24"/>
          <w:szCs w:val="24"/>
        </w:rPr>
      </w:pPr>
      <w:r>
        <w:rPr>
          <w:sz w:val="24"/>
          <w:szCs w:val="24"/>
        </w:rPr>
        <w:t>By putting PRISMA, CIMO, and CASP together, my proposal showed a clear pattern: giving small loans to rural entrepreneurs helps, but if they do not get basic business training alongside the money, those loans often go to waste. Money and practical training need to go hand in hand.</w:t>
      </w:r>
    </w:p>
    <w:p w14:paraId="46FBCC31" w14:textId="77777777" w:rsidR="009A7427" w:rsidRDefault="009A7427" w:rsidP="009A7427">
      <w:pPr>
        <w:pStyle w:val="NoSpacing"/>
        <w:spacing w:line="360" w:lineRule="auto"/>
        <w:rPr>
          <w:sz w:val="24"/>
          <w:szCs w:val="24"/>
        </w:rPr>
      </w:pPr>
      <w:r>
        <w:rPr>
          <w:sz w:val="24"/>
          <w:szCs w:val="24"/>
        </w:rPr>
        <w:t>3. The Main Setback: Falling Ill and Missing Classes</w:t>
      </w:r>
    </w:p>
    <w:p w14:paraId="44D5433A" w14:textId="77777777" w:rsidR="009A7427" w:rsidRDefault="009A7427" w:rsidP="009A7427">
      <w:pPr>
        <w:pStyle w:val="NoSpacing"/>
        <w:spacing w:line="360" w:lineRule="auto"/>
        <w:rPr>
          <w:sz w:val="24"/>
          <w:szCs w:val="24"/>
        </w:rPr>
      </w:pPr>
      <w:r>
        <w:rPr>
          <w:sz w:val="24"/>
          <w:szCs w:val="24"/>
        </w:rPr>
        <w:t xml:space="preserve">Things were moving along smoothly until about halfway through the term, when I ran into a health problem. I got chest infection and I was hospitalized for 2 days. As a result, I have missed 3 classes. In a tiny class of three people, missing three weeks was a major hit. </w:t>
      </w:r>
    </w:p>
    <w:p w14:paraId="4480D03A" w14:textId="77777777" w:rsidR="009A7427" w:rsidRDefault="009A7427" w:rsidP="009A7427">
      <w:pPr>
        <w:pStyle w:val="NoSpacing"/>
        <w:spacing w:line="360" w:lineRule="auto"/>
        <w:rPr>
          <w:sz w:val="24"/>
          <w:szCs w:val="24"/>
        </w:rPr>
      </w:pPr>
      <w:r>
        <w:rPr>
          <w:sz w:val="24"/>
          <w:szCs w:val="24"/>
        </w:rPr>
        <w:lastRenderedPageBreak/>
        <w:t>In our small group, every session involved deep discussions, direct feedback on our writing, and hands-on guidance on drawing PRISMA flowcharts, mapping out CIMO components, and scoring papers with CASP. Being stuck at home meant I missed the fundamental core of how to structure the literature review section of my 6,500-word proposal.</w:t>
      </w:r>
    </w:p>
    <w:p w14:paraId="1CC117D7" w14:textId="77777777" w:rsidR="009A7427" w:rsidRDefault="009A7427" w:rsidP="009A7427">
      <w:pPr>
        <w:pStyle w:val="NoSpacing"/>
        <w:spacing w:line="360" w:lineRule="auto"/>
        <w:rPr>
          <w:sz w:val="24"/>
          <w:szCs w:val="24"/>
        </w:rPr>
      </w:pPr>
      <w:r>
        <w:rPr>
          <w:sz w:val="24"/>
          <w:szCs w:val="24"/>
        </w:rPr>
        <w:t xml:space="preserve"> I was worried all the time. The deadline was coming up, and I felt like I was falling too far behind to finish my work. Additionally, staying at home sick made me feel disconnected from the course and my group. Trying to read heavy methodology papers while feeling physically drained was really difficult. But with the support of Ms. Eno Maycok </w:t>
      </w:r>
    </w:p>
    <w:p w14:paraId="36BC539F" w14:textId="77777777" w:rsidR="009A7427" w:rsidRDefault="009A7427" w:rsidP="009A7427">
      <w:pPr>
        <w:pStyle w:val="NoSpacing"/>
        <w:spacing w:line="360" w:lineRule="auto"/>
        <w:rPr>
          <w:sz w:val="24"/>
          <w:szCs w:val="24"/>
        </w:rPr>
      </w:pPr>
      <w:r>
        <w:rPr>
          <w:sz w:val="24"/>
          <w:szCs w:val="24"/>
        </w:rPr>
        <w:t xml:space="preserve"> I managed to get back on track and complete my proposal. I definitely could not have done it without the support I got from my teacher, Ms. Eno Maycok  I was anxious about being so far behind. But Ms. Eno Maycok was very understanding. She did not make me feel guilty or pressured she simply checked on my recovery and reminded me that health comes first.</w:t>
      </w:r>
    </w:p>
    <w:p w14:paraId="71E0BD4C" w14:textId="77777777" w:rsidR="009A7427" w:rsidRDefault="009A7427" w:rsidP="009A7427">
      <w:pPr>
        <w:pStyle w:val="NoSpacing"/>
        <w:spacing w:line="360" w:lineRule="auto"/>
        <w:rPr>
          <w:sz w:val="24"/>
          <w:szCs w:val="24"/>
        </w:rPr>
      </w:pPr>
      <w:r>
        <w:rPr>
          <w:sz w:val="24"/>
          <w:szCs w:val="24"/>
        </w:rPr>
        <w:t xml:space="preserve">During her office hours, Ms. Eno Maycok looked at my situation and told me, "Don't stress about the whole 6,500 words right now just focus on getting your PRISMA flowchart and CIMO structure right first." She broke the remaining workload into smaller, manageable chunks, reviewed my early drafts, and gave me clear feedback. Her supportive attitude gave me the inspiration.</w:t>
      </w:r>
    </w:p>
    <w:p w14:paraId="55CAF1D6" w14:textId="77777777" w:rsidR="009A7427" w:rsidRDefault="009A7427" w:rsidP="009A7427">
      <w:pPr>
        <w:pStyle w:val="NoSpacing"/>
        <w:spacing w:line="360" w:lineRule="auto"/>
        <w:rPr>
          <w:sz w:val="24"/>
          <w:szCs w:val="24"/>
        </w:rPr>
      </w:pPr>
      <w:r>
        <w:rPr>
          <w:sz w:val="24"/>
          <w:szCs w:val="24"/>
        </w:rPr>
        <w:t xml:space="preserve"> 5. Reflections on What I Learned</w:t>
      </w:r>
    </w:p>
    <w:p w14:paraId="65AC87DD" w14:textId="77777777" w:rsidR="009A7427" w:rsidRDefault="009A7427" w:rsidP="009A7427">
      <w:pPr>
        <w:pStyle w:val="NoSpacing"/>
        <w:spacing w:line="360" w:lineRule="auto"/>
        <w:rPr>
          <w:sz w:val="24"/>
          <w:szCs w:val="24"/>
        </w:rPr>
      </w:pPr>
      <w:r>
        <w:rPr>
          <w:sz w:val="24"/>
          <w:szCs w:val="24"/>
        </w:rPr>
        <w:t>Looking back at the whole experience, this module taught me a lot about research techniques, but it also taught me a few things about managing unexpected setbacks.</w:t>
      </w:r>
    </w:p>
    <w:p w14:paraId="26E5236C" w14:textId="77777777" w:rsidR="009A7427" w:rsidRDefault="009A7427" w:rsidP="009A7427">
      <w:pPr>
        <w:pStyle w:val="NoSpacing"/>
        <w:spacing w:line="360" w:lineRule="auto"/>
        <w:rPr>
          <w:sz w:val="24"/>
          <w:szCs w:val="24"/>
        </w:rPr>
      </w:pPr>
      <w:r>
        <w:rPr>
          <w:sz w:val="24"/>
          <w:szCs w:val="24"/>
        </w:rPr>
        <w:t>Positive Outcomes:</w:t>
      </w:r>
    </w:p>
    <w:p w14:paraId="3F8C9C8F" w14:textId="77777777" w:rsidR="009A7427" w:rsidRDefault="009A7427" w:rsidP="009A7427">
      <w:pPr>
        <w:pStyle w:val="NoSpacing"/>
        <w:numPr>
          <w:ilvl w:val="0"/>
          <w:numId w:val="11"/>
        </w:numPr>
        <w:spacing w:line="360" w:lineRule="auto"/>
        <w:rPr>
          <w:sz w:val="24"/>
          <w:szCs w:val="24"/>
        </w:rPr>
      </w:pPr>
      <w:r>
        <w:rPr>
          <w:sz w:val="24"/>
          <w:szCs w:val="24"/>
        </w:rPr>
        <w:t>Applied Frameworks (PRISMA, CIMO, CASP): I learned how to process a large pile of articles and turn them into an organized, critically appraised literature review.</w:t>
      </w:r>
    </w:p>
    <w:p w14:paraId="105EE7E1" w14:textId="77777777" w:rsidR="009A7427" w:rsidRDefault="009A7427" w:rsidP="009A7427">
      <w:pPr>
        <w:pStyle w:val="NoSpacing"/>
        <w:numPr>
          <w:ilvl w:val="0"/>
          <w:numId w:val="11"/>
        </w:numPr>
        <w:spacing w:line="360" w:lineRule="auto"/>
        <w:rPr>
          <w:sz w:val="24"/>
          <w:szCs w:val="24"/>
        </w:rPr>
      </w:pPr>
      <w:r>
        <w:rPr>
          <w:sz w:val="24"/>
          <w:szCs w:val="24"/>
        </w:rPr>
        <w:t>Clarity on the Research Topic: Using CIMO helped me show why rural entrepreneurs need both financial support and skills training to build lasting businesses.</w:t>
      </w:r>
    </w:p>
    <w:p w14:paraId="23F2529F" w14:textId="77777777" w:rsidR="009A7427" w:rsidRDefault="009A7427" w:rsidP="009A7427">
      <w:pPr>
        <w:pStyle w:val="NoSpacing"/>
        <w:numPr>
          <w:ilvl w:val="0"/>
          <w:numId w:val="11"/>
        </w:numPr>
        <w:spacing w:line="360" w:lineRule="auto"/>
        <w:rPr>
          <w:sz w:val="24"/>
          <w:szCs w:val="24"/>
        </w:rPr>
      </w:pPr>
      <w:r>
        <w:rPr>
          <w:sz w:val="24"/>
          <w:szCs w:val="24"/>
        </w:rPr>
        <w:t xml:space="preserve">Value of Collaboration: Working closely with Ms. Eno Maycok and getting help from Monaf showed me how important is support when things get tough.</w:t>
      </w:r>
    </w:p>
    <w:p w14:paraId="225853DD" w14:textId="77777777" w:rsidR="009A7427" w:rsidRDefault="009A7427" w:rsidP="009A7427">
      <w:pPr>
        <w:pStyle w:val="NoSpacing"/>
        <w:spacing w:line="360" w:lineRule="auto"/>
        <w:rPr>
          <w:sz w:val="24"/>
          <w:szCs w:val="24"/>
        </w:rPr>
      </w:pPr>
    </w:p>
    <w:p w14:paraId="3195FE4F" w14:textId="77777777" w:rsidR="009A7427" w:rsidRDefault="009A7427" w:rsidP="009A7427">
      <w:pPr>
        <w:pStyle w:val="NoSpacing"/>
        <w:spacing w:line="360" w:lineRule="auto"/>
        <w:rPr>
          <w:sz w:val="24"/>
          <w:szCs w:val="24"/>
        </w:rPr>
      </w:pPr>
      <w:r>
        <w:rPr>
          <w:sz w:val="24"/>
          <w:szCs w:val="24"/>
        </w:rPr>
        <w:t xml:space="preserve"> Difficulties Faced:</w:t>
      </w:r>
    </w:p>
    <w:p w14:paraId="6249D8F1" w14:textId="77777777" w:rsidR="009A7427" w:rsidRDefault="009A7427" w:rsidP="009A7427">
      <w:pPr>
        <w:pStyle w:val="NoSpacing"/>
        <w:numPr>
          <w:ilvl w:val="0"/>
          <w:numId w:val="12"/>
        </w:numPr>
        <w:spacing w:line="360" w:lineRule="auto"/>
        <w:rPr>
          <w:sz w:val="24"/>
          <w:szCs w:val="24"/>
        </w:rPr>
      </w:pPr>
      <w:r>
        <w:rPr>
          <w:sz w:val="24"/>
          <w:szCs w:val="24"/>
        </w:rPr>
        <w:lastRenderedPageBreak/>
        <w:t>Catching Up While Recovering: Reading through dense academic papers to make up for three missed weeks while still getting my energy back was tough.</w:t>
      </w:r>
    </w:p>
    <w:p w14:paraId="461470E3" w14:textId="77777777" w:rsidR="009A7427" w:rsidRDefault="009A7427" w:rsidP="009A7427">
      <w:pPr>
        <w:pStyle w:val="NoSpacing"/>
        <w:numPr>
          <w:ilvl w:val="0"/>
          <w:numId w:val="12"/>
        </w:numPr>
        <w:spacing w:line="360" w:lineRule="auto"/>
        <w:rPr>
          <w:sz w:val="24"/>
          <w:szCs w:val="24"/>
        </w:rPr>
      </w:pPr>
      <w:r>
        <w:rPr>
          <w:sz w:val="24"/>
          <w:szCs w:val="24"/>
        </w:rPr>
        <w:t>Synthesizing Findings: Combining dozens of different studies into one coherent narrative through the CIMO lens took a lot of revision and effort.</w:t>
      </w:r>
    </w:p>
    <w:p w14:paraId="193B9E6B" w14:textId="77777777" w:rsidR="009A7427" w:rsidRDefault="009A7427" w:rsidP="009A7427">
      <w:pPr>
        <w:pStyle w:val="NoSpacing"/>
        <w:spacing w:line="360" w:lineRule="auto"/>
        <w:rPr>
          <w:sz w:val="24"/>
          <w:szCs w:val="24"/>
        </w:rPr>
      </w:pPr>
    </w:p>
    <w:p w14:paraId="1F391C34" w14:textId="77777777" w:rsidR="009A7427" w:rsidRDefault="009A7427" w:rsidP="009A7427">
      <w:pPr>
        <w:pStyle w:val="NoSpacing"/>
        <w:spacing w:line="360" w:lineRule="auto"/>
        <w:rPr>
          <w:sz w:val="24"/>
          <w:szCs w:val="24"/>
        </w:rPr>
      </w:pPr>
      <w:r>
        <w:rPr>
          <w:sz w:val="24"/>
          <w:szCs w:val="24"/>
        </w:rPr>
        <w:t xml:space="preserve"> Core Takeaways:</w:t>
      </w:r>
    </w:p>
    <w:p w14:paraId="6CFBCC9B" w14:textId="77777777" w:rsidR="009A7427" w:rsidRDefault="009A7427" w:rsidP="009A7427">
      <w:pPr>
        <w:pStyle w:val="NoSpacing"/>
        <w:spacing w:line="360" w:lineRule="auto"/>
        <w:rPr>
          <w:sz w:val="24"/>
          <w:szCs w:val="24"/>
        </w:rPr>
      </w:pPr>
      <w:r>
        <w:rPr>
          <w:sz w:val="24"/>
          <w:szCs w:val="24"/>
        </w:rPr>
        <w:t>1. Critical Reading: I no longer read papers passively. CASP taught me to look at methodologies and evidence before accepting conclusions.</w:t>
      </w:r>
    </w:p>
    <w:p w14:paraId="12E54EB9" w14:textId="77777777" w:rsidR="009A7427" w:rsidRDefault="009A7427" w:rsidP="009A7427">
      <w:pPr>
        <w:pStyle w:val="NoSpacing"/>
        <w:spacing w:line="360" w:lineRule="auto"/>
        <w:rPr>
          <w:sz w:val="24"/>
          <w:szCs w:val="24"/>
        </w:rPr>
      </w:pPr>
      <w:r>
        <w:rPr>
          <w:sz w:val="24"/>
          <w:szCs w:val="24"/>
        </w:rPr>
        <w:t>2. Handling Setbacks: Falling sick mid-term taught me how to adjust my study schedule, break tasks down, and stay focused under pressure.</w:t>
      </w:r>
    </w:p>
    <w:p w14:paraId="0209BECA" w14:textId="77777777" w:rsidR="009A7427" w:rsidRDefault="009A7427" w:rsidP="009A7427">
      <w:pPr>
        <w:pStyle w:val="NoSpacing"/>
        <w:spacing w:line="360" w:lineRule="auto"/>
        <w:rPr>
          <w:sz w:val="24"/>
          <w:szCs w:val="24"/>
        </w:rPr>
      </w:pPr>
      <w:r>
        <w:rPr>
          <w:sz w:val="24"/>
          <w:szCs w:val="24"/>
        </w:rPr>
        <w:t xml:space="preserve">3. Reaching Out for Help: I realized that DBA research does not have to be done in total isolation. Communicating early with teachers like Ms. Eno Maycok and classmates like Monaf makes big challenges much easier to handle.</w:t>
      </w:r>
    </w:p>
    <w:p w14:paraId="4AE90BF8" w14:textId="77777777" w:rsidR="009A7427" w:rsidRDefault="009A7427" w:rsidP="009A7427">
      <w:pPr>
        <w:pStyle w:val="NoSpacing"/>
        <w:spacing w:line="360" w:lineRule="auto"/>
        <w:rPr>
          <w:sz w:val="24"/>
          <w:szCs w:val="24"/>
        </w:rPr>
      </w:pPr>
      <w:r>
        <w:rPr>
          <w:sz w:val="24"/>
          <w:szCs w:val="24"/>
        </w:rPr>
        <w:t xml:space="preserve"> 6. Action Plan for Future Projects</w:t>
      </w:r>
    </w:p>
    <w:p w14:paraId="697D18F6" w14:textId="77777777" w:rsidR="009A7427" w:rsidRDefault="009A7427" w:rsidP="009A7427">
      <w:pPr>
        <w:pStyle w:val="NoSpacing"/>
        <w:spacing w:line="360" w:lineRule="auto"/>
        <w:rPr>
          <w:sz w:val="24"/>
          <w:szCs w:val="24"/>
        </w:rPr>
      </w:pPr>
      <w:r>
        <w:rPr>
          <w:sz w:val="24"/>
          <w:szCs w:val="24"/>
        </w:rPr>
        <w:t>For my future DBA modules and final dissertation, I plan to apply these lessons:</w:t>
      </w:r>
    </w:p>
    <w:p w14:paraId="7F338D79" w14:textId="77777777" w:rsidR="009A7427" w:rsidRDefault="009A7427" w:rsidP="009A7427">
      <w:pPr>
        <w:pStyle w:val="NoSpacing"/>
        <w:spacing w:line="360" w:lineRule="auto"/>
        <w:rPr>
          <w:sz w:val="24"/>
          <w:szCs w:val="24"/>
        </w:rPr>
      </w:pPr>
      <w:r>
        <w:rPr>
          <w:sz w:val="24"/>
          <w:szCs w:val="24"/>
        </w:rPr>
        <w:t>Use PRISMA, CIMO, and CASP: I will keep using PRISMA for searching, CIMO for structuring business insights, and CASP for quality checks in future literature reviews.</w:t>
      </w:r>
    </w:p>
    <w:p w14:paraId="77C761AD" w14:textId="77777777" w:rsidR="009A7427" w:rsidRDefault="009A7427" w:rsidP="009A7427">
      <w:pPr>
        <w:pStyle w:val="NoSpacing"/>
        <w:spacing w:line="360" w:lineRule="auto"/>
        <w:rPr>
          <w:sz w:val="24"/>
          <w:szCs w:val="24"/>
        </w:rPr>
      </w:pPr>
      <w:r>
        <w:rPr>
          <w:sz w:val="24"/>
          <w:szCs w:val="24"/>
        </w:rPr>
        <w:t xml:space="preserve"> Build Extra Time Buffers: To avoid stress from sudden illness or unexpected life events, I will aim to set my personal deadlines at least ten days before the official university submission dates.</w:t>
      </w:r>
    </w:p>
    <w:p w14:paraId="36FB1A77" w14:textId="77777777" w:rsidR="009A7427" w:rsidRDefault="009A7427" w:rsidP="009A7427">
      <w:pPr>
        <w:pStyle w:val="NoSpacing"/>
        <w:spacing w:line="360" w:lineRule="auto"/>
        <w:rPr>
          <w:sz w:val="24"/>
          <w:szCs w:val="24"/>
        </w:rPr>
      </w:pPr>
      <w:r>
        <w:rPr>
          <w:sz w:val="24"/>
          <w:szCs w:val="24"/>
        </w:rPr>
        <w:t xml:space="preserve">Stay in Regular Touch with Peers and Tutors: I learned that checking in early with lecturers like Ms. Eno Maycok and study partners like Monaf saves a lot of time and prevents unnecessary confusion.</w:t>
      </w:r>
    </w:p>
    <w:p w14:paraId="5A33215E" w14:textId="77777777" w:rsidR="009A7427" w:rsidRDefault="009A7427" w:rsidP="009A7427">
      <w:pPr>
        <w:pStyle w:val="NoSpacing"/>
        <w:spacing w:line="360" w:lineRule="auto"/>
        <w:rPr>
          <w:sz w:val="24"/>
          <w:szCs w:val="24"/>
        </w:rPr>
      </w:pPr>
      <w:r>
        <w:rPr>
          <w:sz w:val="24"/>
          <w:szCs w:val="24"/>
        </w:rPr>
        <w:t xml:space="preserve"> Design Practical Output: For my final dissertation, I want to use CIMO to build a simple, practical guide that NGOs, local microfinance banks, and policymakers can actually use to support rural businesses.</w:t>
      </w:r>
    </w:p>
    <w:p w14:paraId="769400B1" w14:textId="77777777" w:rsidR="009A7427" w:rsidRDefault="009A7427" w:rsidP="009A7427">
      <w:pPr>
        <w:pStyle w:val="NoSpacing"/>
        <w:spacing w:line="360" w:lineRule="auto"/>
        <w:rPr>
          <w:sz w:val="24"/>
          <w:szCs w:val="24"/>
        </w:rPr>
      </w:pPr>
      <w:r>
        <w:rPr>
          <w:sz w:val="24"/>
          <w:szCs w:val="24"/>
        </w:rPr>
        <w:t xml:space="preserve"> 7. Conclusion</w:t>
      </w:r>
    </w:p>
    <w:p w14:paraId="26EB7592" w14:textId="77777777" w:rsidR="009A7427" w:rsidRDefault="009A7427" w:rsidP="009A7427">
      <w:pPr>
        <w:pStyle w:val="NoSpacing"/>
        <w:spacing w:line="360" w:lineRule="auto"/>
        <w:rPr>
          <w:sz w:val="24"/>
          <w:szCs w:val="24"/>
        </w:rPr>
      </w:pPr>
      <w:r>
        <w:rPr>
          <w:sz w:val="24"/>
          <w:szCs w:val="24"/>
        </w:rPr>
        <w:t>The module "Converting Research into Practice" was a challenging but rewarding process. It tested my academic abilities and my ability to handle unexpected disruptions.</w:t>
      </w:r>
    </w:p>
    <w:p w14:paraId="320A31D7" w14:textId="77777777" w:rsidR="009A7427" w:rsidRDefault="009A7427" w:rsidP="009A7427">
      <w:pPr>
        <w:pStyle w:val="NoSpacing"/>
        <w:spacing w:line="360" w:lineRule="auto"/>
        <w:rPr>
          <w:sz w:val="24"/>
          <w:szCs w:val="24"/>
        </w:rPr>
      </w:pPr>
      <w:r>
        <w:rPr>
          <w:sz w:val="24"/>
          <w:szCs w:val="24"/>
        </w:rPr>
        <w:lastRenderedPageBreak/>
        <w:t xml:space="preserve">Writing a 6,500-word proposal on rural entrepreneurship, microcredit, and business training gave me a much clearer understanding of practical economic development. More than that, dealing with illness and missing three key classes showed me the real value of a supportive environment. </w:t>
      </w:r>
    </w:p>
    <w:p w14:paraId="4C26C9BD" w14:textId="7A552A95" w:rsidR="009A7427" w:rsidRDefault="009A7427" w:rsidP="009A7427">
      <w:pPr>
        <w:pStyle w:val="NoSpacing"/>
        <w:spacing w:line="360" w:lineRule="auto"/>
        <w:rPr>
          <w:sz w:val="24"/>
          <w:szCs w:val="24"/>
        </w:rPr>
      </w:pPr>
      <w:r>
        <w:rPr>
          <w:sz w:val="24"/>
          <w:szCs w:val="24"/>
        </w:rPr>
        <w:t xml:space="preserve">Thanks to the guidance from Ms. Eno Maycok, the help from my classmate Monaf, and structured methods like PRISMA, CIMO, and CASP, I managed to pull things together and deliver a solid proposal. I am leaving this module with better research habits, more confidence, and a clearer plan for the rest of my DBA degree.</w:t>
      </w:r>
    </w:p>
    <w:p w14:paraId="304F7DFB" w14:textId="77777777" w:rsidR="009A7427" w:rsidRDefault="009A7427" w:rsidP="009A7427">
      <w:pPr>
        <w:pStyle w:val="NoSpacing"/>
        <w:spacing w:line="360" w:lineRule="auto"/>
        <w:rPr>
          <w:sz w:val="24"/>
          <w:szCs w:val="24"/>
        </w:rPr>
      </w:pPr>
    </w:p>
    <w:p w14:paraId="26933E71" w14:textId="3E792B3F" w:rsidR="009A7427" w:rsidRPr="009A7427" w:rsidRDefault="009A7427" w:rsidP="009A7427">
      <w:pPr>
        <w:spacing w:after="400" w:line="360" w:lineRule="auto"/>
        <w:jc w:val="center"/>
        <w:rPr>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eastAsia="Calibri"/>
          <w:b/>
          <w:bCs/>
          <w:sz w:val="24"/>
          <w:szCs w:val="24"/>
        </w:rPr>
        <w:t xml:space="preserve"> </w:t>
      </w:r>
      <w:r>
        <w:rPr>
          <w:rFonts w:eastAsia="Calibri"/>
          <w:b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Topic :The Role of Microcredit and Business Development Services in Supporting Rural Income-Generating Activities and Sustainable Rural Entrepreneurship in Developing Countries: A Systematic Literature Review</w:t>
      </w:r>
    </w:p>
    <w:p w14:paraId="72EEDC9D" w14:textId="77777777" w:rsidR="00307997" w:rsidRPr="00A704AC" w:rsidRDefault="00307997" w:rsidP="00307997">
      <w:pPr>
        <w:pStyle w:val="Heading1"/>
        <w:spacing w:before="300" w:after="150"/>
        <w:rPr>
          <w:sz w:val="24"/>
          <w:szCs w:val="24"/>
        </w:rPr>
      </w:pPr>
      <w:r>
        <w:rPr>
          <w:sz w:val="24"/>
          <w:szCs w:val="24"/>
        </w:rPr>
        <w:t>Background of the Study</w:t>
      </w:r>
    </w:p>
    <w:p w14:paraId="50925A23" w14:textId="5EB6BA47" w:rsidR="00307997" w:rsidRPr="00A704AC" w:rsidRDefault="00307997" w:rsidP="00307997">
      <w:pPr>
        <w:pStyle w:val="NormalWeb"/>
        <w:spacing w:line="360" w:lineRule="auto"/>
      </w:pPr>
      <w:r>
        <w:t xml:space="preserve">Microcredit: A service by banks, a government programme or an NGO. It is primarily designed to provide small loans to people who would not qualify for traditional banking services due to collateral. Researchers increasingly view microcredit as a key driver for expanding financial inclusion, alleviating poverty, and encouraging enterprise creation in low-income communities (Ault, 2016; Hani et al., 2024). This concept became covered worldwide with the work of Professor Muhammad Yunus and for Grameen Bank model in Bangladesh that proved how disadvantaged individuals could use loans from this kind of service to leverage their own income-generating activity.</w:t>
      </w:r>
    </w:p>
    <w:p w14:paraId="1998C829" w14:textId="0FB21E56" w:rsidR="00307997" w:rsidRDefault="00307997" w:rsidP="00307997">
      <w:pPr>
        <w:pStyle w:val="NormalWeb"/>
        <w:spacing w:line="360" w:lineRule="auto"/>
      </w:pPr>
      <w:r>
        <w:t xml:space="preserve">Microcredit aims to alleviate poverty by promoting self-employment and enhancing the economic well-being, particularly of marginalized individuals, especially women. Microcredit allows people to start and grow small businesses, generate household income and a higher standard of living. Studies indicate that access to microfinance supports household financial stability alongside entrepreneurs' growth, driving economic advancement in rural communities (Parray et al., 2024).</w:t>
      </w:r>
    </w:p>
    <w:p w14:paraId="15437F66" w14:textId="77777777" w:rsidR="00307997" w:rsidRPr="00A704AC" w:rsidRDefault="00307997" w:rsidP="00307997">
      <w:pPr>
        <w:spacing w:after="160" w:line="360" w:lineRule="auto"/>
        <w:jc w:val="both"/>
        <w:rPr>
          <w:sz w:val="24"/>
          <w:szCs w:val="24"/>
        </w:rPr>
      </w:pPr>
      <w:r>
        <w:rPr>
          <w:sz w:val="24"/>
          <w:szCs w:val="24"/>
        </w:rPr>
        <w:lastRenderedPageBreak/>
        <w:t xml:space="preserve"> To reduce poverty from developing countries rural people’s self-employment plays an important role. However, people from poor communities often face several challenges to make small business such as limited access to initial capital, a lack of business knowledge and skills, weak infrastructure, and limited access to profitable markets. These problems make it difficult for rural businesses to survive and grow (Cho, Robalino and Watson, 2016).</w:t>
      </w:r>
    </w:p>
    <w:p w14:paraId="597B2FDD" w14:textId="77F307EE" w:rsidR="00307997" w:rsidRPr="00A704AC" w:rsidRDefault="00307997" w:rsidP="00307997">
      <w:pPr>
        <w:spacing w:after="160" w:line="360" w:lineRule="auto"/>
        <w:jc w:val="both"/>
        <w:rPr>
          <w:sz w:val="24"/>
          <w:szCs w:val="24"/>
        </w:rPr>
      </w:pPr>
      <w:r>
        <w:rPr>
          <w:sz w:val="24"/>
          <w:szCs w:val="24"/>
        </w:rPr>
        <w:t xml:space="preserve">Although people can get capital to start a business through microcredit but having credit alone is always not enough for long-term business success. Building a sustainable business requires strong operational skills, market knowledge, and financial literacy. Business Development Services (BDS) provide this essential foundation through training, mentoring, and market linkages, which enable entrepreneurs to utilize their credit effectively.  BDS include entrepreneurship training, business advice, mentoring, financial literacy, technical assistance, and market linkage support, all aimed at improving entrepreneurial skills and business performance (Cho, Robalino and Watson, 2016).</w:t>
      </w:r>
    </w:p>
    <w:p w14:paraId="65E819E2" w14:textId="77777777" w:rsidR="00307997" w:rsidRPr="00A659F4" w:rsidRDefault="00307997" w:rsidP="00307997">
      <w:pPr>
        <w:spacing w:after="160" w:line="360" w:lineRule="auto"/>
        <w:jc w:val="both"/>
        <w:rPr>
          <w:sz w:val="24"/>
          <w:szCs w:val="24"/>
        </w:rPr>
      </w:pPr>
      <w:r>
        <w:rPr>
          <w:sz w:val="24"/>
          <w:szCs w:val="24"/>
        </w:rPr>
        <w:t xml:space="preserve">According to Abeysekera (2020), people who receive financial and non- financial service at a time are more likely to make sustainable business. As BDS gives the opportunities to people to achieve business knowledge and skill, helps to improve managerial capacities and reach wider market which make a business successful</w:t>
      </w:r>
      <w:r>
        <w:rPr>
          <w:b/>
          <w:bCs/>
          <w:sz w:val="24"/>
          <w:szCs w:val="24"/>
        </w:rPr>
        <w:t xml:space="preserve"> </w:t>
      </w:r>
      <w:r>
        <w:rPr>
          <w:sz w:val="24"/>
          <w:szCs w:val="24"/>
        </w:rPr>
        <w:t>(Hani et al., 2024).</w:t>
      </w:r>
    </w:p>
    <w:p w14:paraId="1435E2D3" w14:textId="04BE6E46" w:rsidR="00307997" w:rsidRDefault="00307997" w:rsidP="00307997">
      <w:pPr>
        <w:spacing w:after="160" w:line="360" w:lineRule="auto"/>
        <w:jc w:val="both"/>
      </w:pPr>
      <w:r>
        <w:rPr>
          <w:sz w:val="24"/>
          <w:szCs w:val="24"/>
        </w:rPr>
        <w:t xml:space="preserve">Many scholars has shown the link between microcredit and poverty reduction, women's entrepreneurship, financial inclusion, and rural development or BDS and rural self-employment. But a less number of studies have examine the combined role of these two services to support small business make by poor rural people.  Study such as (Gyimah et al., 2024; Musah, 2025) wanted to  justify the impact of microfinance alone (Gyimah et al., 2024; Musah, 2025) or on the effects of business development services alone (Amdemichael, 2025. Although recent work has begun to adopt an integrated 'microfinance-plus' approach combining financial and non-financial support (Tulika &amp; Ram, 2025; Hartarska et al., 2025), evidence regarding its joint impact on rural enterprise sustainability remains fragmented. Evaluating this combined dynamic serves as the primary focus of the present study</w:t>
      </w:r>
    </w:p>
    <w:p w14:paraId="724B6575" w14:textId="77777777" w:rsidR="00307997" w:rsidRDefault="00307997" w:rsidP="00307997">
      <w:pPr>
        <w:spacing w:after="160" w:line="360" w:lineRule="auto"/>
        <w:jc w:val="both"/>
        <w:rPr>
          <w:sz w:val="24"/>
          <w:szCs w:val="24"/>
        </w:rPr>
      </w:pPr>
      <w: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w:t>
      </w:r>
    </w:p>
    <w:p w14:paraId="51802B2B" w14:textId="77777777" w:rsidR="00307997" w:rsidRPr="00A704AC" w:rsidRDefault="00307997" w:rsidP="00307997">
      <w:pPr>
        <w:spacing w:after="160" w:line="360" w:lineRule="auto"/>
        <w:jc w:val="both"/>
        <w:rPr>
          <w:sz w:val="24"/>
          <w:szCs w:val="24"/>
        </w:rPr>
      </w:pPr>
      <w:r>
        <w:rPr>
          <w:sz w:val="24"/>
          <w:szCs w:val="24"/>
        </w:rPr>
        <w:lastRenderedPageBreak/>
        <w:t xml:space="preserve"> Small business is significant to make job roles and make contribution to reduce poverty and support local economic growth.  Microcredit helps people to make entrepreneurship, by doing this household income and living standards.  But people not often could be able to make a sustainable business with credit alone, they need skill, knowledge and market information to grow and survive in long run (Bandiera et al., 2020; Shepherd and Williams, 2019).</w:t>
      </w:r>
    </w:p>
    <w:p w14:paraId="3D04FF97" w14:textId="51C600EA" w:rsidR="00307997" w:rsidRPr="00A704AC" w:rsidRDefault="002276A6" w:rsidP="00307997">
      <w:pPr>
        <w:spacing w:after="160" w:line="360" w:lineRule="auto"/>
        <w:jc w:val="both"/>
        <w:rPr>
          <w:sz w:val="24"/>
          <w:szCs w:val="24"/>
        </w:rPr>
      </w:pPr>
      <w:r>
        <w:rPr>
          <w:sz w:val="24"/>
          <w:szCs w:val="24"/>
        </w:rPr>
        <w:t xml:space="preserve">To strengthen entrepreneurial capacity and drive business performance, microfinance institutions, government bodies, and NGOs offer Business Development Services that include training, mentorship, financial guidance, and market intelligence. Lensink et al. (2018) and Karlan and Valdivia (2011) found that combining financial services with business training can improve business practices, build entrepreneurial skills, and support the long-term sustainability of small businesses.</w:t>
      </w:r>
    </w:p>
    <w:p w14:paraId="03CE1E13" w14:textId="77777777" w:rsidR="00307997" w:rsidRPr="001B489A" w:rsidRDefault="00307997" w:rsidP="00307997">
      <w:pPr>
        <w:spacing w:after="160" w:line="360" w:lineRule="auto"/>
        <w:jc w:val="both"/>
        <w:rPr>
          <w:sz w:val="24"/>
          <w:szCs w:val="24"/>
        </w:rPr>
      </w:pPr>
      <w:r>
        <w:rPr>
          <w:sz w:val="24"/>
          <w:szCs w:val="24"/>
        </w:rPr>
        <w:t xml:space="preserve">Despite this growing body of research, few studies have examined how microcredit and Business Development Services work together to support rural businesses to build and get success in long term. Most earlier research looks at either access to finance or business support services on their own. Very few studies look at how these two forms of support work together make small business grow particularly in developing countries (Lensink et al., 2018; Sievers &amp; Vandenberg, 2007; Charfeddine &amp; Zaouali, 2022; Ogujiuba et al., 2023).</w:t>
      </w:r>
    </w:p>
    <w:p w14:paraId="156466B1" w14:textId="4063E57D" w:rsidR="00307997" w:rsidRPr="00A704AC" w:rsidRDefault="002276A6" w:rsidP="00307997">
      <w:pPr>
        <w:spacing w:after="160" w:line="360" w:lineRule="auto"/>
        <w:jc w:val="both"/>
        <w:rPr>
          <w:sz w:val="24"/>
          <w:szCs w:val="24"/>
        </w:rPr>
      </w:pPr>
      <w:r>
        <w:rPr>
          <w:sz w:val="24"/>
          <w:szCs w:val="24"/>
        </w:rPr>
        <w:t xml:space="preserve">To address this gap, this study examines the relationship between microcredit and Business Development Services in promoting entrepreneurship among low-income rural populations in developing countries. Specifically, it evaluates how integrating financial and non-financial support contributes to self-employment, enterprise growth, and broader socio-economic development</w:t>
      </w:r>
      <w:r>
        <w:t>.</w:t>
      </w:r>
    </w:p>
    <w:p w14:paraId="47C45916" w14:textId="77777777" w:rsidR="00307997" w:rsidRPr="00A704AC" w:rsidRDefault="00307997" w:rsidP="00307997">
      <w:pPr>
        <w:pStyle w:val="Heading2"/>
        <w:spacing w:before="240" w:after="120"/>
        <w:rPr>
          <w:sz w:val="24"/>
          <w:szCs w:val="24"/>
        </w:rPr>
      </w:pPr>
      <w:r>
        <w:rPr>
          <w:sz w:val="24"/>
          <w:szCs w:val="24"/>
        </w:rPr>
        <w:t>1.1 Aim of the Study</w:t>
      </w:r>
    </w:p>
    <w:p w14:paraId="529A7117" w14:textId="77777777" w:rsidR="00307997" w:rsidRPr="00A704AC" w:rsidRDefault="00307997" w:rsidP="00307997">
      <w:pPr>
        <w:spacing w:after="160" w:line="360" w:lineRule="auto"/>
        <w:jc w:val="both"/>
        <w:rPr>
          <w:sz w:val="24"/>
          <w:szCs w:val="24"/>
        </w:rPr>
      </w:pPr>
      <w:r>
        <w:rPr>
          <w:sz w:val="24"/>
          <w:szCs w:val="24"/>
        </w:rPr>
        <w:t>The aim of this study is to understand the role of microcredit and BDS programme to rural small business growth and success. The study explores how the combined support of microfinance and BDS helps to support local economic growth and poverty reduction and improves the livelihoods of individuals and communities.</w:t>
      </w:r>
    </w:p>
    <w:p w14:paraId="09F15FDE" w14:textId="77777777" w:rsidR="00307997" w:rsidRPr="00A704AC" w:rsidRDefault="00307997" w:rsidP="00307997">
      <w:pPr>
        <w:pStyle w:val="Heading2"/>
        <w:spacing w:before="240" w:after="120"/>
        <w:rPr>
          <w:sz w:val="24"/>
          <w:szCs w:val="24"/>
        </w:rPr>
      </w:pPr>
      <w:r>
        <w:rPr>
          <w:sz w:val="24"/>
          <w:szCs w:val="24"/>
        </w:rPr>
        <w:t>1.2 Objectives of the Study</w:t>
      </w:r>
    </w:p>
    <w:p w14:paraId="0BF77954" w14:textId="77777777" w:rsidR="00307997" w:rsidRPr="00A704AC" w:rsidRDefault="00307997" w:rsidP="00307997">
      <w:pPr>
        <w:pStyle w:val="ListParagraph"/>
        <w:numPr>
          <w:ilvl w:val="0"/>
          <w:numId w:val="5"/>
        </w:numPr>
        <w:spacing w:after="100" w:line="300" w:lineRule="auto"/>
        <w:rPr>
          <w:sz w:val="24"/>
          <w:szCs w:val="24"/>
        </w:rPr>
      </w:pPr>
      <w:r>
        <w:rPr>
          <w:sz w:val="24"/>
          <w:szCs w:val="24"/>
        </w:rPr>
        <w:t>To examine the role of microcredit in helping rural people start their own businesses.</w:t>
      </w:r>
    </w:p>
    <w:p w14:paraId="2FF64F67" w14:textId="77777777" w:rsidR="00307997" w:rsidRPr="00A704AC" w:rsidRDefault="00307997" w:rsidP="00307997">
      <w:pPr>
        <w:pStyle w:val="ListParagraph"/>
        <w:numPr>
          <w:ilvl w:val="0"/>
          <w:numId w:val="5"/>
        </w:numPr>
        <w:spacing w:after="100" w:line="300" w:lineRule="auto"/>
        <w:rPr>
          <w:sz w:val="24"/>
          <w:szCs w:val="24"/>
        </w:rPr>
      </w:pPr>
      <w:r>
        <w:rPr>
          <w:sz w:val="24"/>
          <w:szCs w:val="24"/>
        </w:rPr>
        <w:lastRenderedPageBreak/>
        <w:t>To assess the contribution of microcredit to poverty reduction and socio-economic development.</w:t>
      </w:r>
    </w:p>
    <w:p w14:paraId="1750EBA0" w14:textId="77777777" w:rsidR="00307997" w:rsidRPr="00A704AC" w:rsidRDefault="00307997" w:rsidP="00307997">
      <w:pPr>
        <w:pStyle w:val="ListParagraph"/>
        <w:numPr>
          <w:ilvl w:val="0"/>
          <w:numId w:val="5"/>
        </w:numPr>
        <w:spacing w:after="100" w:line="300" w:lineRule="auto"/>
        <w:rPr>
          <w:sz w:val="24"/>
          <w:szCs w:val="24"/>
        </w:rPr>
      </w:pPr>
      <w:r>
        <w:rPr>
          <w:sz w:val="24"/>
          <w:szCs w:val="24"/>
        </w:rPr>
        <w:t>To investigate the role of Business Development Services (BDS) in supporting entrepreneurs to establish sustainable businesses.</w:t>
      </w:r>
    </w:p>
    <w:p w14:paraId="166C1E5D" w14:textId="77777777" w:rsidR="00307997" w:rsidRPr="00A704AC" w:rsidRDefault="00307997" w:rsidP="00307997">
      <w:pPr>
        <w:pStyle w:val="ListParagraph"/>
        <w:numPr>
          <w:ilvl w:val="0"/>
          <w:numId w:val="5"/>
        </w:numPr>
        <w:spacing w:after="100" w:line="300" w:lineRule="auto"/>
        <w:rPr>
          <w:sz w:val="24"/>
          <w:szCs w:val="24"/>
        </w:rPr>
      </w:pPr>
      <w:r>
        <w:rPr>
          <w:sz w:val="24"/>
          <w:szCs w:val="24"/>
        </w:rPr>
        <w:t>To evaluate the combined role of microfinance and Business Development Services (BDS) in promoting business growth.</w:t>
      </w:r>
    </w:p>
    <w:p w14:paraId="4CD582F7" w14:textId="77777777" w:rsidR="00307997" w:rsidRPr="00A704AC" w:rsidRDefault="00307997" w:rsidP="00307997">
      <w:pPr>
        <w:pStyle w:val="Heading2"/>
        <w:spacing w:before="240" w:after="120"/>
        <w:rPr>
          <w:sz w:val="24"/>
          <w:szCs w:val="24"/>
        </w:rPr>
      </w:pPr>
      <w:r>
        <w:rPr>
          <w:sz w:val="24"/>
          <w:szCs w:val="24"/>
        </w:rPr>
        <w:t>1.3 Research Questions</w:t>
      </w:r>
    </w:p>
    <w:p w14:paraId="360E2BE0" w14:textId="77777777" w:rsidR="00307997" w:rsidRPr="00A704AC" w:rsidRDefault="00307997" w:rsidP="00307997">
      <w:pPr>
        <w:pStyle w:val="ListParagraph"/>
        <w:numPr>
          <w:ilvl w:val="0"/>
          <w:numId w:val="5"/>
        </w:numPr>
        <w:spacing w:after="100" w:line="300" w:lineRule="auto"/>
        <w:rPr>
          <w:sz w:val="24"/>
          <w:szCs w:val="24"/>
        </w:rPr>
      </w:pPr>
      <w:r>
        <w:rPr>
          <w:sz w:val="24"/>
          <w:szCs w:val="24"/>
        </w:rPr>
        <w:t>How does microcredit help rural people start their own businesses?</w:t>
      </w:r>
    </w:p>
    <w:p w14:paraId="58B60AAA" w14:textId="77777777" w:rsidR="00307997" w:rsidRPr="00A704AC" w:rsidRDefault="00307997" w:rsidP="00307997">
      <w:pPr>
        <w:pStyle w:val="ListParagraph"/>
        <w:numPr>
          <w:ilvl w:val="0"/>
          <w:numId w:val="5"/>
        </w:numPr>
        <w:spacing w:after="100" w:line="300" w:lineRule="auto"/>
        <w:rPr>
          <w:sz w:val="24"/>
          <w:szCs w:val="24"/>
        </w:rPr>
      </w:pPr>
      <w:r>
        <w:rPr>
          <w:sz w:val="24"/>
          <w:szCs w:val="24"/>
        </w:rPr>
        <w:t>How does access to collateral-free loans contribute to local economic development and poverty reduction?</w:t>
      </w:r>
    </w:p>
    <w:p w14:paraId="5AC3F0E0" w14:textId="77777777" w:rsidR="00307997" w:rsidRPr="00A704AC" w:rsidRDefault="00307997" w:rsidP="00307997">
      <w:pPr>
        <w:pStyle w:val="ListParagraph"/>
        <w:numPr>
          <w:ilvl w:val="0"/>
          <w:numId w:val="5"/>
        </w:numPr>
        <w:spacing w:after="100" w:line="300" w:lineRule="auto"/>
        <w:rPr>
          <w:sz w:val="24"/>
          <w:szCs w:val="24"/>
        </w:rPr>
      </w:pPr>
      <w:r>
        <w:rPr>
          <w:sz w:val="24"/>
          <w:szCs w:val="24"/>
        </w:rPr>
        <w:t>What role do Business Development Services (BDS) play in helping entrepreneurs establish and sustain their businesses?</w:t>
      </w:r>
    </w:p>
    <w:p w14:paraId="29FCA867" w14:textId="77777777" w:rsidR="00307997" w:rsidRDefault="00307997" w:rsidP="00307997">
      <w:pPr>
        <w:pStyle w:val="ListParagraph"/>
        <w:numPr>
          <w:ilvl w:val="0"/>
          <w:numId w:val="5"/>
        </w:numPr>
        <w:spacing w:after="100" w:line="300" w:lineRule="auto"/>
        <w:rPr>
          <w:sz w:val="24"/>
          <w:szCs w:val="24"/>
        </w:rPr>
      </w:pPr>
      <w:r>
        <w:rPr>
          <w:sz w:val="24"/>
          <w:szCs w:val="24"/>
        </w:rPr>
        <w:t>How do microcredit and Business Development Services (BDS) work together to support business growth?</w:t>
      </w:r>
    </w:p>
    <w:p w14:paraId="48B0F8D3" w14:textId="77777777" w:rsidR="00253979" w:rsidRPr="000370A9" w:rsidRDefault="000370A9" w:rsidP="000370A9">
      <w:pPr>
        <w:pStyle w:val="Heading2"/>
        <w:spacing w:before="280" w:after="160" w:line="360" w:lineRule="auto"/>
        <w:rPr>
          <w:sz w:val="24"/>
          <w:szCs w:val="24"/>
        </w:rPr>
      </w:pPr>
      <w:r>
        <w:rPr>
          <w:rFonts w:eastAsia="Calibri"/>
          <w:b/>
          <w:bCs/>
          <w:sz w:val="24"/>
          <w:szCs w:val="24"/>
        </w:rPr>
        <w:t>1.4 Definitions and Scope</w:t>
      </w:r>
    </w:p>
    <w:p w14:paraId="3EB317BD" w14:textId="389E2A8A" w:rsidR="0001265D" w:rsidRDefault="0001265D" w:rsidP="0001265D">
      <w:pPr>
        <w:spacing w:line="360" w:lineRule="auto"/>
        <w:rPr>
          <w:sz w:val="24"/>
          <w:szCs w:val="24"/>
        </w:rPr>
      </w:pPr>
      <w:r>
        <w:rPr>
          <w:sz w:val="24"/>
          <w:szCs w:val="24"/>
        </w:rPr>
        <w:t xml:space="preserve">To clarify the focus of this study, key concepts are defined using existing literature. Rural areas simply mean locations outside major town with low population density, where livelihoods mostly depend on farming or informal work alongside limited access to formal banks and basic infrastructure like decent roads and internet (Ault, 2016; Cho et al., 2016; Kazungu, 2023; Pangriya, 2023). Within these settings, sustainable rural entrepreneurship involves business activities that remain profitable in the long run and genuinely improve household livelihoods, rather than offering short-lived gains. This idea combines enterprise continuity—meaning a small business keeps operating after loan repayment—with wider goals such as ongoing poverty reduction and better living standards (Debnath et al., 2019; Goldszmidt et al., 2022; Ozili, 2022). Given these definitions, the review focuses on studies from rural areas in developing regions that evaluate how microcredit and Business Development Services (BDS) influence business survival, income, and livelihood outcomes over time.</w:t>
      </w:r>
    </w:p>
    <w:p w14:paraId="119069E6" w14:textId="77777777" w:rsidR="00253979" w:rsidRPr="000370A9" w:rsidRDefault="000370A9" w:rsidP="000370A9">
      <w:pPr>
        <w:pStyle w:val="Heading2"/>
        <w:spacing w:before="280" w:after="160" w:line="360" w:lineRule="auto"/>
        <w:rPr>
          <w:sz w:val="24"/>
          <w:szCs w:val="24"/>
        </w:rPr>
      </w:pPr>
      <w:r>
        <w:rPr>
          <w:rFonts w:eastAsia="Calibri"/>
          <w:b/>
          <w:bCs/>
          <w:sz w:val="24"/>
          <w:szCs w:val="24"/>
        </w:rPr>
        <w:t>1.5 Significance and Contribution of the Study</w:t>
      </w:r>
    </w:p>
    <w:p w14:paraId="15C2012B" w14:textId="77777777" w:rsidR="0001265D" w:rsidRDefault="0001265D" w:rsidP="0001265D">
      <w:pPr>
        <w:pStyle w:val="NormalWeb"/>
        <w:spacing w:line="360" w:lineRule="auto"/>
      </w:pPr>
      <w:r>
        <w:lastRenderedPageBreak/>
        <w:t xml:space="preserve">Most studies look at loans (microcredit) and business training (BDS) as completely separate things. However, this study looks at how these two programs actually work together to help rural people start their businesses and keep them running and growing.</w:t>
      </w:r>
    </w:p>
    <w:p w14:paraId="4EB39E0C" w14:textId="554CE05C" w:rsidR="0001265D" w:rsidRDefault="0001265D" w:rsidP="0001265D">
      <w:pPr>
        <w:pStyle w:val="NormalWeb"/>
        <w:spacing w:line="360" w:lineRule="auto"/>
      </w:pPr>
      <w:r>
        <w:t xml:space="preserve">This study offers two key contribution:</w:t>
      </w:r>
    </w:p>
    <w:p w14:paraId="169BA59D" w14:textId="77777777" w:rsidR="005C298D" w:rsidRDefault="0001265D" w:rsidP="005C298D">
      <w:pPr>
        <w:pStyle w:val="NormalWeb"/>
        <w:numPr>
          <w:ilvl w:val="0"/>
          <w:numId w:val="9"/>
        </w:numPr>
        <w:spacing w:line="360" w:lineRule="auto"/>
      </w:pPr>
      <w:r>
        <w:rPr>
          <w:b/>
          <w:bCs/>
        </w:rPr>
        <w:t>For Future Researchers:</w:t>
      </w:r>
      <w:r>
        <w:t xml:space="preserve"> It provides future researchers a structured model on how to combine financial and non-financial support instead of keeping them separate </w:t>
      </w:r>
    </w:p>
    <w:p w14:paraId="64389FF0" w14:textId="73DA3E79" w:rsidR="0001265D" w:rsidRDefault="0001265D" w:rsidP="005C298D">
      <w:pPr>
        <w:pStyle w:val="NormalWeb"/>
        <w:numPr>
          <w:ilvl w:val="0"/>
          <w:numId w:val="9"/>
        </w:numPr>
        <w:spacing w:line="360" w:lineRule="auto"/>
      </w:pPr>
      <w:r>
        <w:rPr>
          <w:b/>
          <w:bCs/>
        </w:rPr>
        <w:t>For Policymakers and NGOs:</w:t>
      </w:r>
      <w:r>
        <w:t xml:space="preserve"> It provides a helpful model (conceptual framework) that shows exactly how loans and training work together to  foster an enabling environment for rural entrepreneurs. By using this model, NGOs and governments can plan much better programs that combine both types of help to truly support people.</w:t>
      </w:r>
    </w:p>
    <w:p w14:paraId="370F5753" w14:textId="77777777" w:rsidR="00253979" w:rsidRPr="000370A9" w:rsidRDefault="000370A9" w:rsidP="000370A9">
      <w:pPr>
        <w:pStyle w:val="Heading1"/>
        <w:spacing w:before="360" w:after="200" w:line="360" w:lineRule="auto"/>
        <w:rPr>
          <w:sz w:val="24"/>
          <w:szCs w:val="24"/>
        </w:rPr>
      </w:pPr>
      <w:r>
        <w:rPr>
          <w:rFonts w:eastAsia="Calibri"/>
          <w:b/>
          <w:bCs/>
          <w:sz w:val="24"/>
          <w:szCs w:val="24"/>
        </w:rPr>
        <w:t>2. Methodology</w:t>
      </w:r>
    </w:p>
    <w:p w14:paraId="6295D6E7" w14:textId="77777777" w:rsidR="00253979" w:rsidRPr="000370A9" w:rsidRDefault="000370A9" w:rsidP="000370A9">
      <w:pPr>
        <w:spacing w:after="200" w:line="360" w:lineRule="auto"/>
        <w:jc w:val="both"/>
        <w:rPr>
          <w:sz w:val="24"/>
          <w:szCs w:val="24"/>
        </w:rPr>
      </w:pPr>
      <w:r>
        <w:rPr>
          <w:rFonts w:eastAsia="Calibri"/>
          <w:sz w:val="24"/>
          <w:szCs w:val="24"/>
        </w:rPr>
        <w:t>This chapter describes the methodology used to conduct the study. A systematic literature review (SLR) was chosen as the appropriate approach because the study is based entirely on existing research. It uses the CIMO framework to refine the research questions, follows PRISMA guidelines in conducting the review, and applies the CASP tool to assess the quality of the studies selected.</w:t>
      </w:r>
    </w:p>
    <w:p w14:paraId="29624E43" w14:textId="77777777" w:rsidR="00253979" w:rsidRPr="000370A9" w:rsidRDefault="000370A9" w:rsidP="000370A9">
      <w:pPr>
        <w:pStyle w:val="Heading2"/>
        <w:spacing w:before="280" w:after="160" w:line="360" w:lineRule="auto"/>
        <w:rPr>
          <w:sz w:val="24"/>
          <w:szCs w:val="24"/>
        </w:rPr>
      </w:pPr>
      <w:r>
        <w:rPr>
          <w:rFonts w:eastAsia="Calibri"/>
          <w:b/>
          <w:bCs/>
          <w:sz w:val="24"/>
          <w:szCs w:val="24"/>
        </w:rPr>
        <w:t>2.1 Research Design</w:t>
      </w:r>
    </w:p>
    <w:p w14:paraId="3B611ADC" w14:textId="613027C1" w:rsidR="00253979" w:rsidRPr="000370A9" w:rsidRDefault="005C298D" w:rsidP="000370A9">
      <w:pPr>
        <w:spacing w:after="200" w:line="360" w:lineRule="auto"/>
        <w:jc w:val="both"/>
        <w:rPr>
          <w:sz w:val="24"/>
          <w:szCs w:val="24"/>
        </w:rPr>
      </w:pPr>
      <w:r>
        <w:rPr>
          <w:sz w:val="24"/>
          <w:szCs w:val="24"/>
        </w:rPr>
        <w:t>This study applies an interpretivist lens to explore how microcredit and Business Development Services jointly enable rural communities to overcome poverty, establish enterprises, and sustain growth</w:t>
      </w:r>
      <w:r>
        <w:rPr>
          <w:rFonts w:eastAsia="Calibri"/>
          <w:sz w:val="24"/>
          <w:szCs w:val="24"/>
        </w:rPr>
        <w:t>.</w:t>
      </w:r>
      <w:r>
        <w:rPr>
          <w:sz w:val="24"/>
          <w:szCs w:val="24"/>
        </w:rPr>
        <w:t xml:space="preserve"> Rather than testing statistical hypotheses or quantitative relationships, a qualitative systematic literature review (SLR) was selected to systematically synthesize empirical evidence, theoretical perspectives, and contextual factors governing rural enterprise support</w:t>
      </w:r>
      <w:r>
        <w:rPr>
          <w:rFonts w:eastAsia="Calibri"/>
          <w:sz w:val="24"/>
          <w:szCs w:val="24"/>
        </w:rPr>
        <w:t>.</w:t>
      </w:r>
    </w:p>
    <w:p w14:paraId="17503E72" w14:textId="77777777" w:rsidR="00253979" w:rsidRPr="000370A9" w:rsidRDefault="000370A9" w:rsidP="000370A9">
      <w:pPr>
        <w:spacing w:after="200" w:line="360" w:lineRule="auto"/>
        <w:jc w:val="both"/>
        <w:rPr>
          <w:sz w:val="24"/>
          <w:szCs w:val="24"/>
        </w:rPr>
      </w:pPr>
      <w:r>
        <w:rPr>
          <w:rFonts w:eastAsia="Calibri"/>
          <w:sz w:val="24"/>
          <w:szCs w:val="24"/>
        </w:rPr>
        <w:t>The research builds entirely on existing literature, drawing on empirical studies, review articles, and policy papers. By combining these insights, the study highlights common themes, points of debate, conflicting perspectives, and key research gaps in the current body of knowledge.</w:t>
      </w:r>
    </w:p>
    <w:p w14:paraId="7C784AB1" w14:textId="77777777" w:rsidR="00253979" w:rsidRPr="000370A9" w:rsidRDefault="000370A9" w:rsidP="000370A9">
      <w:pPr>
        <w:pStyle w:val="Heading2"/>
        <w:spacing w:before="280" w:after="160" w:line="360" w:lineRule="auto"/>
        <w:rPr>
          <w:sz w:val="24"/>
          <w:szCs w:val="24"/>
        </w:rPr>
      </w:pPr>
      <w:r>
        <w:rPr>
          <w:rFonts w:eastAsia="Calibri"/>
          <w:b/>
          <w:bCs/>
          <w:sz w:val="24"/>
          <w:szCs w:val="24"/>
        </w:rPr>
        <w:lastRenderedPageBreak/>
        <w:t>2.2 CIMO Framework for the Research Question</w:t>
      </w:r>
    </w:p>
    <w:p w14:paraId="2900EAA5" w14:textId="77777777" w:rsidR="005204DF" w:rsidRPr="002E7856" w:rsidRDefault="005204DF" w:rsidP="002E7856">
      <w:pPr>
        <w:pStyle w:val="NormalWeb"/>
        <w:spacing w:line="360" w:lineRule="auto"/>
      </w:pPr>
      <w:r>
        <w:t>Because this study relies on secondary data, its primary objective is to synthesize and critically evaluate existing empirical literature. A qualitative systematic literature review was designed to examine how microcredit and business development services jointly support sustainable rural self-employment.</w:t>
      </w:r>
    </w:p>
    <w:p w14:paraId="2336933C" w14:textId="79BD0D0E" w:rsidR="005204DF" w:rsidRPr="002E7856" w:rsidRDefault="002E7856" w:rsidP="002E7856">
      <w:pPr>
        <w:pStyle w:val="NormalWeb"/>
        <w:spacing w:line="360" w:lineRule="auto"/>
      </w:pPr>
      <w:r>
        <w:t xml:space="preserve">A clear review question was essential to this process. The Context-Intervention-Mechanism-Outcome (CIMO) framework provided the structural foundation to establish the research context, specify the primary interventions, analyze underlying mechanisms, and classify the outcomes. This framework directly guided the literature search, eligibility criteria, and final data synthesis.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400"/>
        <w:gridCol w:w="6960"/>
      </w:tblGrid>
      <w:tr w:rsidR="00253979" w:rsidRPr="000370A9" w14:paraId="25DE6BBB" w14:textId="77777777">
        <w:tc>
          <w:tcPr>
            <w:tcW w:w="2400" w:type="dxa"/>
            <w:shd w:val="clear" w:color="auto" w:fill="D9E2F3"/>
            <w:tcMar>
              <w:top w:w="60" w:type="dxa"/>
              <w:left w:w="80" w:type="dxa"/>
              <w:bottom w:w="60" w:type="dxa"/>
              <w:right w:w="80" w:type="dxa"/>
            </w:tcMar>
          </w:tcPr>
          <w:p w14:paraId="3F691A71" w14:textId="77777777" w:rsidR="00253979" w:rsidRPr="000370A9" w:rsidRDefault="000370A9" w:rsidP="000370A9">
            <w:pPr>
              <w:spacing w:line="360" w:lineRule="auto"/>
              <w:rPr>
                <w:sz w:val="24"/>
                <w:szCs w:val="24"/>
              </w:rPr>
            </w:pPr>
            <w:r>
              <w:rPr>
                <w:rFonts w:eastAsia="Calibri"/>
                <w:b/>
                <w:bCs/>
                <w:sz w:val="24"/>
                <w:szCs w:val="24"/>
              </w:rPr>
              <w:t>CIMO Element</w:t>
            </w:r>
          </w:p>
        </w:tc>
        <w:tc>
          <w:tcPr>
            <w:tcW w:w="6960" w:type="dxa"/>
            <w:shd w:val="clear" w:color="auto" w:fill="D9E2F3"/>
            <w:tcMar>
              <w:top w:w="60" w:type="dxa"/>
              <w:left w:w="80" w:type="dxa"/>
              <w:bottom w:w="60" w:type="dxa"/>
              <w:right w:w="80" w:type="dxa"/>
            </w:tcMar>
          </w:tcPr>
          <w:p w14:paraId="3E2829F5" w14:textId="77777777" w:rsidR="00253979" w:rsidRPr="000370A9" w:rsidRDefault="000370A9" w:rsidP="000370A9">
            <w:pPr>
              <w:spacing w:line="360" w:lineRule="auto"/>
              <w:rPr>
                <w:sz w:val="24"/>
                <w:szCs w:val="24"/>
              </w:rPr>
            </w:pPr>
            <w:r>
              <w:rPr>
                <w:rFonts w:eastAsia="Calibri"/>
                <w:b/>
                <w:bCs/>
                <w:sz w:val="24"/>
                <w:szCs w:val="24"/>
              </w:rPr>
              <w:t>Application to this Study</w:t>
            </w:r>
          </w:p>
        </w:tc>
      </w:tr>
      <w:tr w:rsidR="00253979" w:rsidRPr="000370A9" w14:paraId="635FFD72" w14:textId="77777777">
        <w:tc>
          <w:tcPr>
            <w:tcW w:w="2400" w:type="dxa"/>
            <w:tcMar>
              <w:top w:w="60" w:type="dxa"/>
              <w:left w:w="80" w:type="dxa"/>
              <w:bottom w:w="60" w:type="dxa"/>
              <w:right w:w="80" w:type="dxa"/>
            </w:tcMar>
          </w:tcPr>
          <w:p w14:paraId="60D7A299" w14:textId="77777777" w:rsidR="00253979" w:rsidRPr="000370A9" w:rsidRDefault="000370A9" w:rsidP="000370A9">
            <w:pPr>
              <w:spacing w:line="360" w:lineRule="auto"/>
              <w:rPr>
                <w:sz w:val="24"/>
                <w:szCs w:val="24"/>
              </w:rPr>
            </w:pPr>
            <w:r>
              <w:rPr>
                <w:rFonts w:eastAsia="Calibri"/>
                <w:sz w:val="24"/>
                <w:szCs w:val="24"/>
              </w:rPr>
              <w:t>Context</w:t>
            </w:r>
          </w:p>
        </w:tc>
        <w:tc>
          <w:tcPr>
            <w:tcW w:w="6960" w:type="dxa"/>
            <w:tcMar>
              <w:top w:w="60" w:type="dxa"/>
              <w:left w:w="80" w:type="dxa"/>
              <w:bottom w:w="60" w:type="dxa"/>
              <w:right w:w="80" w:type="dxa"/>
            </w:tcMar>
          </w:tcPr>
          <w:p w14:paraId="4B85B43A" w14:textId="77777777" w:rsidR="00253979" w:rsidRPr="000370A9" w:rsidRDefault="000370A9" w:rsidP="000370A9">
            <w:pPr>
              <w:spacing w:line="360" w:lineRule="auto"/>
              <w:rPr>
                <w:sz w:val="24"/>
                <w:szCs w:val="24"/>
              </w:rPr>
            </w:pPr>
            <w:r>
              <w:rPr>
                <w:rFonts w:eastAsia="Calibri"/>
                <w:sz w:val="24"/>
                <w:szCs w:val="24"/>
              </w:rPr>
              <w:t>Rural communities in developing countries where entrepreneurs face financial and institutional constraints.</w:t>
            </w:r>
          </w:p>
        </w:tc>
      </w:tr>
      <w:tr w:rsidR="00253979" w:rsidRPr="000370A9" w14:paraId="0F92B591" w14:textId="77777777">
        <w:tc>
          <w:tcPr>
            <w:tcW w:w="2400" w:type="dxa"/>
            <w:tcMar>
              <w:top w:w="60" w:type="dxa"/>
              <w:left w:w="80" w:type="dxa"/>
              <w:bottom w:w="60" w:type="dxa"/>
              <w:right w:w="80" w:type="dxa"/>
            </w:tcMar>
          </w:tcPr>
          <w:p w14:paraId="748AD939" w14:textId="77777777" w:rsidR="00253979" w:rsidRPr="000370A9" w:rsidRDefault="000370A9" w:rsidP="000370A9">
            <w:pPr>
              <w:spacing w:line="360" w:lineRule="auto"/>
              <w:rPr>
                <w:sz w:val="24"/>
                <w:szCs w:val="24"/>
              </w:rPr>
            </w:pPr>
            <w:r>
              <w:rPr>
                <w:rFonts w:eastAsia="Calibri"/>
                <w:sz w:val="24"/>
                <w:szCs w:val="24"/>
              </w:rPr>
              <w:t>Intervention</w:t>
            </w:r>
          </w:p>
        </w:tc>
        <w:tc>
          <w:tcPr>
            <w:tcW w:w="6960" w:type="dxa"/>
            <w:tcMar>
              <w:top w:w="60" w:type="dxa"/>
              <w:left w:w="80" w:type="dxa"/>
              <w:bottom w:w="60" w:type="dxa"/>
              <w:right w:w="80" w:type="dxa"/>
            </w:tcMar>
          </w:tcPr>
          <w:p w14:paraId="0DBC659B" w14:textId="77777777" w:rsidR="00253979" w:rsidRPr="000370A9" w:rsidRDefault="000370A9" w:rsidP="000370A9">
            <w:pPr>
              <w:spacing w:line="360" w:lineRule="auto"/>
              <w:rPr>
                <w:sz w:val="24"/>
                <w:szCs w:val="24"/>
              </w:rPr>
            </w:pPr>
            <w:r>
              <w:rPr>
                <w:rFonts w:eastAsia="Calibri"/>
                <w:sz w:val="24"/>
                <w:szCs w:val="24"/>
              </w:rPr>
              <w:t>Microcredit combined with Business Development Services (BDS).</w:t>
            </w:r>
          </w:p>
        </w:tc>
      </w:tr>
      <w:tr w:rsidR="00253979" w:rsidRPr="000370A9" w14:paraId="66619B2A" w14:textId="77777777">
        <w:tc>
          <w:tcPr>
            <w:tcW w:w="2400" w:type="dxa"/>
            <w:tcMar>
              <w:top w:w="60" w:type="dxa"/>
              <w:left w:w="80" w:type="dxa"/>
              <w:bottom w:w="60" w:type="dxa"/>
              <w:right w:w="80" w:type="dxa"/>
            </w:tcMar>
          </w:tcPr>
          <w:p w14:paraId="0A4C2F61" w14:textId="77777777" w:rsidR="00253979" w:rsidRPr="000370A9" w:rsidRDefault="000370A9" w:rsidP="000370A9">
            <w:pPr>
              <w:spacing w:line="360" w:lineRule="auto"/>
              <w:rPr>
                <w:sz w:val="24"/>
                <w:szCs w:val="24"/>
              </w:rPr>
            </w:pPr>
            <w:r>
              <w:rPr>
                <w:rFonts w:eastAsia="Calibri"/>
                <w:sz w:val="24"/>
                <w:szCs w:val="24"/>
              </w:rPr>
              <w:t>Mechanism</w:t>
            </w:r>
          </w:p>
        </w:tc>
        <w:tc>
          <w:tcPr>
            <w:tcW w:w="6960" w:type="dxa"/>
            <w:tcMar>
              <w:top w:w="60" w:type="dxa"/>
              <w:left w:w="80" w:type="dxa"/>
              <w:bottom w:w="60" w:type="dxa"/>
              <w:right w:w="80" w:type="dxa"/>
            </w:tcMar>
          </w:tcPr>
          <w:p w14:paraId="27C25C74" w14:textId="77777777" w:rsidR="00253979" w:rsidRPr="000370A9" w:rsidRDefault="000370A9" w:rsidP="000370A9">
            <w:pPr>
              <w:spacing w:line="360" w:lineRule="auto"/>
              <w:rPr>
                <w:sz w:val="24"/>
                <w:szCs w:val="24"/>
              </w:rPr>
            </w:pPr>
            <w:r>
              <w:rPr>
                <w:rFonts w:eastAsia="Calibri"/>
                <w:sz w:val="24"/>
                <w:szCs w:val="24"/>
              </w:rPr>
              <w:t>Capability building through training, mentoring, financial literacy, and market access, enabling effective use of credit.</w:t>
            </w:r>
          </w:p>
        </w:tc>
      </w:tr>
      <w:tr w:rsidR="00253979" w:rsidRPr="000370A9" w14:paraId="253908D5" w14:textId="77777777">
        <w:tc>
          <w:tcPr>
            <w:tcW w:w="2400" w:type="dxa"/>
            <w:tcMar>
              <w:top w:w="60" w:type="dxa"/>
              <w:left w:w="80" w:type="dxa"/>
              <w:bottom w:w="60" w:type="dxa"/>
              <w:right w:w="80" w:type="dxa"/>
            </w:tcMar>
          </w:tcPr>
          <w:p w14:paraId="498A8FF8" w14:textId="77777777" w:rsidR="00253979" w:rsidRPr="000370A9" w:rsidRDefault="000370A9" w:rsidP="000370A9">
            <w:pPr>
              <w:spacing w:line="360" w:lineRule="auto"/>
              <w:rPr>
                <w:sz w:val="24"/>
                <w:szCs w:val="24"/>
              </w:rPr>
            </w:pPr>
            <w:r>
              <w:rPr>
                <w:rFonts w:eastAsia="Calibri"/>
                <w:sz w:val="24"/>
                <w:szCs w:val="24"/>
              </w:rPr>
              <w:t>Outcome</w:t>
            </w:r>
          </w:p>
        </w:tc>
        <w:tc>
          <w:tcPr>
            <w:tcW w:w="6960" w:type="dxa"/>
            <w:tcMar>
              <w:top w:w="60" w:type="dxa"/>
              <w:left w:w="80" w:type="dxa"/>
              <w:bottom w:w="60" w:type="dxa"/>
              <w:right w:w="80" w:type="dxa"/>
            </w:tcMar>
          </w:tcPr>
          <w:p w14:paraId="63C204A5" w14:textId="77777777" w:rsidR="00253979" w:rsidRPr="000370A9" w:rsidRDefault="000370A9" w:rsidP="000370A9">
            <w:pPr>
              <w:spacing w:line="360" w:lineRule="auto"/>
              <w:rPr>
                <w:sz w:val="24"/>
                <w:szCs w:val="24"/>
              </w:rPr>
            </w:pPr>
            <w:r>
              <w:rPr>
                <w:rFonts w:eastAsia="Calibri"/>
                <w:sz w:val="24"/>
                <w:szCs w:val="24"/>
              </w:rPr>
              <w:t>Sustainable rural entrepreneurship, business growth, income generation, poverty reduction, and improved livelihoods.</w:t>
            </w:r>
          </w:p>
        </w:tc>
      </w:tr>
    </w:tbl>
    <w:p w14:paraId="18149385" w14:textId="77777777" w:rsidR="00253979" w:rsidRPr="000370A9" w:rsidRDefault="00253979" w:rsidP="000370A9">
      <w:pPr>
        <w:spacing w:after="200" w:line="360" w:lineRule="auto"/>
        <w:jc w:val="both"/>
        <w:rPr>
          <w:sz w:val="24"/>
          <w:szCs w:val="24"/>
        </w:rPr>
      </w:pPr>
    </w:p>
    <w:p w14:paraId="686C1B5F" w14:textId="77777777" w:rsidR="00253979" w:rsidRPr="000370A9" w:rsidRDefault="000370A9" w:rsidP="000370A9">
      <w:pPr>
        <w:pStyle w:val="Heading2"/>
        <w:spacing w:before="280" w:after="160" w:line="360" w:lineRule="auto"/>
        <w:rPr>
          <w:sz w:val="24"/>
          <w:szCs w:val="24"/>
        </w:rPr>
      </w:pPr>
      <w:r>
        <w:rPr>
          <w:rFonts w:eastAsia="Calibri"/>
          <w:b/>
          <w:bCs/>
          <w:sz w:val="24"/>
          <w:szCs w:val="24"/>
        </w:rPr>
        <w:t>2.3 Research Strategy — PRISMA</w:t>
      </w:r>
    </w:p>
    <w:p w14:paraId="16630559" w14:textId="14F4E027" w:rsidR="00253979" w:rsidRPr="000370A9" w:rsidRDefault="002E7856" w:rsidP="000370A9">
      <w:pPr>
        <w:spacing w:after="200" w:line="360" w:lineRule="auto"/>
        <w:jc w:val="both"/>
        <w:rPr>
          <w:sz w:val="24"/>
          <w:szCs w:val="24"/>
        </w:rPr>
      </w:pPr>
      <w:r>
        <w:rPr>
          <w:sz w:val="24"/>
          <w:szCs w:val="24"/>
        </w:rPr>
        <w:t>This review followed PRISMA guidelines (Page et al., 2021) to guide the selection process across four main stages. The initial search gathered relevant papers from the target databases. After that, titles and abstracts were screened to filter out unrelated studies. Then, full-text articles were checked against our selection criteria before choosing the final papers. Following this step-by-step process helps reduce personal bias and keeps the findings reliable</w:t>
      </w:r>
      <w:r>
        <w:rPr>
          <w:rFonts w:eastAsia="Calibri"/>
          <w:sz w:val="24"/>
          <w:szCs w:val="24"/>
        </w:rPr>
        <w:t>.</w:t>
      </w:r>
    </w:p>
    <w:p w14:paraId="6FD0E824" w14:textId="77777777" w:rsidR="00253979" w:rsidRPr="000370A9" w:rsidRDefault="000370A9" w:rsidP="000370A9">
      <w:pPr>
        <w:pStyle w:val="Heading2"/>
        <w:spacing w:before="280" w:after="160" w:line="360" w:lineRule="auto"/>
        <w:rPr>
          <w:sz w:val="24"/>
          <w:szCs w:val="24"/>
        </w:rPr>
      </w:pPr>
      <w:r>
        <w:rPr>
          <w:rFonts w:eastAsia="Calibri"/>
          <w:b/>
          <w:bCs/>
          <w:sz w:val="24"/>
          <w:szCs w:val="24"/>
        </w:rPr>
        <w:lastRenderedPageBreak/>
        <w:t>2.4 Search Strategy</w:t>
      </w:r>
    </w:p>
    <w:p w14:paraId="3C66B1DA" w14:textId="6BCC9DD3" w:rsidR="00253979" w:rsidRPr="000370A9" w:rsidRDefault="00181311" w:rsidP="000370A9">
      <w:pPr>
        <w:spacing w:after="200" w:line="360" w:lineRule="auto"/>
        <w:jc w:val="both"/>
        <w:rPr>
          <w:sz w:val="24"/>
          <w:szCs w:val="24"/>
        </w:rPr>
      </w:pPr>
      <w:r>
        <w:rPr>
          <w:sz w:val="24"/>
          <w:szCs w:val="24"/>
        </w:rPr>
        <w:t>Literature was gathered from major academic databases, including Scopus, Google Scholar, Web of Science, ScienceDirect, Emerald Insight, and SpringerLink. These platforms were chosen for their broad coverage of peer-reviewed journals across entrepreneurship, development studies, economics, and business management, while also providing access to open-access articles. Search terms were combined using Boolean operators (AND/OR) to identify relevant studies</w:t>
      </w:r>
      <w:r>
        <w:rPr>
          <w:rFonts w:eastAsia="Calibri"/>
          <w:sz w:val="24"/>
          <w:szCs w:val="24"/>
        </w:rPr>
        <w:t>:</w:t>
      </w:r>
    </w:p>
    <w:p w14:paraId="4AC1CCF0" w14:textId="77777777" w:rsidR="00253979" w:rsidRPr="000370A9" w:rsidRDefault="000370A9" w:rsidP="000370A9">
      <w:pPr>
        <w:pStyle w:val="ListParagraph"/>
        <w:numPr>
          <w:ilvl w:val="0"/>
          <w:numId w:val="2"/>
        </w:numPr>
        <w:spacing w:after="120" w:line="360" w:lineRule="auto"/>
        <w:jc w:val="both"/>
        <w:rPr>
          <w:sz w:val="24"/>
          <w:szCs w:val="24"/>
        </w:rPr>
      </w:pPr>
      <w:r>
        <w:rPr>
          <w:rFonts w:eastAsia="Calibri"/>
          <w:sz w:val="24"/>
          <w:szCs w:val="24"/>
        </w:rPr>
        <w:t>Microcredit and poverty reduction</w:t>
      </w:r>
    </w:p>
    <w:p w14:paraId="07DFFDBD" w14:textId="77777777" w:rsidR="00253979" w:rsidRPr="000370A9" w:rsidRDefault="000370A9" w:rsidP="000370A9">
      <w:pPr>
        <w:pStyle w:val="ListParagraph"/>
        <w:numPr>
          <w:ilvl w:val="0"/>
          <w:numId w:val="2"/>
        </w:numPr>
        <w:spacing w:after="120" w:line="360" w:lineRule="auto"/>
        <w:jc w:val="both"/>
        <w:rPr>
          <w:sz w:val="24"/>
          <w:szCs w:val="24"/>
        </w:rPr>
      </w:pPr>
      <w:r>
        <w:rPr>
          <w:rFonts w:eastAsia="Calibri"/>
          <w:sz w:val="24"/>
          <w:szCs w:val="24"/>
        </w:rPr>
        <w:t>BDS and rural entrepreneurship</w:t>
      </w:r>
    </w:p>
    <w:p w14:paraId="3715FA60" w14:textId="77777777" w:rsidR="00253979" w:rsidRPr="000370A9" w:rsidRDefault="000370A9" w:rsidP="000370A9">
      <w:pPr>
        <w:pStyle w:val="ListParagraph"/>
        <w:numPr>
          <w:ilvl w:val="0"/>
          <w:numId w:val="2"/>
        </w:numPr>
        <w:spacing w:after="120" w:line="360" w:lineRule="auto"/>
        <w:jc w:val="both"/>
        <w:rPr>
          <w:sz w:val="24"/>
          <w:szCs w:val="24"/>
        </w:rPr>
      </w:pPr>
      <w:r>
        <w:rPr>
          <w:rFonts w:eastAsia="Calibri"/>
          <w:sz w:val="24"/>
          <w:szCs w:val="24"/>
        </w:rPr>
        <w:t>Microcredit and income-generating activities or self-employment</w:t>
      </w:r>
    </w:p>
    <w:p w14:paraId="61330FFC" w14:textId="77777777" w:rsidR="00253979" w:rsidRPr="000370A9" w:rsidRDefault="000370A9" w:rsidP="000370A9">
      <w:pPr>
        <w:pStyle w:val="ListParagraph"/>
        <w:numPr>
          <w:ilvl w:val="0"/>
          <w:numId w:val="2"/>
        </w:numPr>
        <w:spacing w:after="120" w:line="360" w:lineRule="auto"/>
        <w:jc w:val="both"/>
        <w:rPr>
          <w:sz w:val="24"/>
          <w:szCs w:val="24"/>
        </w:rPr>
      </w:pPr>
      <w:r>
        <w:rPr>
          <w:rFonts w:eastAsia="Calibri"/>
          <w:sz w:val="24"/>
          <w:szCs w:val="24"/>
        </w:rPr>
        <w:t>Financial inclusion and enterprise development</w:t>
      </w:r>
    </w:p>
    <w:p w14:paraId="7EF931F3" w14:textId="77777777" w:rsidR="00253979" w:rsidRPr="000370A9" w:rsidRDefault="000370A9" w:rsidP="000370A9">
      <w:pPr>
        <w:pStyle w:val="ListParagraph"/>
        <w:numPr>
          <w:ilvl w:val="0"/>
          <w:numId w:val="2"/>
        </w:numPr>
        <w:spacing w:after="120" w:line="360" w:lineRule="auto"/>
        <w:jc w:val="both"/>
        <w:rPr>
          <w:sz w:val="24"/>
          <w:szCs w:val="24"/>
        </w:rPr>
      </w:pPr>
      <w:r>
        <w:rPr>
          <w:rFonts w:eastAsia="Calibri"/>
          <w:sz w:val="24"/>
          <w:szCs w:val="24"/>
        </w:rPr>
        <w:t>BDS and microcredit and rural entrepreneur</w:t>
      </w:r>
    </w:p>
    <w:p w14:paraId="38FE3DB3" w14:textId="77777777" w:rsidR="00253979" w:rsidRPr="000370A9" w:rsidRDefault="000370A9" w:rsidP="000370A9">
      <w:pPr>
        <w:pStyle w:val="ListParagraph"/>
        <w:numPr>
          <w:ilvl w:val="0"/>
          <w:numId w:val="2"/>
        </w:numPr>
        <w:spacing w:after="120" w:line="360" w:lineRule="auto"/>
        <w:jc w:val="both"/>
        <w:rPr>
          <w:sz w:val="24"/>
          <w:szCs w:val="24"/>
        </w:rPr>
      </w:pPr>
      <w:r>
        <w:rPr>
          <w:rFonts w:eastAsia="Calibri"/>
          <w:sz w:val="24"/>
          <w:szCs w:val="24"/>
        </w:rPr>
        <w:t>Microcredit and rural entrepreneur</w:t>
      </w:r>
    </w:p>
    <w:p w14:paraId="0C91D0C6" w14:textId="77777777" w:rsidR="00253979" w:rsidRPr="000370A9" w:rsidRDefault="000370A9" w:rsidP="000370A9">
      <w:pPr>
        <w:pStyle w:val="Heading2"/>
        <w:spacing w:before="280" w:after="160" w:line="360" w:lineRule="auto"/>
        <w:rPr>
          <w:sz w:val="24"/>
          <w:szCs w:val="24"/>
        </w:rPr>
      </w:pPr>
      <w:r>
        <w:rPr>
          <w:rFonts w:eastAsia="Calibri"/>
          <w:b/>
          <w:bCs/>
          <w:sz w:val="24"/>
          <w:szCs w:val="24"/>
        </w:rPr>
        <w:t>2.5 Inclusion and Exclusion Criteria</w:t>
      </w:r>
    </w:p>
    <w:p w14:paraId="5103001D" w14:textId="77777777" w:rsidR="00253979" w:rsidRPr="000370A9" w:rsidRDefault="000370A9" w:rsidP="000370A9">
      <w:pPr>
        <w:pStyle w:val="Heading3"/>
        <w:spacing w:before="220" w:after="140" w:line="360" w:lineRule="auto"/>
      </w:pPr>
      <w:r>
        <w:rPr>
          <w:rFonts w:eastAsia="Calibri"/>
          <w:b/>
          <w:bCs/>
          <w:i/>
          <w:iCs/>
        </w:rPr>
        <w:t>Inclusion Criteria</w:t>
      </w:r>
    </w:p>
    <w:p w14:paraId="7B283D9C" w14:textId="77777777" w:rsidR="00253979" w:rsidRPr="000370A9" w:rsidRDefault="000370A9" w:rsidP="000370A9">
      <w:pPr>
        <w:pStyle w:val="ListParagraph"/>
        <w:numPr>
          <w:ilvl w:val="0"/>
          <w:numId w:val="2"/>
        </w:numPr>
        <w:spacing w:after="120" w:line="360" w:lineRule="auto"/>
        <w:jc w:val="both"/>
        <w:rPr>
          <w:sz w:val="24"/>
          <w:szCs w:val="24"/>
        </w:rPr>
      </w:pPr>
      <w:r>
        <w:rPr>
          <w:rFonts w:eastAsia="Calibri"/>
          <w:sz w:val="24"/>
          <w:szCs w:val="24"/>
        </w:rPr>
        <w:t>Peer-reviewed journal articles.</w:t>
      </w:r>
    </w:p>
    <w:p w14:paraId="51D08B26" w14:textId="77777777" w:rsidR="00253979" w:rsidRPr="000370A9" w:rsidRDefault="000370A9" w:rsidP="000370A9">
      <w:pPr>
        <w:pStyle w:val="ListParagraph"/>
        <w:numPr>
          <w:ilvl w:val="0"/>
          <w:numId w:val="2"/>
        </w:numPr>
        <w:spacing w:after="120" w:line="360" w:lineRule="auto"/>
        <w:jc w:val="both"/>
        <w:rPr>
          <w:sz w:val="24"/>
          <w:szCs w:val="24"/>
        </w:rPr>
      </w:pPr>
      <w:r>
        <w:rPr>
          <w:rFonts w:eastAsia="Calibri"/>
          <w:sz w:val="24"/>
          <w:szCs w:val="24"/>
        </w:rPr>
        <w:t>Studies published between 2010 and 2026.</w:t>
      </w:r>
    </w:p>
    <w:p w14:paraId="487705D9" w14:textId="77777777" w:rsidR="00253979" w:rsidRPr="000370A9" w:rsidRDefault="000370A9" w:rsidP="000370A9">
      <w:pPr>
        <w:pStyle w:val="ListParagraph"/>
        <w:numPr>
          <w:ilvl w:val="0"/>
          <w:numId w:val="2"/>
        </w:numPr>
        <w:spacing w:after="120" w:line="360" w:lineRule="auto"/>
        <w:jc w:val="both"/>
        <w:rPr>
          <w:sz w:val="24"/>
          <w:szCs w:val="24"/>
        </w:rPr>
      </w:pPr>
      <w:r>
        <w:rPr>
          <w:rFonts w:eastAsia="Calibri"/>
          <w:sz w:val="24"/>
          <w:szCs w:val="24"/>
        </w:rPr>
        <w:t>Articles written in English.</w:t>
      </w:r>
    </w:p>
    <w:p w14:paraId="192835E5" w14:textId="77777777" w:rsidR="00253979" w:rsidRPr="000370A9" w:rsidRDefault="000370A9" w:rsidP="000370A9">
      <w:pPr>
        <w:pStyle w:val="ListParagraph"/>
        <w:numPr>
          <w:ilvl w:val="0"/>
          <w:numId w:val="2"/>
        </w:numPr>
        <w:spacing w:after="120" w:line="360" w:lineRule="auto"/>
        <w:jc w:val="both"/>
        <w:rPr>
          <w:sz w:val="24"/>
          <w:szCs w:val="24"/>
        </w:rPr>
      </w:pPr>
      <w:r>
        <w:rPr>
          <w:rFonts w:eastAsia="Calibri"/>
          <w:sz w:val="24"/>
          <w:szCs w:val="24"/>
        </w:rPr>
        <w:t>Research focusing on microcredit, microfinance, Business Development Services, rural entrepreneurship, or income-generating activities.</w:t>
      </w:r>
    </w:p>
    <w:p w14:paraId="36A8406C" w14:textId="77777777" w:rsidR="00253979" w:rsidRPr="000370A9" w:rsidRDefault="000370A9" w:rsidP="000370A9">
      <w:pPr>
        <w:pStyle w:val="ListParagraph"/>
        <w:numPr>
          <w:ilvl w:val="0"/>
          <w:numId w:val="2"/>
        </w:numPr>
        <w:spacing w:after="120" w:line="360" w:lineRule="auto"/>
        <w:jc w:val="both"/>
        <w:rPr>
          <w:sz w:val="24"/>
          <w:szCs w:val="24"/>
        </w:rPr>
      </w:pPr>
      <w:r>
        <w:rPr>
          <w:rFonts w:eastAsia="Calibri"/>
          <w:sz w:val="24"/>
          <w:szCs w:val="24"/>
        </w:rPr>
        <w:t>Empirical studies, systematic reviews, and policy-related research.</w:t>
      </w:r>
    </w:p>
    <w:p w14:paraId="6FBC4BD8" w14:textId="77777777" w:rsidR="00253979" w:rsidRPr="000370A9" w:rsidRDefault="000370A9" w:rsidP="000370A9">
      <w:pPr>
        <w:pStyle w:val="Heading3"/>
        <w:spacing w:before="220" w:after="140" w:line="360" w:lineRule="auto"/>
      </w:pPr>
      <w:r>
        <w:rPr>
          <w:rFonts w:eastAsia="Calibri"/>
          <w:b/>
          <w:bCs/>
          <w:i/>
          <w:iCs/>
        </w:rPr>
        <w:t>Exclusion Criteria</w:t>
      </w:r>
    </w:p>
    <w:p w14:paraId="25B68ACB" w14:textId="77777777" w:rsidR="00253979" w:rsidRPr="000370A9" w:rsidRDefault="000370A9" w:rsidP="000370A9">
      <w:pPr>
        <w:pStyle w:val="ListParagraph"/>
        <w:numPr>
          <w:ilvl w:val="0"/>
          <w:numId w:val="2"/>
        </w:numPr>
        <w:spacing w:after="120" w:line="360" w:lineRule="auto"/>
        <w:jc w:val="both"/>
        <w:rPr>
          <w:sz w:val="24"/>
          <w:szCs w:val="24"/>
        </w:rPr>
      </w:pPr>
      <w:r>
        <w:rPr>
          <w:rFonts w:eastAsia="Calibri"/>
          <w:sz w:val="24"/>
          <w:szCs w:val="24"/>
        </w:rPr>
        <w:t>Articles published before 2010, unless considered highly relevant.</w:t>
      </w:r>
    </w:p>
    <w:p w14:paraId="66F741D2" w14:textId="77777777" w:rsidR="00253979" w:rsidRPr="000370A9" w:rsidRDefault="000370A9" w:rsidP="000370A9">
      <w:pPr>
        <w:pStyle w:val="ListParagraph"/>
        <w:numPr>
          <w:ilvl w:val="0"/>
          <w:numId w:val="2"/>
        </w:numPr>
        <w:spacing w:after="120" w:line="360" w:lineRule="auto"/>
        <w:jc w:val="both"/>
        <w:rPr>
          <w:sz w:val="24"/>
          <w:szCs w:val="24"/>
        </w:rPr>
      </w:pPr>
      <w:r>
        <w:rPr>
          <w:rFonts w:eastAsia="Calibri"/>
          <w:sz w:val="24"/>
          <w:szCs w:val="24"/>
        </w:rPr>
        <w:t>Conference abstracts without full papers.</w:t>
      </w:r>
    </w:p>
    <w:p w14:paraId="36A4F858" w14:textId="77777777" w:rsidR="00253979" w:rsidRPr="000370A9" w:rsidRDefault="000370A9" w:rsidP="000370A9">
      <w:pPr>
        <w:pStyle w:val="ListParagraph"/>
        <w:numPr>
          <w:ilvl w:val="0"/>
          <w:numId w:val="2"/>
        </w:numPr>
        <w:spacing w:after="120" w:line="360" w:lineRule="auto"/>
        <w:jc w:val="both"/>
        <w:rPr>
          <w:sz w:val="24"/>
          <w:szCs w:val="24"/>
        </w:rPr>
      </w:pPr>
      <w:r>
        <w:rPr>
          <w:rFonts w:eastAsia="Calibri"/>
          <w:sz w:val="24"/>
          <w:szCs w:val="24"/>
        </w:rPr>
        <w:t>Non-English publications.</w:t>
      </w:r>
    </w:p>
    <w:p w14:paraId="71D826C0" w14:textId="77777777" w:rsidR="00253979" w:rsidRPr="000370A9" w:rsidRDefault="000370A9" w:rsidP="000370A9">
      <w:pPr>
        <w:pStyle w:val="ListParagraph"/>
        <w:numPr>
          <w:ilvl w:val="0"/>
          <w:numId w:val="2"/>
        </w:numPr>
        <w:spacing w:after="120" w:line="360" w:lineRule="auto"/>
        <w:jc w:val="both"/>
        <w:rPr>
          <w:sz w:val="24"/>
          <w:szCs w:val="24"/>
        </w:rPr>
      </w:pPr>
      <w:r>
        <w:rPr>
          <w:rFonts w:eastAsia="Calibri"/>
          <w:sz w:val="24"/>
          <w:szCs w:val="24"/>
        </w:rPr>
        <w:lastRenderedPageBreak/>
        <w:t>Studies unrelated to entrepreneurship or Business Development Services.</w:t>
      </w:r>
    </w:p>
    <w:p w14:paraId="0C538B57" w14:textId="77777777" w:rsidR="00253979" w:rsidRPr="000370A9" w:rsidRDefault="000370A9" w:rsidP="000370A9">
      <w:pPr>
        <w:pStyle w:val="ListParagraph"/>
        <w:numPr>
          <w:ilvl w:val="0"/>
          <w:numId w:val="2"/>
        </w:numPr>
        <w:spacing w:after="120" w:line="360" w:lineRule="auto"/>
        <w:jc w:val="both"/>
        <w:rPr>
          <w:sz w:val="24"/>
          <w:szCs w:val="24"/>
        </w:rPr>
      </w:pPr>
      <w:r>
        <w:rPr>
          <w:rFonts w:eastAsia="Calibri"/>
          <w:sz w:val="24"/>
          <w:szCs w:val="24"/>
        </w:rPr>
        <w:t>Duplicate publications.</w:t>
      </w:r>
    </w:p>
    <w:p w14:paraId="7C15382E" w14:textId="77777777" w:rsidR="00253979" w:rsidRPr="000370A9" w:rsidRDefault="000370A9" w:rsidP="000370A9">
      <w:pPr>
        <w:pStyle w:val="Heading2"/>
        <w:spacing w:before="280" w:after="160" w:line="360" w:lineRule="auto"/>
        <w:rPr>
          <w:sz w:val="24"/>
          <w:szCs w:val="24"/>
        </w:rPr>
      </w:pPr>
      <w:r>
        <w:rPr>
          <w:rFonts w:eastAsia="Calibri"/>
          <w:b/>
          <w:bCs/>
          <w:sz w:val="24"/>
          <w:szCs w:val="24"/>
        </w:rPr>
        <w:t>2.6 Study Selection Process</w:t>
      </w:r>
    </w:p>
    <w:p w14:paraId="55194A06" w14:textId="291D2CC8" w:rsidR="00253979" w:rsidRPr="000370A9" w:rsidRDefault="00181311" w:rsidP="000370A9">
      <w:pPr>
        <w:spacing w:after="200" w:line="360" w:lineRule="auto"/>
        <w:jc w:val="both"/>
        <w:rPr>
          <w:sz w:val="24"/>
          <w:szCs w:val="24"/>
        </w:rPr>
      </w:pPr>
      <w:r>
        <w:rPr>
          <w:sz w:val="24"/>
          <w:szCs w:val="24"/>
        </w:rPr>
        <w:t>Studies were selected in alignment with PRISMA guidelines. At the beginning, all database results were uploaded into reference management software to remove duplicate entries. Then, titles and abstracts were screened to exclude articles that did not focus on microcredit, Business Development Services, rural entrepreneurship, or income-generating activities. After that, full-text papers were read in detail, and studies providing clear data relevant to the research questions were chosen for the final analysis</w:t>
      </w:r>
      <w:r>
        <w:rPr>
          <w:rFonts w:eastAsia="Calibri"/>
          <w:sz w:val="24"/>
          <w:szCs w:val="24"/>
        </w:rPr>
        <w:t>.</w:t>
      </w:r>
    </w:p>
    <w:p w14:paraId="4639B833" w14:textId="77777777" w:rsidR="00253979" w:rsidRPr="000370A9" w:rsidRDefault="000370A9" w:rsidP="000370A9">
      <w:pPr>
        <w:pStyle w:val="Heading2"/>
        <w:spacing w:before="280" w:after="160" w:line="360" w:lineRule="auto"/>
        <w:rPr>
          <w:sz w:val="24"/>
          <w:szCs w:val="24"/>
        </w:rPr>
      </w:pPr>
      <w:r>
        <w:rPr>
          <w:rFonts w:eastAsia="Calibri"/>
          <w:b/>
          <w:bCs/>
          <w:sz w:val="24"/>
          <w:szCs w:val="24"/>
        </w:rPr>
        <w:t>2.7 PRISMA Flow Diagram</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7360"/>
        <w:gridCol w:w="2000"/>
      </w:tblGrid>
      <w:tr w:rsidR="00253979" w:rsidRPr="000370A9" w14:paraId="523D09B7" w14:textId="77777777">
        <w:tc>
          <w:tcPr>
            <w:tcW w:w="7360" w:type="dxa"/>
            <w:shd w:val="clear" w:color="auto" w:fill="D9E2F3"/>
            <w:tcMar>
              <w:top w:w="60" w:type="dxa"/>
              <w:left w:w="80" w:type="dxa"/>
              <w:bottom w:w="60" w:type="dxa"/>
              <w:right w:w="80" w:type="dxa"/>
            </w:tcMar>
          </w:tcPr>
          <w:p w14:paraId="2F5C4536" w14:textId="77777777" w:rsidR="00253979" w:rsidRPr="000370A9" w:rsidRDefault="000370A9" w:rsidP="000370A9">
            <w:pPr>
              <w:spacing w:line="360" w:lineRule="auto"/>
              <w:rPr>
                <w:sz w:val="24"/>
                <w:szCs w:val="24"/>
              </w:rPr>
            </w:pPr>
            <w:r>
              <w:rPr>
                <w:rFonts w:eastAsia="Calibri"/>
                <w:b/>
                <w:bCs/>
                <w:sz w:val="24"/>
                <w:szCs w:val="24"/>
              </w:rPr>
              <w:t>Stage</w:t>
            </w:r>
          </w:p>
        </w:tc>
        <w:tc>
          <w:tcPr>
            <w:tcW w:w="2000" w:type="dxa"/>
            <w:shd w:val="clear" w:color="auto" w:fill="D9E2F3"/>
            <w:tcMar>
              <w:top w:w="60" w:type="dxa"/>
              <w:left w:w="80" w:type="dxa"/>
              <w:bottom w:w="60" w:type="dxa"/>
              <w:right w:w="80" w:type="dxa"/>
            </w:tcMar>
          </w:tcPr>
          <w:p w14:paraId="01D7E371" w14:textId="77777777" w:rsidR="00253979" w:rsidRPr="000370A9" w:rsidRDefault="000370A9" w:rsidP="000370A9">
            <w:pPr>
              <w:spacing w:line="360" w:lineRule="auto"/>
              <w:rPr>
                <w:sz w:val="24"/>
                <w:szCs w:val="24"/>
              </w:rPr>
            </w:pPr>
            <w:r>
              <w:rPr>
                <w:rFonts w:eastAsia="Calibri"/>
                <w:b/>
                <w:bCs/>
                <w:sz w:val="24"/>
                <w:szCs w:val="24"/>
              </w:rPr>
              <w:t>Records</w:t>
            </w:r>
          </w:p>
        </w:tc>
      </w:tr>
      <w:tr w:rsidR="00253979" w:rsidRPr="000370A9" w14:paraId="572190C0" w14:textId="77777777">
        <w:tc>
          <w:tcPr>
            <w:tcW w:w="7360" w:type="dxa"/>
            <w:tcMar>
              <w:top w:w="60" w:type="dxa"/>
              <w:left w:w="80" w:type="dxa"/>
              <w:bottom w:w="60" w:type="dxa"/>
              <w:right w:w="80" w:type="dxa"/>
            </w:tcMar>
          </w:tcPr>
          <w:p w14:paraId="0AAA9D02" w14:textId="77777777" w:rsidR="00253979" w:rsidRPr="000370A9" w:rsidRDefault="000370A9" w:rsidP="000370A9">
            <w:pPr>
              <w:spacing w:line="360" w:lineRule="auto"/>
              <w:rPr>
                <w:sz w:val="24"/>
                <w:szCs w:val="24"/>
              </w:rPr>
            </w:pPr>
            <w:r>
              <w:rPr>
                <w:rFonts w:eastAsia="Calibri"/>
                <w:sz w:val="24"/>
                <w:szCs w:val="24"/>
              </w:rPr>
              <w:t>Identification — Records identified from databases</w:t>
            </w:r>
          </w:p>
        </w:tc>
        <w:tc>
          <w:tcPr>
            <w:tcW w:w="2000" w:type="dxa"/>
            <w:tcMar>
              <w:top w:w="60" w:type="dxa"/>
              <w:left w:w="80" w:type="dxa"/>
              <w:bottom w:w="60" w:type="dxa"/>
              <w:right w:w="80" w:type="dxa"/>
            </w:tcMar>
          </w:tcPr>
          <w:p w14:paraId="4E5612F1" w14:textId="77777777" w:rsidR="00253979" w:rsidRPr="000370A9" w:rsidRDefault="000370A9" w:rsidP="000370A9">
            <w:pPr>
              <w:spacing w:line="360" w:lineRule="auto"/>
              <w:rPr>
                <w:sz w:val="24"/>
                <w:szCs w:val="24"/>
              </w:rPr>
            </w:pPr>
            <w:r>
              <w:rPr>
                <w:rFonts w:eastAsia="Calibri"/>
                <w:sz w:val="24"/>
                <w:szCs w:val="24"/>
              </w:rPr>
              <w:t>1,480</w:t>
            </w:r>
          </w:p>
        </w:tc>
      </w:tr>
      <w:tr w:rsidR="00253979" w:rsidRPr="000370A9" w14:paraId="30731C1F" w14:textId="77777777">
        <w:tc>
          <w:tcPr>
            <w:tcW w:w="7360" w:type="dxa"/>
            <w:tcMar>
              <w:top w:w="60" w:type="dxa"/>
              <w:left w:w="80" w:type="dxa"/>
              <w:bottom w:w="60" w:type="dxa"/>
              <w:right w:w="80" w:type="dxa"/>
            </w:tcMar>
          </w:tcPr>
          <w:p w14:paraId="3DBAF07D" w14:textId="77777777" w:rsidR="00253979" w:rsidRPr="000370A9" w:rsidRDefault="000370A9" w:rsidP="000370A9">
            <w:pPr>
              <w:spacing w:line="360" w:lineRule="auto"/>
              <w:rPr>
                <w:sz w:val="24"/>
                <w:szCs w:val="24"/>
              </w:rPr>
            </w:pPr>
            <w:r>
              <w:rPr>
                <w:rFonts w:eastAsia="Calibri"/>
                <w:sz w:val="24"/>
                <w:szCs w:val="24"/>
              </w:rPr>
              <w:t>Duplicates removed</w:t>
            </w:r>
          </w:p>
        </w:tc>
        <w:tc>
          <w:tcPr>
            <w:tcW w:w="2000" w:type="dxa"/>
            <w:tcMar>
              <w:top w:w="60" w:type="dxa"/>
              <w:left w:w="80" w:type="dxa"/>
              <w:bottom w:w="60" w:type="dxa"/>
              <w:right w:w="80" w:type="dxa"/>
            </w:tcMar>
          </w:tcPr>
          <w:p w14:paraId="47A8C3FA" w14:textId="77777777" w:rsidR="00253979" w:rsidRPr="000370A9" w:rsidRDefault="000370A9" w:rsidP="000370A9">
            <w:pPr>
              <w:spacing w:line="360" w:lineRule="auto"/>
              <w:rPr>
                <w:sz w:val="24"/>
                <w:szCs w:val="24"/>
              </w:rPr>
            </w:pPr>
            <w:r>
              <w:rPr>
                <w:rFonts w:eastAsia="Calibri"/>
                <w:sz w:val="24"/>
                <w:szCs w:val="24"/>
              </w:rPr>
              <w:t>360</w:t>
            </w:r>
          </w:p>
        </w:tc>
      </w:tr>
      <w:tr w:rsidR="00253979" w:rsidRPr="000370A9" w14:paraId="5FCBCAAC" w14:textId="77777777">
        <w:tc>
          <w:tcPr>
            <w:tcW w:w="7360" w:type="dxa"/>
            <w:tcMar>
              <w:top w:w="60" w:type="dxa"/>
              <w:left w:w="80" w:type="dxa"/>
              <w:bottom w:w="60" w:type="dxa"/>
              <w:right w:w="80" w:type="dxa"/>
            </w:tcMar>
          </w:tcPr>
          <w:p w14:paraId="4B0AA3FB" w14:textId="77777777" w:rsidR="00253979" w:rsidRPr="000370A9" w:rsidRDefault="000370A9" w:rsidP="000370A9">
            <w:pPr>
              <w:spacing w:line="360" w:lineRule="auto"/>
              <w:rPr>
                <w:sz w:val="24"/>
                <w:szCs w:val="24"/>
              </w:rPr>
            </w:pPr>
            <w:r>
              <w:rPr>
                <w:rFonts w:eastAsia="Calibri"/>
                <w:sz w:val="24"/>
                <w:szCs w:val="24"/>
              </w:rPr>
              <w:t>Screening — Records screened</w:t>
            </w:r>
          </w:p>
        </w:tc>
        <w:tc>
          <w:tcPr>
            <w:tcW w:w="2000" w:type="dxa"/>
            <w:tcMar>
              <w:top w:w="60" w:type="dxa"/>
              <w:left w:w="80" w:type="dxa"/>
              <w:bottom w:w="60" w:type="dxa"/>
              <w:right w:w="80" w:type="dxa"/>
            </w:tcMar>
          </w:tcPr>
          <w:p w14:paraId="7241C266" w14:textId="77777777" w:rsidR="00253979" w:rsidRPr="000370A9" w:rsidRDefault="000370A9" w:rsidP="000370A9">
            <w:pPr>
              <w:spacing w:line="360" w:lineRule="auto"/>
              <w:rPr>
                <w:sz w:val="24"/>
                <w:szCs w:val="24"/>
              </w:rPr>
            </w:pPr>
            <w:r>
              <w:rPr>
                <w:rFonts w:eastAsia="Calibri"/>
                <w:sz w:val="24"/>
                <w:szCs w:val="24"/>
              </w:rPr>
              <w:t>1,120</w:t>
            </w:r>
          </w:p>
        </w:tc>
      </w:tr>
      <w:tr w:rsidR="00253979" w:rsidRPr="000370A9" w14:paraId="102973BF" w14:textId="77777777">
        <w:tc>
          <w:tcPr>
            <w:tcW w:w="7360" w:type="dxa"/>
            <w:tcMar>
              <w:top w:w="60" w:type="dxa"/>
              <w:left w:w="80" w:type="dxa"/>
              <w:bottom w:w="60" w:type="dxa"/>
              <w:right w:w="80" w:type="dxa"/>
            </w:tcMar>
          </w:tcPr>
          <w:p w14:paraId="282B1FFF" w14:textId="77777777" w:rsidR="00253979" w:rsidRPr="000370A9" w:rsidRDefault="000370A9" w:rsidP="000370A9">
            <w:pPr>
              <w:spacing w:line="360" w:lineRule="auto"/>
              <w:rPr>
                <w:sz w:val="24"/>
                <w:szCs w:val="24"/>
              </w:rPr>
            </w:pPr>
            <w:r>
              <w:rPr>
                <w:rFonts w:eastAsia="Calibri"/>
                <w:sz w:val="24"/>
                <w:szCs w:val="24"/>
              </w:rPr>
              <w:t>Records excluded</w:t>
            </w:r>
          </w:p>
        </w:tc>
        <w:tc>
          <w:tcPr>
            <w:tcW w:w="2000" w:type="dxa"/>
            <w:tcMar>
              <w:top w:w="60" w:type="dxa"/>
              <w:left w:w="80" w:type="dxa"/>
              <w:bottom w:w="60" w:type="dxa"/>
              <w:right w:w="80" w:type="dxa"/>
            </w:tcMar>
          </w:tcPr>
          <w:p w14:paraId="1977489D" w14:textId="77777777" w:rsidR="00253979" w:rsidRPr="000370A9" w:rsidRDefault="000370A9" w:rsidP="000370A9">
            <w:pPr>
              <w:spacing w:line="360" w:lineRule="auto"/>
              <w:rPr>
                <w:sz w:val="24"/>
                <w:szCs w:val="24"/>
              </w:rPr>
            </w:pPr>
            <w:r>
              <w:rPr>
                <w:rFonts w:eastAsia="Calibri"/>
                <w:sz w:val="24"/>
                <w:szCs w:val="24"/>
              </w:rPr>
              <w:t>940</w:t>
            </w:r>
          </w:p>
        </w:tc>
      </w:tr>
      <w:tr w:rsidR="00253979" w:rsidRPr="000370A9" w14:paraId="487B8ECB" w14:textId="77777777">
        <w:tc>
          <w:tcPr>
            <w:tcW w:w="7360" w:type="dxa"/>
            <w:tcMar>
              <w:top w:w="60" w:type="dxa"/>
              <w:left w:w="80" w:type="dxa"/>
              <w:bottom w:w="60" w:type="dxa"/>
              <w:right w:w="80" w:type="dxa"/>
            </w:tcMar>
          </w:tcPr>
          <w:p w14:paraId="214A2F85" w14:textId="77777777" w:rsidR="00253979" w:rsidRPr="000370A9" w:rsidRDefault="000370A9" w:rsidP="000370A9">
            <w:pPr>
              <w:spacing w:line="360" w:lineRule="auto"/>
              <w:rPr>
                <w:sz w:val="24"/>
                <w:szCs w:val="24"/>
              </w:rPr>
            </w:pPr>
            <w:r>
              <w:rPr>
                <w:rFonts w:eastAsia="Calibri"/>
                <w:sz w:val="24"/>
                <w:szCs w:val="24"/>
              </w:rPr>
              <w:t>Eligibility — Full-text articles assessed</w:t>
            </w:r>
          </w:p>
        </w:tc>
        <w:tc>
          <w:tcPr>
            <w:tcW w:w="2000" w:type="dxa"/>
            <w:tcMar>
              <w:top w:w="60" w:type="dxa"/>
              <w:left w:w="80" w:type="dxa"/>
              <w:bottom w:w="60" w:type="dxa"/>
              <w:right w:w="80" w:type="dxa"/>
            </w:tcMar>
          </w:tcPr>
          <w:p w14:paraId="360DBF95" w14:textId="77777777" w:rsidR="00253979" w:rsidRPr="000370A9" w:rsidRDefault="000370A9" w:rsidP="000370A9">
            <w:pPr>
              <w:spacing w:line="360" w:lineRule="auto"/>
              <w:rPr>
                <w:sz w:val="24"/>
                <w:szCs w:val="24"/>
              </w:rPr>
            </w:pPr>
            <w:r>
              <w:rPr>
                <w:rFonts w:eastAsia="Calibri"/>
                <w:sz w:val="24"/>
                <w:szCs w:val="24"/>
              </w:rPr>
              <w:t>180</w:t>
            </w:r>
          </w:p>
        </w:tc>
      </w:tr>
      <w:tr w:rsidR="00253979" w:rsidRPr="000370A9" w14:paraId="069BBA91" w14:textId="77777777">
        <w:tc>
          <w:tcPr>
            <w:tcW w:w="7360" w:type="dxa"/>
            <w:tcMar>
              <w:top w:w="60" w:type="dxa"/>
              <w:left w:w="80" w:type="dxa"/>
              <w:bottom w:w="60" w:type="dxa"/>
              <w:right w:w="80" w:type="dxa"/>
            </w:tcMar>
          </w:tcPr>
          <w:p w14:paraId="4721EF84" w14:textId="77777777" w:rsidR="00253979" w:rsidRPr="000370A9" w:rsidRDefault="000370A9" w:rsidP="000370A9">
            <w:pPr>
              <w:spacing w:line="360" w:lineRule="auto"/>
              <w:rPr>
                <w:sz w:val="24"/>
                <w:szCs w:val="24"/>
              </w:rPr>
            </w:pPr>
            <w:r>
              <w:rPr>
                <w:rFonts w:eastAsia="Calibri"/>
                <w:sz w:val="24"/>
                <w:szCs w:val="24"/>
              </w:rPr>
              <w:t>Full-text articles excluded, with reasons</w:t>
            </w:r>
          </w:p>
        </w:tc>
        <w:tc>
          <w:tcPr>
            <w:tcW w:w="2000" w:type="dxa"/>
            <w:tcMar>
              <w:top w:w="60" w:type="dxa"/>
              <w:left w:w="80" w:type="dxa"/>
              <w:bottom w:w="60" w:type="dxa"/>
              <w:right w:w="80" w:type="dxa"/>
            </w:tcMar>
          </w:tcPr>
          <w:p w14:paraId="7BEE78C3" w14:textId="77777777" w:rsidR="00253979" w:rsidRPr="000370A9" w:rsidRDefault="000370A9" w:rsidP="000370A9">
            <w:pPr>
              <w:spacing w:line="360" w:lineRule="auto"/>
              <w:rPr>
                <w:sz w:val="24"/>
                <w:szCs w:val="24"/>
              </w:rPr>
            </w:pPr>
            <w:r>
              <w:rPr>
                <w:rFonts w:eastAsia="Calibri"/>
                <w:sz w:val="24"/>
                <w:szCs w:val="24"/>
              </w:rPr>
              <w:t>158</w:t>
            </w:r>
          </w:p>
        </w:tc>
      </w:tr>
      <w:tr w:rsidR="00253979" w:rsidRPr="000370A9" w14:paraId="137255E1" w14:textId="77777777">
        <w:tc>
          <w:tcPr>
            <w:tcW w:w="7360" w:type="dxa"/>
            <w:tcMar>
              <w:top w:w="60" w:type="dxa"/>
              <w:left w:w="80" w:type="dxa"/>
              <w:bottom w:w="60" w:type="dxa"/>
              <w:right w:w="80" w:type="dxa"/>
            </w:tcMar>
          </w:tcPr>
          <w:p w14:paraId="1F510B8B" w14:textId="77777777" w:rsidR="00253979" w:rsidRPr="000370A9" w:rsidRDefault="000370A9" w:rsidP="000370A9">
            <w:pPr>
              <w:spacing w:line="360" w:lineRule="auto"/>
              <w:rPr>
                <w:sz w:val="24"/>
                <w:szCs w:val="24"/>
              </w:rPr>
            </w:pPr>
            <w:r>
              <w:rPr>
                <w:rFonts w:eastAsia="Calibri"/>
                <w:sz w:val="24"/>
                <w:szCs w:val="24"/>
              </w:rPr>
              <w:t>Included — Studies included in qualitative synthesis</w:t>
            </w:r>
          </w:p>
        </w:tc>
        <w:tc>
          <w:tcPr>
            <w:tcW w:w="2000" w:type="dxa"/>
            <w:tcMar>
              <w:top w:w="60" w:type="dxa"/>
              <w:left w:w="80" w:type="dxa"/>
              <w:bottom w:w="60" w:type="dxa"/>
              <w:right w:w="80" w:type="dxa"/>
            </w:tcMar>
          </w:tcPr>
          <w:p w14:paraId="03349630" w14:textId="6C260B00" w:rsidR="00253979" w:rsidRPr="000370A9" w:rsidRDefault="005C0D07" w:rsidP="000370A9">
            <w:pPr>
              <w:spacing w:line="360" w:lineRule="auto"/>
              <w:rPr>
                <w:sz w:val="24"/>
                <w:szCs w:val="24"/>
              </w:rPr>
            </w:pPr>
            <w:r>
              <w:rPr>
                <w:sz w:val="24"/>
                <w:szCs w:val="24"/>
              </w:rPr>
              <w:t>34</w:t>
            </w:r>
          </w:p>
        </w:tc>
      </w:tr>
    </w:tbl>
    <w:p w14:paraId="24555330" w14:textId="77777777" w:rsidR="00253979" w:rsidRPr="000370A9" w:rsidRDefault="00253979" w:rsidP="000370A9">
      <w:pPr>
        <w:spacing w:after="200" w:line="360" w:lineRule="auto"/>
        <w:jc w:val="both"/>
        <w:rPr>
          <w:sz w:val="24"/>
          <w:szCs w:val="24"/>
        </w:rPr>
      </w:pPr>
    </w:p>
    <w:p w14:paraId="786516A0" w14:textId="77777777" w:rsidR="00253979" w:rsidRPr="000370A9" w:rsidRDefault="000370A9" w:rsidP="000370A9">
      <w:pPr>
        <w:spacing w:after="200" w:line="360" w:lineRule="auto"/>
        <w:jc w:val="both"/>
        <w:rPr>
          <w:sz w:val="24"/>
          <w:szCs w:val="24"/>
        </w:rPr>
      </w:pPr>
      <w:r>
        <w:rPr>
          <w:rFonts w:eastAsia="Calibri"/>
          <w:b/>
          <w:bCs/>
          <w:sz w:val="24"/>
          <w:szCs w:val="24"/>
        </w:rPr>
        <w:t>Table 2.8: Breakdown of Initial Database Search Results</w:t>
      </w:r>
    </w:p>
    <w:p w14:paraId="5921EF2F" w14:textId="77777777" w:rsidR="00253979" w:rsidRPr="000370A9" w:rsidRDefault="000370A9" w:rsidP="000370A9">
      <w:pPr>
        <w:spacing w:after="200" w:line="360" w:lineRule="auto"/>
        <w:jc w:val="both"/>
        <w:rPr>
          <w:sz w:val="24"/>
          <w:szCs w:val="24"/>
        </w:rPr>
      </w:pPr>
      <w:r>
        <w:rPr>
          <w:rFonts w:eastAsia="Calibri"/>
          <w:sz w:val="24"/>
          <w:szCs w:val="24"/>
        </w:rPr>
        <w:t>A search across six academic databases produced a total of 1,480 records, as shown below.</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560"/>
        <w:gridCol w:w="4400"/>
        <w:gridCol w:w="1400"/>
      </w:tblGrid>
      <w:tr w:rsidR="00253979" w:rsidRPr="000370A9" w14:paraId="7F1F8475" w14:textId="77777777">
        <w:tc>
          <w:tcPr>
            <w:tcW w:w="3560" w:type="dxa"/>
            <w:shd w:val="clear" w:color="auto" w:fill="D9E2F3"/>
            <w:tcMar>
              <w:top w:w="60" w:type="dxa"/>
              <w:left w:w="80" w:type="dxa"/>
              <w:bottom w:w="60" w:type="dxa"/>
              <w:right w:w="80" w:type="dxa"/>
            </w:tcMar>
          </w:tcPr>
          <w:p w14:paraId="05E1D00B" w14:textId="77777777" w:rsidR="00253979" w:rsidRPr="000370A9" w:rsidRDefault="000370A9" w:rsidP="000370A9">
            <w:pPr>
              <w:spacing w:line="360" w:lineRule="auto"/>
              <w:rPr>
                <w:sz w:val="24"/>
                <w:szCs w:val="24"/>
              </w:rPr>
            </w:pPr>
            <w:r>
              <w:rPr>
                <w:rFonts w:eastAsia="Calibri"/>
                <w:b/>
                <w:bCs/>
                <w:sz w:val="24"/>
                <w:szCs w:val="24"/>
              </w:rPr>
              <w:t>Database</w:t>
            </w:r>
          </w:p>
        </w:tc>
        <w:tc>
          <w:tcPr>
            <w:tcW w:w="4400" w:type="dxa"/>
            <w:shd w:val="clear" w:color="auto" w:fill="D9E2F3"/>
            <w:tcMar>
              <w:top w:w="60" w:type="dxa"/>
              <w:left w:w="80" w:type="dxa"/>
              <w:bottom w:w="60" w:type="dxa"/>
              <w:right w:w="80" w:type="dxa"/>
            </w:tcMar>
          </w:tcPr>
          <w:p w14:paraId="42F6F409" w14:textId="77777777" w:rsidR="00253979" w:rsidRPr="000370A9" w:rsidRDefault="000370A9" w:rsidP="000370A9">
            <w:pPr>
              <w:spacing w:line="360" w:lineRule="auto"/>
              <w:rPr>
                <w:sz w:val="24"/>
                <w:szCs w:val="24"/>
              </w:rPr>
            </w:pPr>
            <w:r>
              <w:rPr>
                <w:rFonts w:eastAsia="Calibri"/>
                <w:b/>
                <w:bCs/>
                <w:sz w:val="24"/>
                <w:szCs w:val="24"/>
              </w:rPr>
              <w:t>Application of Search Filters and Keywords</w:t>
            </w:r>
          </w:p>
        </w:tc>
        <w:tc>
          <w:tcPr>
            <w:tcW w:w="1400" w:type="dxa"/>
            <w:shd w:val="clear" w:color="auto" w:fill="D9E2F3"/>
            <w:tcMar>
              <w:top w:w="60" w:type="dxa"/>
              <w:left w:w="80" w:type="dxa"/>
              <w:bottom w:w="60" w:type="dxa"/>
              <w:right w:w="80" w:type="dxa"/>
            </w:tcMar>
          </w:tcPr>
          <w:p w14:paraId="16FCE666" w14:textId="77777777" w:rsidR="00253979" w:rsidRPr="000370A9" w:rsidRDefault="000370A9" w:rsidP="000370A9">
            <w:pPr>
              <w:spacing w:line="360" w:lineRule="auto"/>
              <w:rPr>
                <w:sz w:val="24"/>
                <w:szCs w:val="24"/>
              </w:rPr>
            </w:pPr>
            <w:r>
              <w:rPr>
                <w:rFonts w:eastAsia="Calibri"/>
                <w:b/>
                <w:bCs/>
                <w:sz w:val="24"/>
                <w:szCs w:val="24"/>
              </w:rPr>
              <w:t>Results</w:t>
            </w:r>
          </w:p>
        </w:tc>
      </w:tr>
      <w:tr w:rsidR="00253979" w:rsidRPr="000370A9" w14:paraId="4436449A" w14:textId="77777777">
        <w:tc>
          <w:tcPr>
            <w:tcW w:w="3560" w:type="dxa"/>
            <w:tcMar>
              <w:top w:w="60" w:type="dxa"/>
              <w:left w:w="80" w:type="dxa"/>
              <w:bottom w:w="60" w:type="dxa"/>
              <w:right w:w="80" w:type="dxa"/>
            </w:tcMar>
          </w:tcPr>
          <w:p w14:paraId="77297F8D" w14:textId="77777777" w:rsidR="00253979" w:rsidRPr="000370A9" w:rsidRDefault="000370A9" w:rsidP="000370A9">
            <w:pPr>
              <w:spacing w:line="360" w:lineRule="auto"/>
              <w:rPr>
                <w:sz w:val="24"/>
                <w:szCs w:val="24"/>
              </w:rPr>
            </w:pPr>
            <w:r>
              <w:rPr>
                <w:rFonts w:eastAsia="Calibri"/>
                <w:sz w:val="24"/>
                <w:szCs w:val="24"/>
              </w:rPr>
              <w:t>Scopus</w:t>
            </w:r>
          </w:p>
        </w:tc>
        <w:tc>
          <w:tcPr>
            <w:tcW w:w="4400" w:type="dxa"/>
            <w:tcMar>
              <w:top w:w="60" w:type="dxa"/>
              <w:left w:w="80" w:type="dxa"/>
              <w:bottom w:w="60" w:type="dxa"/>
              <w:right w:w="80" w:type="dxa"/>
            </w:tcMar>
          </w:tcPr>
          <w:p w14:paraId="0E0F3897" w14:textId="77777777" w:rsidR="00253979" w:rsidRPr="000370A9" w:rsidRDefault="000370A9" w:rsidP="000370A9">
            <w:pPr>
              <w:spacing w:line="360" w:lineRule="auto"/>
              <w:rPr>
                <w:sz w:val="24"/>
                <w:szCs w:val="24"/>
              </w:rPr>
            </w:pPr>
            <w:r>
              <w:rPr>
                <w:rFonts w:eastAsia="Calibri"/>
                <w:sz w:val="24"/>
                <w:szCs w:val="24"/>
              </w:rPr>
              <w:t>Title, Abstract, Keywords</w:t>
            </w:r>
          </w:p>
        </w:tc>
        <w:tc>
          <w:tcPr>
            <w:tcW w:w="1400" w:type="dxa"/>
            <w:tcMar>
              <w:top w:w="60" w:type="dxa"/>
              <w:left w:w="80" w:type="dxa"/>
              <w:bottom w:w="60" w:type="dxa"/>
              <w:right w:w="80" w:type="dxa"/>
            </w:tcMar>
          </w:tcPr>
          <w:p w14:paraId="78FAAFC6" w14:textId="77777777" w:rsidR="00253979" w:rsidRPr="000370A9" w:rsidRDefault="000370A9" w:rsidP="000370A9">
            <w:pPr>
              <w:spacing w:line="360" w:lineRule="auto"/>
              <w:rPr>
                <w:sz w:val="24"/>
                <w:szCs w:val="24"/>
              </w:rPr>
            </w:pPr>
            <w:r>
              <w:rPr>
                <w:rFonts w:eastAsia="Calibri"/>
                <w:sz w:val="24"/>
                <w:szCs w:val="24"/>
              </w:rPr>
              <w:t>340</w:t>
            </w:r>
          </w:p>
        </w:tc>
      </w:tr>
      <w:tr w:rsidR="00253979" w:rsidRPr="000370A9" w14:paraId="2D27B123" w14:textId="77777777">
        <w:tc>
          <w:tcPr>
            <w:tcW w:w="3560" w:type="dxa"/>
            <w:tcMar>
              <w:top w:w="60" w:type="dxa"/>
              <w:left w:w="80" w:type="dxa"/>
              <w:bottom w:w="60" w:type="dxa"/>
              <w:right w:w="80" w:type="dxa"/>
            </w:tcMar>
          </w:tcPr>
          <w:p w14:paraId="70F2A394" w14:textId="77777777" w:rsidR="00253979" w:rsidRPr="000370A9" w:rsidRDefault="000370A9" w:rsidP="000370A9">
            <w:pPr>
              <w:spacing w:line="360" w:lineRule="auto"/>
              <w:rPr>
                <w:sz w:val="24"/>
                <w:szCs w:val="24"/>
              </w:rPr>
            </w:pPr>
            <w:r>
              <w:rPr>
                <w:rFonts w:eastAsia="Calibri"/>
                <w:sz w:val="24"/>
                <w:szCs w:val="24"/>
              </w:rPr>
              <w:lastRenderedPageBreak/>
              <w:t>Web of Science</w:t>
            </w:r>
          </w:p>
        </w:tc>
        <w:tc>
          <w:tcPr>
            <w:tcW w:w="4400" w:type="dxa"/>
            <w:tcMar>
              <w:top w:w="60" w:type="dxa"/>
              <w:left w:w="80" w:type="dxa"/>
              <w:bottom w:w="60" w:type="dxa"/>
              <w:right w:w="80" w:type="dxa"/>
            </w:tcMar>
          </w:tcPr>
          <w:p w14:paraId="277A6A97" w14:textId="77777777" w:rsidR="00253979" w:rsidRPr="000370A9" w:rsidRDefault="000370A9" w:rsidP="000370A9">
            <w:pPr>
              <w:spacing w:line="360" w:lineRule="auto"/>
              <w:rPr>
                <w:sz w:val="24"/>
                <w:szCs w:val="24"/>
              </w:rPr>
            </w:pPr>
            <w:r>
              <w:rPr>
                <w:rFonts w:eastAsia="Calibri"/>
                <w:sz w:val="24"/>
                <w:szCs w:val="24"/>
              </w:rPr>
              <w:t>Topic (Title, Abstract, Keywords)</w:t>
            </w:r>
          </w:p>
        </w:tc>
        <w:tc>
          <w:tcPr>
            <w:tcW w:w="1400" w:type="dxa"/>
            <w:tcMar>
              <w:top w:w="60" w:type="dxa"/>
              <w:left w:w="80" w:type="dxa"/>
              <w:bottom w:w="60" w:type="dxa"/>
              <w:right w:w="80" w:type="dxa"/>
            </w:tcMar>
          </w:tcPr>
          <w:p w14:paraId="1E57E638" w14:textId="77777777" w:rsidR="00253979" w:rsidRPr="000370A9" w:rsidRDefault="000370A9" w:rsidP="000370A9">
            <w:pPr>
              <w:spacing w:line="360" w:lineRule="auto"/>
              <w:rPr>
                <w:sz w:val="24"/>
                <w:szCs w:val="24"/>
              </w:rPr>
            </w:pPr>
            <w:r>
              <w:rPr>
                <w:rFonts w:eastAsia="Calibri"/>
                <w:sz w:val="24"/>
                <w:szCs w:val="24"/>
              </w:rPr>
              <w:t>280</w:t>
            </w:r>
          </w:p>
        </w:tc>
      </w:tr>
      <w:tr w:rsidR="00253979" w:rsidRPr="000370A9" w14:paraId="2D8935F0" w14:textId="77777777">
        <w:tc>
          <w:tcPr>
            <w:tcW w:w="3560" w:type="dxa"/>
            <w:tcMar>
              <w:top w:w="60" w:type="dxa"/>
              <w:left w:w="80" w:type="dxa"/>
              <w:bottom w:w="60" w:type="dxa"/>
              <w:right w:w="80" w:type="dxa"/>
            </w:tcMar>
          </w:tcPr>
          <w:p w14:paraId="66C3476E" w14:textId="77777777" w:rsidR="00253979" w:rsidRPr="000370A9" w:rsidRDefault="000370A9" w:rsidP="000370A9">
            <w:pPr>
              <w:spacing w:line="360" w:lineRule="auto"/>
              <w:rPr>
                <w:sz w:val="24"/>
                <w:szCs w:val="24"/>
              </w:rPr>
            </w:pPr>
            <w:r>
              <w:rPr>
                <w:rFonts w:eastAsia="Calibri"/>
                <w:sz w:val="24"/>
                <w:szCs w:val="24"/>
              </w:rPr>
              <w:t>ScienceDirect (Elsevier)</w:t>
            </w:r>
          </w:p>
        </w:tc>
        <w:tc>
          <w:tcPr>
            <w:tcW w:w="4400" w:type="dxa"/>
            <w:tcMar>
              <w:top w:w="60" w:type="dxa"/>
              <w:left w:w="80" w:type="dxa"/>
              <w:bottom w:w="60" w:type="dxa"/>
              <w:right w:w="80" w:type="dxa"/>
            </w:tcMar>
          </w:tcPr>
          <w:p w14:paraId="6C983E3F" w14:textId="77777777" w:rsidR="00253979" w:rsidRPr="000370A9" w:rsidRDefault="000370A9" w:rsidP="000370A9">
            <w:pPr>
              <w:spacing w:line="360" w:lineRule="auto"/>
              <w:rPr>
                <w:sz w:val="24"/>
                <w:szCs w:val="24"/>
              </w:rPr>
            </w:pPr>
            <w:r>
              <w:rPr>
                <w:rFonts w:eastAsia="Calibri"/>
                <w:sz w:val="24"/>
                <w:szCs w:val="24"/>
              </w:rPr>
              <w:t>Title, Abstract, specified keywords</w:t>
            </w:r>
          </w:p>
        </w:tc>
        <w:tc>
          <w:tcPr>
            <w:tcW w:w="1400" w:type="dxa"/>
            <w:tcMar>
              <w:top w:w="60" w:type="dxa"/>
              <w:left w:w="80" w:type="dxa"/>
              <w:bottom w:w="60" w:type="dxa"/>
              <w:right w:w="80" w:type="dxa"/>
            </w:tcMar>
          </w:tcPr>
          <w:p w14:paraId="2798D752" w14:textId="77777777" w:rsidR="00253979" w:rsidRPr="000370A9" w:rsidRDefault="000370A9" w:rsidP="000370A9">
            <w:pPr>
              <w:spacing w:line="360" w:lineRule="auto"/>
              <w:rPr>
                <w:sz w:val="24"/>
                <w:szCs w:val="24"/>
              </w:rPr>
            </w:pPr>
            <w:r>
              <w:rPr>
                <w:rFonts w:eastAsia="Calibri"/>
                <w:sz w:val="24"/>
                <w:szCs w:val="24"/>
              </w:rPr>
              <w:t>310</w:t>
            </w:r>
          </w:p>
        </w:tc>
      </w:tr>
      <w:tr w:rsidR="00253979" w:rsidRPr="000370A9" w14:paraId="4151A056" w14:textId="77777777">
        <w:tc>
          <w:tcPr>
            <w:tcW w:w="3560" w:type="dxa"/>
            <w:tcMar>
              <w:top w:w="60" w:type="dxa"/>
              <w:left w:w="80" w:type="dxa"/>
              <w:bottom w:w="60" w:type="dxa"/>
              <w:right w:w="80" w:type="dxa"/>
            </w:tcMar>
          </w:tcPr>
          <w:p w14:paraId="03E7072A" w14:textId="77777777" w:rsidR="00253979" w:rsidRPr="000370A9" w:rsidRDefault="000370A9" w:rsidP="000370A9">
            <w:pPr>
              <w:spacing w:line="360" w:lineRule="auto"/>
              <w:rPr>
                <w:sz w:val="24"/>
                <w:szCs w:val="24"/>
              </w:rPr>
            </w:pPr>
            <w:r>
              <w:rPr>
                <w:rFonts w:eastAsia="Calibri"/>
                <w:sz w:val="24"/>
                <w:szCs w:val="24"/>
              </w:rPr>
              <w:t>Emerald Insight</w:t>
            </w:r>
          </w:p>
        </w:tc>
        <w:tc>
          <w:tcPr>
            <w:tcW w:w="4400" w:type="dxa"/>
            <w:tcMar>
              <w:top w:w="60" w:type="dxa"/>
              <w:left w:w="80" w:type="dxa"/>
              <w:bottom w:w="60" w:type="dxa"/>
              <w:right w:w="80" w:type="dxa"/>
            </w:tcMar>
          </w:tcPr>
          <w:p w14:paraId="510A9AF7" w14:textId="77777777" w:rsidR="00253979" w:rsidRPr="000370A9" w:rsidRDefault="000370A9" w:rsidP="000370A9">
            <w:pPr>
              <w:spacing w:line="360" w:lineRule="auto"/>
              <w:rPr>
                <w:sz w:val="24"/>
                <w:szCs w:val="24"/>
              </w:rPr>
            </w:pPr>
            <w:r>
              <w:rPr>
                <w:rFonts w:eastAsia="Calibri"/>
                <w:sz w:val="24"/>
                <w:szCs w:val="24"/>
              </w:rPr>
              <w:t>Abstract and Title</w:t>
            </w:r>
          </w:p>
        </w:tc>
        <w:tc>
          <w:tcPr>
            <w:tcW w:w="1400" w:type="dxa"/>
            <w:tcMar>
              <w:top w:w="60" w:type="dxa"/>
              <w:left w:w="80" w:type="dxa"/>
              <w:bottom w:w="60" w:type="dxa"/>
              <w:right w:w="80" w:type="dxa"/>
            </w:tcMar>
          </w:tcPr>
          <w:p w14:paraId="1EE7E53A" w14:textId="77777777" w:rsidR="00253979" w:rsidRPr="000370A9" w:rsidRDefault="000370A9" w:rsidP="000370A9">
            <w:pPr>
              <w:spacing w:line="360" w:lineRule="auto"/>
              <w:rPr>
                <w:sz w:val="24"/>
                <w:szCs w:val="24"/>
              </w:rPr>
            </w:pPr>
            <w:r>
              <w:rPr>
                <w:rFonts w:eastAsia="Calibri"/>
                <w:sz w:val="24"/>
                <w:szCs w:val="24"/>
              </w:rPr>
              <w:t>190</w:t>
            </w:r>
          </w:p>
        </w:tc>
      </w:tr>
      <w:tr w:rsidR="00253979" w:rsidRPr="000370A9" w14:paraId="1916BF01" w14:textId="77777777">
        <w:tc>
          <w:tcPr>
            <w:tcW w:w="3560" w:type="dxa"/>
            <w:tcMar>
              <w:top w:w="60" w:type="dxa"/>
              <w:left w:w="80" w:type="dxa"/>
              <w:bottom w:w="60" w:type="dxa"/>
              <w:right w:w="80" w:type="dxa"/>
            </w:tcMar>
          </w:tcPr>
          <w:p w14:paraId="7380DAE8" w14:textId="77777777" w:rsidR="00253979" w:rsidRPr="000370A9" w:rsidRDefault="000370A9" w:rsidP="000370A9">
            <w:pPr>
              <w:spacing w:line="360" w:lineRule="auto"/>
              <w:rPr>
                <w:sz w:val="24"/>
                <w:szCs w:val="24"/>
              </w:rPr>
            </w:pPr>
            <w:r>
              <w:rPr>
                <w:rFonts w:eastAsia="Calibri"/>
                <w:sz w:val="24"/>
                <w:szCs w:val="24"/>
              </w:rPr>
              <w:t>SpringerLink</w:t>
            </w:r>
          </w:p>
        </w:tc>
        <w:tc>
          <w:tcPr>
            <w:tcW w:w="4400" w:type="dxa"/>
            <w:tcMar>
              <w:top w:w="60" w:type="dxa"/>
              <w:left w:w="80" w:type="dxa"/>
              <w:bottom w:w="60" w:type="dxa"/>
              <w:right w:w="80" w:type="dxa"/>
            </w:tcMar>
          </w:tcPr>
          <w:p w14:paraId="315AE40D" w14:textId="77777777" w:rsidR="00253979" w:rsidRPr="000370A9" w:rsidRDefault="000370A9" w:rsidP="000370A9">
            <w:pPr>
              <w:spacing w:line="360" w:lineRule="auto"/>
              <w:rPr>
                <w:sz w:val="24"/>
                <w:szCs w:val="24"/>
              </w:rPr>
            </w:pPr>
            <w:r>
              <w:rPr>
                <w:rFonts w:eastAsia="Calibri"/>
                <w:sz w:val="24"/>
                <w:szCs w:val="24"/>
              </w:rPr>
              <w:t>Content and Abstract</w:t>
            </w:r>
          </w:p>
        </w:tc>
        <w:tc>
          <w:tcPr>
            <w:tcW w:w="1400" w:type="dxa"/>
            <w:tcMar>
              <w:top w:w="60" w:type="dxa"/>
              <w:left w:w="80" w:type="dxa"/>
              <w:bottom w:w="60" w:type="dxa"/>
              <w:right w:w="80" w:type="dxa"/>
            </w:tcMar>
          </w:tcPr>
          <w:p w14:paraId="06EBA49D" w14:textId="77777777" w:rsidR="00253979" w:rsidRPr="000370A9" w:rsidRDefault="000370A9" w:rsidP="000370A9">
            <w:pPr>
              <w:spacing w:line="360" w:lineRule="auto"/>
              <w:rPr>
                <w:sz w:val="24"/>
                <w:szCs w:val="24"/>
              </w:rPr>
            </w:pPr>
            <w:r>
              <w:rPr>
                <w:rFonts w:eastAsia="Calibri"/>
                <w:sz w:val="24"/>
                <w:szCs w:val="24"/>
              </w:rPr>
              <w:t>210</w:t>
            </w:r>
          </w:p>
        </w:tc>
      </w:tr>
      <w:tr w:rsidR="00253979" w:rsidRPr="000370A9" w14:paraId="46DB7744" w14:textId="77777777">
        <w:tc>
          <w:tcPr>
            <w:tcW w:w="3560" w:type="dxa"/>
            <w:tcMar>
              <w:top w:w="60" w:type="dxa"/>
              <w:left w:w="80" w:type="dxa"/>
              <w:bottom w:w="60" w:type="dxa"/>
              <w:right w:w="80" w:type="dxa"/>
            </w:tcMar>
          </w:tcPr>
          <w:p w14:paraId="18AA4409" w14:textId="77777777" w:rsidR="00253979" w:rsidRPr="000370A9" w:rsidRDefault="000370A9" w:rsidP="000370A9">
            <w:pPr>
              <w:spacing w:line="360" w:lineRule="auto"/>
              <w:rPr>
                <w:sz w:val="24"/>
                <w:szCs w:val="24"/>
              </w:rPr>
            </w:pPr>
            <w:r>
              <w:rPr>
                <w:rFonts w:eastAsia="Calibri"/>
                <w:sz w:val="24"/>
                <w:szCs w:val="24"/>
              </w:rPr>
              <w:t>Google Scholar</w:t>
            </w:r>
          </w:p>
        </w:tc>
        <w:tc>
          <w:tcPr>
            <w:tcW w:w="4400" w:type="dxa"/>
            <w:tcMar>
              <w:top w:w="60" w:type="dxa"/>
              <w:left w:w="80" w:type="dxa"/>
              <w:bottom w:w="60" w:type="dxa"/>
              <w:right w:w="80" w:type="dxa"/>
            </w:tcMar>
          </w:tcPr>
          <w:p w14:paraId="5700C95C" w14:textId="77777777" w:rsidR="00253979" w:rsidRPr="000370A9" w:rsidRDefault="000370A9" w:rsidP="000370A9">
            <w:pPr>
              <w:spacing w:line="360" w:lineRule="auto"/>
              <w:rPr>
                <w:sz w:val="24"/>
                <w:szCs w:val="24"/>
              </w:rPr>
            </w:pPr>
            <w:r>
              <w:rPr>
                <w:rFonts w:eastAsia="Calibri"/>
                <w:sz w:val="24"/>
                <w:szCs w:val="24"/>
              </w:rPr>
              <w:t>Title and broad keyword matches (first 15 pages)</w:t>
            </w:r>
          </w:p>
        </w:tc>
        <w:tc>
          <w:tcPr>
            <w:tcW w:w="1400" w:type="dxa"/>
            <w:tcMar>
              <w:top w:w="60" w:type="dxa"/>
              <w:left w:w="80" w:type="dxa"/>
              <w:bottom w:w="60" w:type="dxa"/>
              <w:right w:w="80" w:type="dxa"/>
            </w:tcMar>
          </w:tcPr>
          <w:p w14:paraId="5439C22F" w14:textId="77777777" w:rsidR="00253979" w:rsidRPr="000370A9" w:rsidRDefault="000370A9" w:rsidP="000370A9">
            <w:pPr>
              <w:spacing w:line="360" w:lineRule="auto"/>
              <w:rPr>
                <w:sz w:val="24"/>
                <w:szCs w:val="24"/>
              </w:rPr>
            </w:pPr>
            <w:r>
              <w:rPr>
                <w:rFonts w:eastAsia="Calibri"/>
                <w:sz w:val="24"/>
                <w:szCs w:val="24"/>
              </w:rPr>
              <w:t>150</w:t>
            </w:r>
          </w:p>
        </w:tc>
      </w:tr>
    </w:tbl>
    <w:p w14:paraId="6C7B3EA5" w14:textId="77777777" w:rsidR="00253979" w:rsidRPr="000370A9" w:rsidRDefault="00253979" w:rsidP="000370A9">
      <w:pPr>
        <w:spacing w:after="200" w:line="360" w:lineRule="auto"/>
        <w:jc w:val="both"/>
        <w:rPr>
          <w:sz w:val="24"/>
          <w:szCs w:val="24"/>
        </w:rPr>
      </w:pPr>
    </w:p>
    <w:p w14:paraId="4F1F4311" w14:textId="77777777" w:rsidR="00253979" w:rsidRPr="000370A9" w:rsidRDefault="000370A9" w:rsidP="000370A9">
      <w:pPr>
        <w:pStyle w:val="Heading2"/>
        <w:spacing w:before="280" w:after="160" w:line="360" w:lineRule="auto"/>
        <w:rPr>
          <w:sz w:val="24"/>
          <w:szCs w:val="24"/>
        </w:rPr>
      </w:pPr>
      <w:r>
        <w:rPr>
          <w:rFonts w:eastAsia="Calibri"/>
          <w:b/>
          <w:bCs/>
          <w:sz w:val="24"/>
          <w:szCs w:val="24"/>
        </w:rPr>
        <w:t>2.8 Quality Appraisal — CASP</w:t>
      </w:r>
    </w:p>
    <w:p w14:paraId="69E98442" w14:textId="77777777" w:rsidR="00253979" w:rsidRDefault="00253979" w:rsidP="000370A9">
      <w:pPr>
        <w:spacing w:line="360" w:lineRule="auto"/>
        <w:rPr>
          <w:rFonts w:eastAsia="Calibri"/>
          <w:sz w:val="24"/>
          <w:szCs w:val="24"/>
        </w:rPr>
      </w:pPr>
    </w:p>
    <w:p w14:paraId="6162A164" w14:textId="5C402D6E" w:rsidR="00791097" w:rsidRPr="00094076" w:rsidRDefault="00791097" w:rsidP="00791097">
      <w:pPr>
        <w:pStyle w:val="ListParagraph"/>
        <w:spacing w:line="360" w:lineRule="auto"/>
        <w:rPr>
          <w:sz w:val="24"/>
          <w:szCs w:val="24"/>
        </w:rPr>
        <w:sectPr w:rsidR="00791097" w:rsidRPr="00094076">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08" w:footer="708" w:gutter="0"/>
          <w:cols w:space="720"/>
          <w:docGrid w:linePitch="360"/>
        </w:sectPr>
      </w:pPr>
      <w:r>
        <w:rPr>
          <w:sz w:val="24"/>
          <w:szCs w:val="24"/>
        </w:rPr>
        <w:t>Study quality was checked using Critical Appraisal Skills Programme (CASP) tools matched to each study setup. The review looked at key areas like research aims, study setup, sampling, data collection, ethical issues, bias, analysis, results, and overall value. Each study was given a score from 1 (very low quality) to 5 (excellent) based on these points. These ratings are listed in the data extraction table and were used to help guide the final findings.</w:t>
      </w:r>
    </w:p>
    <w:p w14:paraId="69141C66" w14:textId="0D0091E4" w:rsidR="00791097" w:rsidRPr="000370A9" w:rsidRDefault="00791097" w:rsidP="000370A9">
      <w:pPr>
        <w:spacing w:line="360" w:lineRule="auto"/>
        <w:rPr>
          <w:sz w:val="24"/>
          <w:szCs w:val="24"/>
        </w:rPr>
        <w:sectPr w:rsidR="00791097" w:rsidRPr="000370A9">
          <w:pgSz w:w="11906" w:h="16838"/>
          <w:pgMar w:top="1440" w:right="1440" w:bottom="1440" w:left="1440" w:header="708" w:footer="708" w:gutter="0"/>
          <w:cols w:space="720"/>
          <w:docGrid w:linePitch="360"/>
        </w:sectPr>
      </w:pPr>
    </w:p>
    <w:p w14:paraId="43927029" w14:textId="77777777" w:rsidR="00253979" w:rsidRPr="000370A9" w:rsidRDefault="000370A9" w:rsidP="000370A9">
      <w:pPr>
        <w:pStyle w:val="Heading2"/>
        <w:spacing w:before="280" w:after="160" w:line="360" w:lineRule="auto"/>
        <w:rPr>
          <w:sz w:val="24"/>
          <w:szCs w:val="24"/>
        </w:rPr>
      </w:pPr>
      <w:r>
        <w:rPr>
          <w:rFonts w:eastAsia="Calibri"/>
          <w:b/>
          <w:bCs/>
          <w:sz w:val="24"/>
          <w:szCs w:val="24"/>
        </w:rPr>
        <w:lastRenderedPageBreak/>
        <w:t>2.9 Data Extraction Table</w:t>
      </w:r>
    </w:p>
    <w:p w14:paraId="63E5BF71" w14:textId="41D9C25C" w:rsidR="00253979" w:rsidRPr="000370A9" w:rsidRDefault="000370A9" w:rsidP="000370A9">
      <w:pPr>
        <w:spacing w:after="200" w:line="360" w:lineRule="auto"/>
        <w:jc w:val="both"/>
        <w:rPr>
          <w:sz w:val="24"/>
          <w:szCs w:val="24"/>
        </w:rPr>
      </w:pPr>
      <w:r>
        <w:rPr>
          <w:rFonts w:eastAsia="Calibri"/>
          <w:sz w:val="24"/>
          <w:szCs w:val="24"/>
        </w:rPr>
        <w:t xml:space="preserve">The table below presents an illustrative subset of six of the 34 studies included in the review. Each row shows how a study was coded (open coding, axial coding, and pattern coding into a theme) and synthesised into the discussion in Chapter 3.</w:t>
      </w:r>
    </w:p>
    <w:tbl>
      <w:tblPr>
        <w:tblW w:w="15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66"/>
        <w:gridCol w:w="1141"/>
        <w:gridCol w:w="1130"/>
        <w:gridCol w:w="1557"/>
        <w:gridCol w:w="1384"/>
        <w:gridCol w:w="1199"/>
        <w:gridCol w:w="1580"/>
        <w:gridCol w:w="1557"/>
        <w:gridCol w:w="703"/>
        <w:gridCol w:w="1557"/>
        <w:gridCol w:w="1557"/>
        <w:gridCol w:w="1557"/>
      </w:tblGrid>
      <w:tr w:rsidR="00253979" w:rsidRPr="000370A9" w14:paraId="3BBC64A9" w14:textId="77777777">
        <w:tc>
          <w:tcPr>
            <w:tcW w:w="450" w:type="dxa"/>
            <w:shd w:val="clear" w:color="auto" w:fill="D9E2F3"/>
            <w:tcMar>
              <w:top w:w="60" w:type="dxa"/>
              <w:left w:w="80" w:type="dxa"/>
              <w:bottom w:w="60" w:type="dxa"/>
              <w:right w:w="80" w:type="dxa"/>
            </w:tcMar>
          </w:tcPr>
          <w:p w14:paraId="7FEE3720" w14:textId="77777777" w:rsidR="00253979" w:rsidRPr="000370A9" w:rsidRDefault="000370A9" w:rsidP="000370A9">
            <w:pPr>
              <w:spacing w:line="360" w:lineRule="auto"/>
              <w:rPr>
                <w:sz w:val="24"/>
                <w:szCs w:val="24"/>
              </w:rPr>
            </w:pPr>
            <w:r>
              <w:rPr>
                <w:rFonts w:eastAsia="Calibri"/>
                <w:b/>
                <w:bCs/>
                <w:sz w:val="24"/>
                <w:szCs w:val="24"/>
              </w:rPr>
              <w:t>No.</w:t>
            </w:r>
          </w:p>
        </w:tc>
        <w:tc>
          <w:tcPr>
            <w:tcW w:w="1300" w:type="dxa"/>
            <w:shd w:val="clear" w:color="auto" w:fill="D9E2F3"/>
            <w:tcMar>
              <w:top w:w="60" w:type="dxa"/>
              <w:left w:w="80" w:type="dxa"/>
              <w:bottom w:w="60" w:type="dxa"/>
              <w:right w:w="80" w:type="dxa"/>
            </w:tcMar>
          </w:tcPr>
          <w:p w14:paraId="70C5C819" w14:textId="77777777" w:rsidR="00253979" w:rsidRPr="000370A9" w:rsidRDefault="000370A9" w:rsidP="000370A9">
            <w:pPr>
              <w:spacing w:line="360" w:lineRule="auto"/>
              <w:rPr>
                <w:sz w:val="24"/>
                <w:szCs w:val="24"/>
              </w:rPr>
            </w:pPr>
            <w:r>
              <w:rPr>
                <w:rFonts w:eastAsia="Calibri"/>
                <w:b/>
                <w:bCs/>
                <w:sz w:val="24"/>
                <w:szCs w:val="24"/>
              </w:rPr>
              <w:t>Author (Year)</w:t>
            </w:r>
          </w:p>
        </w:tc>
        <w:tc>
          <w:tcPr>
            <w:tcW w:w="950" w:type="dxa"/>
            <w:shd w:val="clear" w:color="auto" w:fill="D9E2F3"/>
            <w:tcMar>
              <w:top w:w="60" w:type="dxa"/>
              <w:left w:w="80" w:type="dxa"/>
              <w:bottom w:w="60" w:type="dxa"/>
              <w:right w:w="80" w:type="dxa"/>
            </w:tcMar>
          </w:tcPr>
          <w:p w14:paraId="6E9A627D" w14:textId="77777777" w:rsidR="00253979" w:rsidRPr="000370A9" w:rsidRDefault="000370A9" w:rsidP="000370A9">
            <w:pPr>
              <w:spacing w:line="360" w:lineRule="auto"/>
              <w:rPr>
                <w:sz w:val="24"/>
                <w:szCs w:val="24"/>
              </w:rPr>
            </w:pPr>
            <w:r>
              <w:rPr>
                <w:rFonts w:eastAsia="Calibri"/>
                <w:b/>
                <w:bCs/>
                <w:sz w:val="24"/>
                <w:szCs w:val="24"/>
              </w:rPr>
              <w:t>Country</w:t>
            </w:r>
          </w:p>
        </w:tc>
        <w:tc>
          <w:tcPr>
            <w:tcW w:w="1300" w:type="dxa"/>
            <w:shd w:val="clear" w:color="auto" w:fill="D9E2F3"/>
            <w:tcMar>
              <w:top w:w="60" w:type="dxa"/>
              <w:left w:w="80" w:type="dxa"/>
              <w:bottom w:w="60" w:type="dxa"/>
              <w:right w:w="80" w:type="dxa"/>
            </w:tcMar>
          </w:tcPr>
          <w:p w14:paraId="33C1358B" w14:textId="77777777" w:rsidR="00253979" w:rsidRPr="000370A9" w:rsidRDefault="000370A9" w:rsidP="000370A9">
            <w:pPr>
              <w:spacing w:line="360" w:lineRule="auto"/>
              <w:rPr>
                <w:sz w:val="24"/>
                <w:szCs w:val="24"/>
              </w:rPr>
            </w:pPr>
            <w:r>
              <w:rPr>
                <w:rFonts w:eastAsia="Calibri"/>
                <w:b/>
                <w:bCs/>
                <w:sz w:val="24"/>
                <w:szCs w:val="24"/>
              </w:rPr>
              <w:t>Concept</w:t>
            </w:r>
          </w:p>
        </w:tc>
        <w:tc>
          <w:tcPr>
            <w:tcW w:w="1150" w:type="dxa"/>
            <w:shd w:val="clear" w:color="auto" w:fill="D9E2F3"/>
            <w:tcMar>
              <w:top w:w="60" w:type="dxa"/>
              <w:left w:w="80" w:type="dxa"/>
              <w:bottom w:w="60" w:type="dxa"/>
              <w:right w:w="80" w:type="dxa"/>
            </w:tcMar>
          </w:tcPr>
          <w:p w14:paraId="162FF123" w14:textId="77777777" w:rsidR="00253979" w:rsidRPr="000370A9" w:rsidRDefault="000370A9" w:rsidP="000370A9">
            <w:pPr>
              <w:spacing w:line="360" w:lineRule="auto"/>
              <w:rPr>
                <w:sz w:val="24"/>
                <w:szCs w:val="24"/>
              </w:rPr>
            </w:pPr>
            <w:r>
              <w:rPr>
                <w:rFonts w:eastAsia="Calibri"/>
                <w:b/>
                <w:bCs/>
                <w:sz w:val="24"/>
                <w:szCs w:val="24"/>
              </w:rPr>
              <w:t>Theoretical Lens</w:t>
            </w:r>
          </w:p>
        </w:tc>
        <w:tc>
          <w:tcPr>
            <w:tcW w:w="950" w:type="dxa"/>
            <w:shd w:val="clear" w:color="auto" w:fill="D9E2F3"/>
            <w:tcMar>
              <w:top w:w="60" w:type="dxa"/>
              <w:left w:w="80" w:type="dxa"/>
              <w:bottom w:w="60" w:type="dxa"/>
              <w:right w:w="80" w:type="dxa"/>
            </w:tcMar>
          </w:tcPr>
          <w:p w14:paraId="484284CF" w14:textId="77777777" w:rsidR="00253979" w:rsidRPr="000370A9" w:rsidRDefault="000370A9" w:rsidP="000370A9">
            <w:pPr>
              <w:spacing w:line="360" w:lineRule="auto"/>
              <w:rPr>
                <w:sz w:val="24"/>
                <w:szCs w:val="24"/>
              </w:rPr>
            </w:pPr>
            <w:r>
              <w:rPr>
                <w:rFonts w:eastAsia="Calibri"/>
                <w:b/>
                <w:bCs/>
                <w:sz w:val="24"/>
                <w:szCs w:val="24"/>
              </w:rPr>
              <w:t>Method</w:t>
            </w:r>
          </w:p>
        </w:tc>
        <w:tc>
          <w:tcPr>
            <w:tcW w:w="2700" w:type="dxa"/>
            <w:shd w:val="clear" w:color="auto" w:fill="D9E2F3"/>
            <w:tcMar>
              <w:top w:w="60" w:type="dxa"/>
              <w:left w:w="80" w:type="dxa"/>
              <w:bottom w:w="60" w:type="dxa"/>
              <w:right w:w="80" w:type="dxa"/>
            </w:tcMar>
          </w:tcPr>
          <w:p w14:paraId="3AEDE2C6" w14:textId="77777777" w:rsidR="00253979" w:rsidRPr="000370A9" w:rsidRDefault="000370A9" w:rsidP="000370A9">
            <w:pPr>
              <w:spacing w:line="360" w:lineRule="auto"/>
              <w:rPr>
                <w:sz w:val="24"/>
                <w:szCs w:val="24"/>
              </w:rPr>
            </w:pPr>
            <w:r>
              <w:rPr>
                <w:rFonts w:eastAsia="Calibri"/>
                <w:b/>
                <w:bCs/>
                <w:sz w:val="24"/>
                <w:szCs w:val="24"/>
              </w:rPr>
              <w:t>Key Findings</w:t>
            </w:r>
          </w:p>
        </w:tc>
        <w:tc>
          <w:tcPr>
            <w:tcW w:w="2400" w:type="dxa"/>
            <w:shd w:val="clear" w:color="auto" w:fill="D9E2F3"/>
            <w:tcMar>
              <w:top w:w="60" w:type="dxa"/>
              <w:left w:w="80" w:type="dxa"/>
              <w:bottom w:w="60" w:type="dxa"/>
              <w:right w:w="80" w:type="dxa"/>
            </w:tcMar>
          </w:tcPr>
          <w:p w14:paraId="53219D25" w14:textId="77777777" w:rsidR="00253979" w:rsidRPr="000370A9" w:rsidRDefault="000370A9" w:rsidP="000370A9">
            <w:pPr>
              <w:spacing w:line="360" w:lineRule="auto"/>
              <w:rPr>
                <w:sz w:val="24"/>
                <w:szCs w:val="24"/>
              </w:rPr>
            </w:pPr>
            <w:r>
              <w:rPr>
                <w:rFonts w:eastAsia="Calibri"/>
                <w:b/>
                <w:bCs/>
                <w:sz w:val="24"/>
                <w:szCs w:val="24"/>
              </w:rPr>
              <w:t>Research Gap</w:t>
            </w:r>
          </w:p>
        </w:tc>
        <w:tc>
          <w:tcPr>
            <w:tcW w:w="550" w:type="dxa"/>
            <w:shd w:val="clear" w:color="auto" w:fill="D9E2F3"/>
            <w:tcMar>
              <w:top w:w="60" w:type="dxa"/>
              <w:left w:w="80" w:type="dxa"/>
              <w:bottom w:w="60" w:type="dxa"/>
              <w:right w:w="80" w:type="dxa"/>
            </w:tcMar>
          </w:tcPr>
          <w:p w14:paraId="4B967EC4" w14:textId="77777777" w:rsidR="00253979" w:rsidRPr="000370A9" w:rsidRDefault="000370A9" w:rsidP="000370A9">
            <w:pPr>
              <w:spacing w:line="360" w:lineRule="auto"/>
              <w:rPr>
                <w:sz w:val="24"/>
                <w:szCs w:val="24"/>
              </w:rPr>
            </w:pPr>
            <w:r>
              <w:rPr>
                <w:rFonts w:eastAsia="Calibri"/>
                <w:b/>
                <w:bCs/>
                <w:sz w:val="24"/>
                <w:szCs w:val="24"/>
              </w:rPr>
              <w:t>CASP (/5)</w:t>
            </w:r>
          </w:p>
        </w:tc>
        <w:tc>
          <w:tcPr>
            <w:tcW w:w="1150" w:type="dxa"/>
            <w:shd w:val="clear" w:color="auto" w:fill="D9E2F3"/>
            <w:tcMar>
              <w:top w:w="60" w:type="dxa"/>
              <w:left w:w="80" w:type="dxa"/>
              <w:bottom w:w="60" w:type="dxa"/>
              <w:right w:w="80" w:type="dxa"/>
            </w:tcMar>
          </w:tcPr>
          <w:p w14:paraId="6789F560" w14:textId="77777777" w:rsidR="00253979" w:rsidRPr="000370A9" w:rsidRDefault="000370A9" w:rsidP="000370A9">
            <w:pPr>
              <w:spacing w:line="360" w:lineRule="auto"/>
              <w:rPr>
                <w:sz w:val="24"/>
                <w:szCs w:val="24"/>
              </w:rPr>
            </w:pPr>
            <w:r>
              <w:rPr>
                <w:rFonts w:eastAsia="Calibri"/>
                <w:b/>
                <w:bCs/>
                <w:sz w:val="24"/>
                <w:szCs w:val="24"/>
              </w:rPr>
              <w:t>Open Coding</w:t>
            </w:r>
          </w:p>
        </w:tc>
        <w:tc>
          <w:tcPr>
            <w:tcW w:w="1150" w:type="dxa"/>
            <w:shd w:val="clear" w:color="auto" w:fill="D9E2F3"/>
            <w:tcMar>
              <w:top w:w="60" w:type="dxa"/>
              <w:left w:w="80" w:type="dxa"/>
              <w:bottom w:w="60" w:type="dxa"/>
              <w:right w:w="80" w:type="dxa"/>
            </w:tcMar>
          </w:tcPr>
          <w:p w14:paraId="32974B5A" w14:textId="77777777" w:rsidR="00253979" w:rsidRPr="000370A9" w:rsidRDefault="000370A9" w:rsidP="000370A9">
            <w:pPr>
              <w:spacing w:line="360" w:lineRule="auto"/>
              <w:rPr>
                <w:sz w:val="24"/>
                <w:szCs w:val="24"/>
              </w:rPr>
            </w:pPr>
            <w:r>
              <w:rPr>
                <w:rFonts w:eastAsia="Calibri"/>
                <w:b/>
                <w:bCs/>
                <w:sz w:val="24"/>
                <w:szCs w:val="24"/>
              </w:rPr>
              <w:t>Axial Coding</w:t>
            </w:r>
          </w:p>
        </w:tc>
        <w:tc>
          <w:tcPr>
            <w:tcW w:w="1150" w:type="dxa"/>
            <w:shd w:val="clear" w:color="auto" w:fill="D9E2F3"/>
            <w:tcMar>
              <w:top w:w="60" w:type="dxa"/>
              <w:left w:w="80" w:type="dxa"/>
              <w:bottom w:w="60" w:type="dxa"/>
              <w:right w:w="80" w:type="dxa"/>
            </w:tcMar>
          </w:tcPr>
          <w:p w14:paraId="71328F9D" w14:textId="77777777" w:rsidR="00253979" w:rsidRPr="000370A9" w:rsidRDefault="000370A9" w:rsidP="000370A9">
            <w:pPr>
              <w:spacing w:line="360" w:lineRule="auto"/>
              <w:rPr>
                <w:sz w:val="24"/>
                <w:szCs w:val="24"/>
              </w:rPr>
            </w:pPr>
            <w:r>
              <w:rPr>
                <w:rFonts w:eastAsia="Calibri"/>
                <w:b/>
                <w:bCs/>
                <w:sz w:val="24"/>
                <w:szCs w:val="24"/>
              </w:rPr>
              <w:t>Pattern Coding (Theme)</w:t>
            </w:r>
          </w:p>
        </w:tc>
      </w:tr>
      <w:tr w:rsidR="00253979" w:rsidRPr="000370A9" w14:paraId="26FDC8F6" w14:textId="77777777">
        <w:tc>
          <w:tcPr>
            <w:tcW w:w="450" w:type="dxa"/>
            <w:tcMar>
              <w:top w:w="60" w:type="dxa"/>
              <w:left w:w="80" w:type="dxa"/>
              <w:bottom w:w="60" w:type="dxa"/>
              <w:right w:w="80" w:type="dxa"/>
            </w:tcMar>
          </w:tcPr>
          <w:p w14:paraId="456E6D27" w14:textId="77777777" w:rsidR="00253979" w:rsidRPr="000370A9" w:rsidRDefault="000370A9" w:rsidP="000370A9">
            <w:pPr>
              <w:spacing w:line="360" w:lineRule="auto"/>
              <w:rPr>
                <w:sz w:val="24"/>
                <w:szCs w:val="24"/>
              </w:rPr>
            </w:pPr>
            <w:r>
              <w:rPr>
                <w:rFonts w:eastAsia="Calibri"/>
                <w:sz w:val="24"/>
                <w:szCs w:val="24"/>
              </w:rPr>
              <w:t>1</w:t>
            </w:r>
          </w:p>
        </w:tc>
        <w:tc>
          <w:tcPr>
            <w:tcW w:w="1300" w:type="dxa"/>
            <w:tcMar>
              <w:top w:w="60" w:type="dxa"/>
              <w:left w:w="80" w:type="dxa"/>
              <w:bottom w:w="60" w:type="dxa"/>
              <w:right w:w="80" w:type="dxa"/>
            </w:tcMar>
          </w:tcPr>
          <w:p w14:paraId="385E4F21" w14:textId="77777777" w:rsidR="00253979" w:rsidRPr="000370A9" w:rsidRDefault="000370A9" w:rsidP="000370A9">
            <w:pPr>
              <w:spacing w:line="360" w:lineRule="auto"/>
              <w:rPr>
                <w:sz w:val="24"/>
                <w:szCs w:val="24"/>
              </w:rPr>
            </w:pPr>
            <w:r>
              <w:rPr>
                <w:rFonts w:eastAsia="Calibri"/>
                <w:sz w:val="24"/>
                <w:szCs w:val="24"/>
              </w:rPr>
              <w:t xml:space="preserve">Abeysekera (2020)</w:t>
            </w:r>
          </w:p>
        </w:tc>
        <w:tc>
          <w:tcPr>
            <w:tcW w:w="950" w:type="dxa"/>
            <w:tcMar>
              <w:top w:w="60" w:type="dxa"/>
              <w:left w:w="80" w:type="dxa"/>
              <w:bottom w:w="60" w:type="dxa"/>
              <w:right w:w="80" w:type="dxa"/>
            </w:tcMar>
          </w:tcPr>
          <w:p w14:paraId="150E764A" w14:textId="77777777" w:rsidR="00253979" w:rsidRPr="000370A9" w:rsidRDefault="000370A9" w:rsidP="000370A9">
            <w:pPr>
              <w:spacing w:line="360" w:lineRule="auto"/>
              <w:rPr>
                <w:sz w:val="24"/>
                <w:szCs w:val="24"/>
              </w:rPr>
            </w:pPr>
            <w:r>
              <w:rPr>
                <w:rFonts w:eastAsia="Calibri"/>
                <w:sz w:val="24"/>
                <w:szCs w:val="24"/>
              </w:rPr>
              <w:t>Sri Lanka</w:t>
            </w:r>
          </w:p>
        </w:tc>
        <w:tc>
          <w:tcPr>
            <w:tcW w:w="1300" w:type="dxa"/>
            <w:tcMar>
              <w:top w:w="60" w:type="dxa"/>
              <w:left w:w="80" w:type="dxa"/>
              <w:bottom w:w="60" w:type="dxa"/>
              <w:right w:w="80" w:type="dxa"/>
            </w:tcMar>
          </w:tcPr>
          <w:p w14:paraId="66DCAB6E" w14:textId="77777777" w:rsidR="00253979" w:rsidRPr="000370A9" w:rsidRDefault="000370A9" w:rsidP="000370A9">
            <w:pPr>
              <w:spacing w:line="360" w:lineRule="auto"/>
              <w:rPr>
                <w:sz w:val="24"/>
                <w:szCs w:val="24"/>
              </w:rPr>
            </w:pPr>
            <w:r>
              <w:rPr>
                <w:rFonts w:eastAsia="Calibri"/>
                <w:sz w:val="24"/>
                <w:szCs w:val="24"/>
              </w:rPr>
              <w:t>Microcredit + BDS (credit-plus model)</w:t>
            </w:r>
          </w:p>
        </w:tc>
        <w:tc>
          <w:tcPr>
            <w:tcW w:w="1150" w:type="dxa"/>
            <w:tcMar>
              <w:top w:w="60" w:type="dxa"/>
              <w:left w:w="80" w:type="dxa"/>
              <w:bottom w:w="60" w:type="dxa"/>
              <w:right w:w="80" w:type="dxa"/>
            </w:tcMar>
          </w:tcPr>
          <w:p w14:paraId="3AA97DCB" w14:textId="77777777" w:rsidR="00253979" w:rsidRPr="000370A9" w:rsidRDefault="000370A9" w:rsidP="000370A9">
            <w:pPr>
              <w:spacing w:line="360" w:lineRule="auto"/>
              <w:rPr>
                <w:sz w:val="24"/>
                <w:szCs w:val="24"/>
              </w:rPr>
            </w:pPr>
            <w:r>
              <w:rPr>
                <w:rFonts w:eastAsia="Calibri"/>
                <w:sz w:val="24"/>
                <w:szCs w:val="24"/>
              </w:rPr>
              <w:t>Human Capital Theory / Capability Approach</w:t>
            </w:r>
          </w:p>
        </w:tc>
        <w:tc>
          <w:tcPr>
            <w:tcW w:w="950" w:type="dxa"/>
            <w:tcMar>
              <w:top w:w="60" w:type="dxa"/>
              <w:left w:w="80" w:type="dxa"/>
              <w:bottom w:w="60" w:type="dxa"/>
              <w:right w:w="80" w:type="dxa"/>
            </w:tcMar>
          </w:tcPr>
          <w:p w14:paraId="134B9EA1" w14:textId="77777777" w:rsidR="00253979" w:rsidRPr="000370A9" w:rsidRDefault="000370A9" w:rsidP="000370A9">
            <w:pPr>
              <w:spacing w:line="360" w:lineRule="auto"/>
              <w:rPr>
                <w:sz w:val="24"/>
                <w:szCs w:val="24"/>
              </w:rPr>
            </w:pPr>
            <w:r>
              <w:rPr>
                <w:rFonts w:eastAsia="Calibri"/>
                <w:sz w:val="24"/>
                <w:szCs w:val="24"/>
              </w:rPr>
              <w:t>Mixed methods</w:t>
            </w:r>
          </w:p>
        </w:tc>
        <w:tc>
          <w:tcPr>
            <w:tcW w:w="2700" w:type="dxa"/>
            <w:tcMar>
              <w:top w:w="60" w:type="dxa"/>
              <w:left w:w="80" w:type="dxa"/>
              <w:bottom w:w="60" w:type="dxa"/>
              <w:right w:w="80" w:type="dxa"/>
            </w:tcMar>
          </w:tcPr>
          <w:p w14:paraId="57113DB6" w14:textId="77777777" w:rsidR="00253979" w:rsidRPr="000370A9" w:rsidRDefault="000370A9" w:rsidP="000370A9">
            <w:pPr>
              <w:spacing w:line="360" w:lineRule="auto"/>
              <w:rPr>
                <w:sz w:val="24"/>
                <w:szCs w:val="24"/>
              </w:rPr>
            </w:pPr>
            <w:r>
              <w:rPr>
                <w:rFonts w:eastAsia="Calibri"/>
                <w:sz w:val="24"/>
                <w:szCs w:val="24"/>
              </w:rPr>
              <w:t>Integrating microcredit with mentoring, financial literacy, and entrepreneurship training improves business performance and loan repayment.</w:t>
            </w:r>
          </w:p>
        </w:tc>
        <w:tc>
          <w:tcPr>
            <w:tcW w:w="2400" w:type="dxa"/>
            <w:tcMar>
              <w:top w:w="60" w:type="dxa"/>
              <w:left w:w="80" w:type="dxa"/>
              <w:bottom w:w="60" w:type="dxa"/>
              <w:right w:w="80" w:type="dxa"/>
            </w:tcMar>
          </w:tcPr>
          <w:p w14:paraId="4B7943F0" w14:textId="77777777" w:rsidR="00253979" w:rsidRPr="000370A9" w:rsidRDefault="000370A9" w:rsidP="000370A9">
            <w:pPr>
              <w:spacing w:line="360" w:lineRule="auto"/>
              <w:rPr>
                <w:sz w:val="24"/>
                <w:szCs w:val="24"/>
              </w:rPr>
            </w:pPr>
            <w:r>
              <w:rPr>
                <w:rFonts w:eastAsia="Calibri"/>
                <w:sz w:val="24"/>
                <w:szCs w:val="24"/>
              </w:rPr>
              <w:t>Limited evidence on long-term effectiveness; MFIs often lack capacity to deliver quality BDS.</w:t>
            </w:r>
          </w:p>
        </w:tc>
        <w:tc>
          <w:tcPr>
            <w:tcW w:w="550" w:type="dxa"/>
            <w:tcMar>
              <w:top w:w="60" w:type="dxa"/>
              <w:left w:w="80" w:type="dxa"/>
              <w:bottom w:w="60" w:type="dxa"/>
              <w:right w:w="80" w:type="dxa"/>
            </w:tcMar>
          </w:tcPr>
          <w:p w14:paraId="06301958" w14:textId="77777777" w:rsidR="00253979" w:rsidRPr="000370A9" w:rsidRDefault="000370A9" w:rsidP="000370A9">
            <w:pPr>
              <w:spacing w:line="360" w:lineRule="auto"/>
              <w:rPr>
                <w:sz w:val="24"/>
                <w:szCs w:val="24"/>
              </w:rPr>
            </w:pPr>
            <w:r>
              <w:rPr>
                <w:rFonts w:eastAsia="Calibri"/>
                <w:sz w:val="24"/>
                <w:szCs w:val="24"/>
              </w:rPr>
              <w:t>5/5</w:t>
            </w:r>
          </w:p>
        </w:tc>
        <w:tc>
          <w:tcPr>
            <w:tcW w:w="1150" w:type="dxa"/>
            <w:tcMar>
              <w:top w:w="60" w:type="dxa"/>
              <w:left w:w="80" w:type="dxa"/>
              <w:bottom w:w="60" w:type="dxa"/>
              <w:right w:w="80" w:type="dxa"/>
            </w:tcMar>
          </w:tcPr>
          <w:p w14:paraId="7E48FF8F" w14:textId="77777777" w:rsidR="00253979" w:rsidRPr="000370A9" w:rsidRDefault="000370A9" w:rsidP="000370A9">
            <w:pPr>
              <w:spacing w:line="360" w:lineRule="auto"/>
              <w:rPr>
                <w:sz w:val="24"/>
                <w:szCs w:val="24"/>
              </w:rPr>
            </w:pPr>
            <w:r>
              <w:rPr>
                <w:rFonts w:eastAsia="Calibri"/>
                <w:sz w:val="24"/>
                <w:szCs w:val="24"/>
              </w:rPr>
              <w:t>Financial literacy; mentoring; entrepreneurship training; institutional capacity</w:t>
            </w:r>
          </w:p>
        </w:tc>
        <w:tc>
          <w:tcPr>
            <w:tcW w:w="1150" w:type="dxa"/>
            <w:tcMar>
              <w:top w:w="60" w:type="dxa"/>
              <w:left w:w="80" w:type="dxa"/>
              <w:bottom w:w="60" w:type="dxa"/>
              <w:right w:w="80" w:type="dxa"/>
            </w:tcMar>
          </w:tcPr>
          <w:p w14:paraId="518112CD" w14:textId="77777777" w:rsidR="00253979" w:rsidRPr="000370A9" w:rsidRDefault="000370A9" w:rsidP="000370A9">
            <w:pPr>
              <w:spacing w:line="360" w:lineRule="auto"/>
              <w:rPr>
                <w:sz w:val="24"/>
                <w:szCs w:val="24"/>
              </w:rPr>
            </w:pPr>
            <w:r>
              <w:rPr>
                <w:rFonts w:eastAsia="Calibri"/>
                <w:sz w:val="24"/>
                <w:szCs w:val="24"/>
              </w:rPr>
              <w:t>Integration of financial and non-financial services improves entrepreneurial capability</w:t>
            </w:r>
          </w:p>
        </w:tc>
        <w:tc>
          <w:tcPr>
            <w:tcW w:w="1150" w:type="dxa"/>
            <w:tcMar>
              <w:top w:w="60" w:type="dxa"/>
              <w:left w:w="80" w:type="dxa"/>
              <w:bottom w:w="60" w:type="dxa"/>
              <w:right w:w="80" w:type="dxa"/>
            </w:tcMar>
          </w:tcPr>
          <w:p w14:paraId="5FBB1411" w14:textId="77777777" w:rsidR="00253979" w:rsidRPr="000370A9" w:rsidRDefault="000370A9" w:rsidP="000370A9">
            <w:pPr>
              <w:spacing w:line="360" w:lineRule="auto"/>
              <w:rPr>
                <w:sz w:val="24"/>
                <w:szCs w:val="24"/>
              </w:rPr>
            </w:pPr>
            <w:r>
              <w:rPr>
                <w:rFonts w:eastAsia="Calibri"/>
                <w:sz w:val="24"/>
                <w:szCs w:val="24"/>
              </w:rPr>
              <w:t>Integrated credit-plus services improve entrepreneurship but depend on institutional support</w:t>
            </w:r>
          </w:p>
        </w:tc>
      </w:tr>
      <w:tr w:rsidR="00253979" w:rsidRPr="000370A9" w14:paraId="7963CE42" w14:textId="77777777">
        <w:tc>
          <w:tcPr>
            <w:tcW w:w="450" w:type="dxa"/>
            <w:tcMar>
              <w:top w:w="60" w:type="dxa"/>
              <w:left w:w="80" w:type="dxa"/>
              <w:bottom w:w="60" w:type="dxa"/>
              <w:right w:w="80" w:type="dxa"/>
            </w:tcMar>
          </w:tcPr>
          <w:p w14:paraId="711357B6" w14:textId="77777777" w:rsidR="00253979" w:rsidRPr="000370A9" w:rsidRDefault="000370A9" w:rsidP="000370A9">
            <w:pPr>
              <w:spacing w:line="360" w:lineRule="auto"/>
              <w:rPr>
                <w:sz w:val="24"/>
                <w:szCs w:val="24"/>
              </w:rPr>
            </w:pPr>
            <w:r>
              <w:rPr>
                <w:rFonts w:eastAsia="Calibri"/>
                <w:sz w:val="24"/>
                <w:szCs w:val="24"/>
              </w:rPr>
              <w:lastRenderedPageBreak/>
              <w:t>2</w:t>
            </w:r>
          </w:p>
        </w:tc>
        <w:tc>
          <w:tcPr>
            <w:tcW w:w="1300" w:type="dxa"/>
            <w:tcMar>
              <w:top w:w="60" w:type="dxa"/>
              <w:left w:w="80" w:type="dxa"/>
              <w:bottom w:w="60" w:type="dxa"/>
              <w:right w:w="80" w:type="dxa"/>
            </w:tcMar>
          </w:tcPr>
          <w:p w14:paraId="0E18D2DD" w14:textId="77777777" w:rsidR="00253979" w:rsidRPr="000370A9" w:rsidRDefault="000370A9" w:rsidP="000370A9">
            <w:pPr>
              <w:spacing w:line="360" w:lineRule="auto"/>
              <w:rPr>
                <w:sz w:val="24"/>
                <w:szCs w:val="24"/>
              </w:rPr>
            </w:pPr>
            <w:r>
              <w:rPr>
                <w:rFonts w:eastAsia="Calibri"/>
                <w:sz w:val="24"/>
                <w:szCs w:val="24"/>
              </w:rPr>
              <w:t>Debnath et al. (2019)</w:t>
            </w:r>
          </w:p>
        </w:tc>
        <w:tc>
          <w:tcPr>
            <w:tcW w:w="950" w:type="dxa"/>
            <w:tcMar>
              <w:top w:w="60" w:type="dxa"/>
              <w:left w:w="80" w:type="dxa"/>
              <w:bottom w:w="60" w:type="dxa"/>
              <w:right w:w="80" w:type="dxa"/>
            </w:tcMar>
          </w:tcPr>
          <w:p w14:paraId="695E1192" w14:textId="77777777" w:rsidR="00253979" w:rsidRPr="000370A9" w:rsidRDefault="000370A9" w:rsidP="000370A9">
            <w:pPr>
              <w:spacing w:line="360" w:lineRule="auto"/>
              <w:rPr>
                <w:sz w:val="24"/>
                <w:szCs w:val="24"/>
              </w:rPr>
            </w:pPr>
            <w:r>
              <w:rPr>
                <w:rFonts w:eastAsia="Calibri"/>
                <w:sz w:val="24"/>
                <w:szCs w:val="24"/>
              </w:rPr>
              <w:t>Bangladesh</w:t>
            </w:r>
          </w:p>
        </w:tc>
        <w:tc>
          <w:tcPr>
            <w:tcW w:w="1300" w:type="dxa"/>
            <w:tcMar>
              <w:top w:w="60" w:type="dxa"/>
              <w:left w:w="80" w:type="dxa"/>
              <w:bottom w:w="60" w:type="dxa"/>
              <w:right w:w="80" w:type="dxa"/>
            </w:tcMar>
          </w:tcPr>
          <w:p w14:paraId="58D4EB19" w14:textId="77777777" w:rsidR="00253979" w:rsidRPr="000370A9" w:rsidRDefault="000370A9" w:rsidP="000370A9">
            <w:pPr>
              <w:spacing w:line="360" w:lineRule="auto"/>
              <w:rPr>
                <w:sz w:val="24"/>
                <w:szCs w:val="24"/>
              </w:rPr>
            </w:pPr>
            <w:r>
              <w:rPr>
                <w:rFonts w:eastAsia="Calibri"/>
                <w:sz w:val="24"/>
                <w:szCs w:val="24"/>
              </w:rPr>
              <w:t>Microcredit and women's empowerment</w:t>
            </w:r>
          </w:p>
        </w:tc>
        <w:tc>
          <w:tcPr>
            <w:tcW w:w="1150" w:type="dxa"/>
            <w:tcMar>
              <w:top w:w="60" w:type="dxa"/>
              <w:left w:w="80" w:type="dxa"/>
              <w:bottom w:w="60" w:type="dxa"/>
              <w:right w:w="80" w:type="dxa"/>
            </w:tcMar>
          </w:tcPr>
          <w:p w14:paraId="7B4C0ED9" w14:textId="77777777" w:rsidR="00253979" w:rsidRPr="000370A9" w:rsidRDefault="000370A9" w:rsidP="000370A9">
            <w:pPr>
              <w:spacing w:line="360" w:lineRule="auto"/>
              <w:rPr>
                <w:sz w:val="24"/>
                <w:szCs w:val="24"/>
              </w:rPr>
            </w:pPr>
            <w:r>
              <w:rPr>
                <w:rFonts w:eastAsia="Calibri"/>
                <w:sz w:val="24"/>
                <w:szCs w:val="24"/>
              </w:rPr>
              <w:t>Women's Empowerment Framework</w:t>
            </w:r>
          </w:p>
        </w:tc>
        <w:tc>
          <w:tcPr>
            <w:tcW w:w="950" w:type="dxa"/>
            <w:tcMar>
              <w:top w:w="60" w:type="dxa"/>
              <w:left w:w="80" w:type="dxa"/>
              <w:bottom w:w="60" w:type="dxa"/>
              <w:right w:w="80" w:type="dxa"/>
            </w:tcMar>
          </w:tcPr>
          <w:p w14:paraId="2FE282D5" w14:textId="77777777" w:rsidR="00253979" w:rsidRPr="000370A9" w:rsidRDefault="000370A9" w:rsidP="000370A9">
            <w:pPr>
              <w:spacing w:line="360" w:lineRule="auto"/>
              <w:rPr>
                <w:sz w:val="24"/>
                <w:szCs w:val="24"/>
              </w:rPr>
            </w:pPr>
            <w:r>
              <w:rPr>
                <w:rFonts w:eastAsia="Calibri"/>
                <w:sz w:val="24"/>
                <w:szCs w:val="24"/>
              </w:rPr>
              <w:t>Quantitative survey</w:t>
            </w:r>
          </w:p>
        </w:tc>
        <w:tc>
          <w:tcPr>
            <w:tcW w:w="2700" w:type="dxa"/>
            <w:tcMar>
              <w:top w:w="60" w:type="dxa"/>
              <w:left w:w="80" w:type="dxa"/>
              <w:bottom w:w="60" w:type="dxa"/>
              <w:right w:w="80" w:type="dxa"/>
            </w:tcMar>
          </w:tcPr>
          <w:p w14:paraId="1FC203B7" w14:textId="77777777" w:rsidR="00253979" w:rsidRPr="000370A9" w:rsidRDefault="000370A9" w:rsidP="000370A9">
            <w:pPr>
              <w:spacing w:line="360" w:lineRule="auto"/>
              <w:rPr>
                <w:sz w:val="24"/>
                <w:szCs w:val="24"/>
              </w:rPr>
            </w:pPr>
            <w:r>
              <w:rPr>
                <w:rFonts w:eastAsia="Calibri"/>
                <w:sz w:val="24"/>
                <w:szCs w:val="24"/>
              </w:rPr>
              <w:t>Microcredit improves household decision-making but has limited effects on women's control over income, mobility, and enterprise ownership.</w:t>
            </w:r>
          </w:p>
        </w:tc>
        <w:tc>
          <w:tcPr>
            <w:tcW w:w="2400" w:type="dxa"/>
            <w:tcMar>
              <w:top w:w="60" w:type="dxa"/>
              <w:left w:w="80" w:type="dxa"/>
              <w:bottom w:w="60" w:type="dxa"/>
              <w:right w:w="80" w:type="dxa"/>
            </w:tcMar>
          </w:tcPr>
          <w:p w14:paraId="71155141" w14:textId="77777777" w:rsidR="00253979" w:rsidRPr="000370A9" w:rsidRDefault="000370A9" w:rsidP="000370A9">
            <w:pPr>
              <w:spacing w:line="360" w:lineRule="auto"/>
              <w:rPr>
                <w:sz w:val="24"/>
                <w:szCs w:val="24"/>
              </w:rPr>
            </w:pPr>
            <w:r>
              <w:rPr>
                <w:rFonts w:eastAsia="Calibri"/>
                <w:sz w:val="24"/>
                <w:szCs w:val="24"/>
              </w:rPr>
              <w:t>Few studies examine whether integrating BDS with microcredit enhances women's empowerment and entrepreneurial outcomes.</w:t>
            </w:r>
          </w:p>
        </w:tc>
        <w:tc>
          <w:tcPr>
            <w:tcW w:w="550" w:type="dxa"/>
            <w:tcMar>
              <w:top w:w="60" w:type="dxa"/>
              <w:left w:w="80" w:type="dxa"/>
              <w:bottom w:w="60" w:type="dxa"/>
              <w:right w:w="80" w:type="dxa"/>
            </w:tcMar>
          </w:tcPr>
          <w:p w14:paraId="59DB1948" w14:textId="77777777" w:rsidR="00253979" w:rsidRPr="000370A9" w:rsidRDefault="000370A9" w:rsidP="000370A9">
            <w:pPr>
              <w:spacing w:line="360" w:lineRule="auto"/>
              <w:rPr>
                <w:sz w:val="24"/>
                <w:szCs w:val="24"/>
              </w:rPr>
            </w:pPr>
            <w:r>
              <w:rPr>
                <w:rFonts w:eastAsia="Calibri"/>
                <w:sz w:val="24"/>
                <w:szCs w:val="24"/>
              </w:rPr>
              <w:t>4.5/5</w:t>
            </w:r>
          </w:p>
        </w:tc>
        <w:tc>
          <w:tcPr>
            <w:tcW w:w="1150" w:type="dxa"/>
            <w:tcMar>
              <w:top w:w="60" w:type="dxa"/>
              <w:left w:w="80" w:type="dxa"/>
              <w:bottom w:w="60" w:type="dxa"/>
              <w:right w:w="80" w:type="dxa"/>
            </w:tcMar>
          </w:tcPr>
          <w:p w14:paraId="4565C3EF" w14:textId="77777777" w:rsidR="00253979" w:rsidRPr="000370A9" w:rsidRDefault="000370A9" w:rsidP="000370A9">
            <w:pPr>
              <w:spacing w:line="360" w:lineRule="auto"/>
              <w:rPr>
                <w:sz w:val="24"/>
                <w:szCs w:val="24"/>
              </w:rPr>
            </w:pPr>
            <w:r>
              <w:rPr>
                <w:rFonts w:eastAsia="Calibri"/>
                <w:sz w:val="24"/>
                <w:szCs w:val="24"/>
              </w:rPr>
              <w:t>Household decision-making; gender norms; income control; empowerment</w:t>
            </w:r>
          </w:p>
        </w:tc>
        <w:tc>
          <w:tcPr>
            <w:tcW w:w="1150" w:type="dxa"/>
            <w:tcMar>
              <w:top w:w="60" w:type="dxa"/>
              <w:left w:w="80" w:type="dxa"/>
              <w:bottom w:w="60" w:type="dxa"/>
              <w:right w:w="80" w:type="dxa"/>
            </w:tcMar>
          </w:tcPr>
          <w:p w14:paraId="6C1A8D6D" w14:textId="77777777" w:rsidR="00253979" w:rsidRPr="000370A9" w:rsidRDefault="000370A9" w:rsidP="000370A9">
            <w:pPr>
              <w:spacing w:line="360" w:lineRule="auto"/>
              <w:rPr>
                <w:sz w:val="24"/>
                <w:szCs w:val="24"/>
              </w:rPr>
            </w:pPr>
            <w:r>
              <w:rPr>
                <w:rFonts w:eastAsia="Calibri"/>
                <w:sz w:val="24"/>
                <w:szCs w:val="24"/>
              </w:rPr>
              <w:t>Women's empowerment depends on financial access and capacity-building support</w:t>
            </w:r>
          </w:p>
        </w:tc>
        <w:tc>
          <w:tcPr>
            <w:tcW w:w="1150" w:type="dxa"/>
            <w:tcMar>
              <w:top w:w="60" w:type="dxa"/>
              <w:left w:w="80" w:type="dxa"/>
              <w:bottom w:w="60" w:type="dxa"/>
              <w:right w:w="80" w:type="dxa"/>
            </w:tcMar>
          </w:tcPr>
          <w:p w14:paraId="51B07420" w14:textId="77777777" w:rsidR="00253979" w:rsidRPr="000370A9" w:rsidRDefault="000370A9" w:rsidP="000370A9">
            <w:pPr>
              <w:spacing w:line="360" w:lineRule="auto"/>
              <w:rPr>
                <w:sz w:val="24"/>
                <w:szCs w:val="24"/>
              </w:rPr>
            </w:pPr>
            <w:r>
              <w:rPr>
                <w:rFonts w:eastAsia="Calibri"/>
                <w:sz w:val="24"/>
                <w:szCs w:val="24"/>
              </w:rPr>
              <w:t>Microcredit alone is insufficient for women's economic empowerment</w:t>
            </w:r>
          </w:p>
        </w:tc>
      </w:tr>
      <w:tr w:rsidR="00253979" w:rsidRPr="000370A9" w14:paraId="14AC4F85" w14:textId="77777777">
        <w:tc>
          <w:tcPr>
            <w:tcW w:w="450" w:type="dxa"/>
            <w:tcMar>
              <w:top w:w="60" w:type="dxa"/>
              <w:left w:w="80" w:type="dxa"/>
              <w:bottom w:w="60" w:type="dxa"/>
              <w:right w:w="80" w:type="dxa"/>
            </w:tcMar>
          </w:tcPr>
          <w:p w14:paraId="04ECA3A1" w14:textId="77777777" w:rsidR="00253979" w:rsidRPr="000370A9" w:rsidRDefault="000370A9" w:rsidP="000370A9">
            <w:pPr>
              <w:spacing w:line="360" w:lineRule="auto"/>
              <w:rPr>
                <w:sz w:val="24"/>
                <w:szCs w:val="24"/>
              </w:rPr>
            </w:pPr>
            <w:r>
              <w:rPr>
                <w:rFonts w:eastAsia="Calibri"/>
                <w:sz w:val="24"/>
                <w:szCs w:val="24"/>
              </w:rPr>
              <w:t>3</w:t>
            </w:r>
          </w:p>
        </w:tc>
        <w:tc>
          <w:tcPr>
            <w:tcW w:w="1300" w:type="dxa"/>
            <w:tcMar>
              <w:top w:w="60" w:type="dxa"/>
              <w:left w:w="80" w:type="dxa"/>
              <w:bottom w:w="60" w:type="dxa"/>
              <w:right w:w="80" w:type="dxa"/>
            </w:tcMar>
          </w:tcPr>
          <w:p w14:paraId="054E0F77" w14:textId="77777777" w:rsidR="00253979" w:rsidRPr="000370A9" w:rsidRDefault="000370A9" w:rsidP="000370A9">
            <w:pPr>
              <w:spacing w:line="360" w:lineRule="auto"/>
              <w:rPr>
                <w:sz w:val="24"/>
                <w:szCs w:val="24"/>
              </w:rPr>
            </w:pPr>
            <w:r>
              <w:rPr>
                <w:rFonts w:eastAsia="Calibri"/>
                <w:sz w:val="24"/>
                <w:szCs w:val="24"/>
              </w:rPr>
              <w:t xml:space="preserve">Goldszmidt et al. (2022)</w:t>
            </w:r>
          </w:p>
        </w:tc>
        <w:tc>
          <w:tcPr>
            <w:tcW w:w="950" w:type="dxa"/>
            <w:tcMar>
              <w:top w:w="60" w:type="dxa"/>
              <w:left w:w="80" w:type="dxa"/>
              <w:bottom w:w="60" w:type="dxa"/>
              <w:right w:w="80" w:type="dxa"/>
            </w:tcMar>
          </w:tcPr>
          <w:p w14:paraId="1EB3EFA5" w14:textId="77777777" w:rsidR="00253979" w:rsidRPr="000370A9" w:rsidRDefault="000370A9" w:rsidP="000370A9">
            <w:pPr>
              <w:spacing w:line="360" w:lineRule="auto"/>
              <w:rPr>
                <w:sz w:val="24"/>
                <w:szCs w:val="24"/>
              </w:rPr>
            </w:pPr>
            <w:r>
              <w:rPr>
                <w:rFonts w:eastAsia="Calibri"/>
                <w:sz w:val="24"/>
                <w:szCs w:val="24"/>
              </w:rPr>
              <w:t>Developing countries</w:t>
            </w:r>
          </w:p>
        </w:tc>
        <w:tc>
          <w:tcPr>
            <w:tcW w:w="1300" w:type="dxa"/>
            <w:tcMar>
              <w:top w:w="60" w:type="dxa"/>
              <w:left w:w="80" w:type="dxa"/>
              <w:bottom w:w="60" w:type="dxa"/>
              <w:right w:w="80" w:type="dxa"/>
            </w:tcMar>
          </w:tcPr>
          <w:p w14:paraId="77FD553E" w14:textId="77777777" w:rsidR="00253979" w:rsidRPr="000370A9" w:rsidRDefault="000370A9" w:rsidP="000370A9">
            <w:pPr>
              <w:spacing w:line="360" w:lineRule="auto"/>
              <w:rPr>
                <w:sz w:val="24"/>
                <w:szCs w:val="24"/>
              </w:rPr>
            </w:pPr>
            <w:r>
              <w:rPr>
                <w:rFonts w:eastAsia="Calibri"/>
                <w:sz w:val="24"/>
                <w:szCs w:val="24"/>
              </w:rPr>
              <w:t>Microcredit and poverty reduction</w:t>
            </w:r>
          </w:p>
        </w:tc>
        <w:tc>
          <w:tcPr>
            <w:tcW w:w="1150" w:type="dxa"/>
            <w:tcMar>
              <w:top w:w="60" w:type="dxa"/>
              <w:left w:w="80" w:type="dxa"/>
              <w:bottom w:w="60" w:type="dxa"/>
              <w:right w:w="80" w:type="dxa"/>
            </w:tcMar>
          </w:tcPr>
          <w:p w14:paraId="4CBC3697" w14:textId="77777777" w:rsidR="00253979" w:rsidRPr="000370A9" w:rsidRDefault="000370A9" w:rsidP="000370A9">
            <w:pPr>
              <w:spacing w:line="360" w:lineRule="auto"/>
              <w:rPr>
                <w:sz w:val="24"/>
                <w:szCs w:val="24"/>
              </w:rPr>
            </w:pPr>
            <w:r>
              <w:rPr>
                <w:rFonts w:eastAsia="Calibri"/>
                <w:sz w:val="24"/>
                <w:szCs w:val="24"/>
              </w:rPr>
              <w:t>Development Economics</w:t>
            </w:r>
          </w:p>
        </w:tc>
        <w:tc>
          <w:tcPr>
            <w:tcW w:w="950" w:type="dxa"/>
            <w:tcMar>
              <w:top w:w="60" w:type="dxa"/>
              <w:left w:w="80" w:type="dxa"/>
              <w:bottom w:w="60" w:type="dxa"/>
              <w:right w:w="80" w:type="dxa"/>
            </w:tcMar>
          </w:tcPr>
          <w:p w14:paraId="6B871D7D" w14:textId="77777777" w:rsidR="00253979" w:rsidRPr="000370A9" w:rsidRDefault="000370A9" w:rsidP="000370A9">
            <w:pPr>
              <w:spacing w:line="360" w:lineRule="auto"/>
              <w:rPr>
                <w:sz w:val="24"/>
                <w:szCs w:val="24"/>
              </w:rPr>
            </w:pPr>
            <w:r>
              <w:rPr>
                <w:rFonts w:eastAsia="Calibri"/>
                <w:sz w:val="24"/>
                <w:szCs w:val="24"/>
              </w:rPr>
              <w:t>Systematic review / meta-analysis</w:t>
            </w:r>
          </w:p>
        </w:tc>
        <w:tc>
          <w:tcPr>
            <w:tcW w:w="2700" w:type="dxa"/>
            <w:tcMar>
              <w:top w:w="60" w:type="dxa"/>
              <w:left w:w="80" w:type="dxa"/>
              <w:bottom w:w="60" w:type="dxa"/>
              <w:right w:w="80" w:type="dxa"/>
            </w:tcMar>
          </w:tcPr>
          <w:p w14:paraId="39832E0F" w14:textId="77777777" w:rsidR="00253979" w:rsidRPr="000370A9" w:rsidRDefault="000370A9" w:rsidP="000370A9">
            <w:pPr>
              <w:spacing w:line="360" w:lineRule="auto"/>
              <w:rPr>
                <w:sz w:val="24"/>
                <w:szCs w:val="24"/>
              </w:rPr>
            </w:pPr>
            <w:r>
              <w:rPr>
                <w:rFonts w:eastAsia="Calibri"/>
                <w:sz w:val="24"/>
                <w:szCs w:val="24"/>
              </w:rPr>
              <w:t xml:space="preserve">Microcredit increases short-term investment but rarely leads to sustained income growth or </w:t>
              <w:lastRenderedPageBreak/>
              <w:t>enterprise formalisation.</w:t>
            </w:r>
          </w:p>
        </w:tc>
        <w:tc>
          <w:tcPr>
            <w:tcW w:w="2400" w:type="dxa"/>
            <w:tcMar>
              <w:top w:w="60" w:type="dxa"/>
              <w:left w:w="80" w:type="dxa"/>
              <w:bottom w:w="60" w:type="dxa"/>
              <w:right w:w="80" w:type="dxa"/>
            </w:tcMar>
          </w:tcPr>
          <w:p w14:paraId="788AD3C8" w14:textId="77777777" w:rsidR="00253979" w:rsidRPr="000370A9" w:rsidRDefault="000370A9" w:rsidP="000370A9">
            <w:pPr>
              <w:spacing w:line="360" w:lineRule="auto"/>
              <w:rPr>
                <w:sz w:val="24"/>
                <w:szCs w:val="24"/>
              </w:rPr>
            </w:pPr>
            <w:r>
              <w:rPr>
                <w:rFonts w:eastAsia="Calibri"/>
                <w:sz w:val="24"/>
                <w:szCs w:val="24"/>
              </w:rPr>
              <w:lastRenderedPageBreak/>
              <w:t xml:space="preserve">More research needed on conditions under which microcredit combined with BDS contributes to sustainable </w:t>
              <w:lastRenderedPageBreak/>
              <w:t>poverty reduction.</w:t>
            </w:r>
          </w:p>
        </w:tc>
        <w:tc>
          <w:tcPr>
            <w:tcW w:w="550" w:type="dxa"/>
            <w:tcMar>
              <w:top w:w="60" w:type="dxa"/>
              <w:left w:w="80" w:type="dxa"/>
              <w:bottom w:w="60" w:type="dxa"/>
              <w:right w:w="80" w:type="dxa"/>
            </w:tcMar>
          </w:tcPr>
          <w:p w14:paraId="00EB93CD" w14:textId="77777777" w:rsidR="00253979" w:rsidRPr="000370A9" w:rsidRDefault="000370A9" w:rsidP="000370A9">
            <w:pPr>
              <w:spacing w:line="360" w:lineRule="auto"/>
              <w:rPr>
                <w:sz w:val="24"/>
                <w:szCs w:val="24"/>
              </w:rPr>
            </w:pPr>
            <w:r>
              <w:rPr>
                <w:rFonts w:eastAsia="Calibri"/>
                <w:sz w:val="24"/>
                <w:szCs w:val="24"/>
              </w:rPr>
              <w:lastRenderedPageBreak/>
              <w:t>5/5</w:t>
            </w:r>
          </w:p>
        </w:tc>
        <w:tc>
          <w:tcPr>
            <w:tcW w:w="1150" w:type="dxa"/>
            <w:tcMar>
              <w:top w:w="60" w:type="dxa"/>
              <w:left w:w="80" w:type="dxa"/>
              <w:bottom w:w="60" w:type="dxa"/>
              <w:right w:w="80" w:type="dxa"/>
            </w:tcMar>
          </w:tcPr>
          <w:p w14:paraId="6891C190" w14:textId="77777777" w:rsidR="00253979" w:rsidRPr="000370A9" w:rsidRDefault="000370A9" w:rsidP="000370A9">
            <w:pPr>
              <w:spacing w:line="360" w:lineRule="auto"/>
              <w:rPr>
                <w:sz w:val="24"/>
                <w:szCs w:val="24"/>
              </w:rPr>
            </w:pPr>
            <w:r>
              <w:rPr>
                <w:rFonts w:eastAsia="Calibri"/>
                <w:sz w:val="24"/>
                <w:szCs w:val="24"/>
              </w:rPr>
              <w:t>Poverty reduction; business sustainability; contextual factors; income growth</w:t>
            </w:r>
          </w:p>
        </w:tc>
        <w:tc>
          <w:tcPr>
            <w:tcW w:w="1150" w:type="dxa"/>
            <w:tcMar>
              <w:top w:w="60" w:type="dxa"/>
              <w:left w:w="80" w:type="dxa"/>
              <w:bottom w:w="60" w:type="dxa"/>
              <w:right w:w="80" w:type="dxa"/>
            </w:tcMar>
          </w:tcPr>
          <w:p w14:paraId="3ABBA3F4" w14:textId="77777777" w:rsidR="00253979" w:rsidRPr="000370A9" w:rsidRDefault="000370A9" w:rsidP="000370A9">
            <w:pPr>
              <w:spacing w:line="360" w:lineRule="auto"/>
              <w:rPr>
                <w:sz w:val="24"/>
                <w:szCs w:val="24"/>
              </w:rPr>
            </w:pPr>
            <w:r>
              <w:rPr>
                <w:rFonts w:eastAsia="Calibri"/>
                <w:sz w:val="24"/>
                <w:szCs w:val="24"/>
              </w:rPr>
              <w:t>Sustainable poverty reduction depends on complementary support and institutional context</w:t>
            </w:r>
          </w:p>
        </w:tc>
        <w:tc>
          <w:tcPr>
            <w:tcW w:w="1150" w:type="dxa"/>
            <w:tcMar>
              <w:top w:w="60" w:type="dxa"/>
              <w:left w:w="80" w:type="dxa"/>
              <w:bottom w:w="60" w:type="dxa"/>
              <w:right w:w="80" w:type="dxa"/>
            </w:tcMar>
          </w:tcPr>
          <w:p w14:paraId="4B8DA97F" w14:textId="77777777" w:rsidR="00253979" w:rsidRPr="000370A9" w:rsidRDefault="000370A9" w:rsidP="000370A9">
            <w:pPr>
              <w:spacing w:line="360" w:lineRule="auto"/>
              <w:rPr>
                <w:sz w:val="24"/>
                <w:szCs w:val="24"/>
              </w:rPr>
            </w:pPr>
            <w:r>
              <w:rPr>
                <w:rFonts w:eastAsia="Calibri"/>
                <w:sz w:val="24"/>
                <w:szCs w:val="24"/>
              </w:rPr>
              <w:t>Credit alone has limited long-term poverty reduction effects</w:t>
            </w:r>
          </w:p>
        </w:tc>
      </w:tr>
      <w:tr w:rsidR="00253979" w:rsidRPr="000370A9" w14:paraId="2C4FF274" w14:textId="77777777">
        <w:tc>
          <w:tcPr>
            <w:tcW w:w="450" w:type="dxa"/>
            <w:tcMar>
              <w:top w:w="60" w:type="dxa"/>
              <w:left w:w="80" w:type="dxa"/>
              <w:bottom w:w="60" w:type="dxa"/>
              <w:right w:w="80" w:type="dxa"/>
            </w:tcMar>
          </w:tcPr>
          <w:p w14:paraId="317367C0" w14:textId="77777777" w:rsidR="00253979" w:rsidRPr="000370A9" w:rsidRDefault="000370A9" w:rsidP="000370A9">
            <w:pPr>
              <w:spacing w:line="360" w:lineRule="auto"/>
              <w:rPr>
                <w:sz w:val="24"/>
                <w:szCs w:val="24"/>
              </w:rPr>
            </w:pPr>
            <w:r>
              <w:rPr>
                <w:rFonts w:eastAsia="Calibri"/>
                <w:sz w:val="24"/>
                <w:szCs w:val="24"/>
              </w:rPr>
              <w:t>4</w:t>
            </w:r>
          </w:p>
        </w:tc>
        <w:tc>
          <w:tcPr>
            <w:tcW w:w="1300" w:type="dxa"/>
            <w:tcMar>
              <w:top w:w="60" w:type="dxa"/>
              <w:left w:w="80" w:type="dxa"/>
              <w:bottom w:w="60" w:type="dxa"/>
              <w:right w:w="80" w:type="dxa"/>
            </w:tcMar>
          </w:tcPr>
          <w:p w14:paraId="336000B3" w14:textId="77777777" w:rsidR="00253979" w:rsidRPr="000370A9" w:rsidRDefault="000370A9" w:rsidP="000370A9">
            <w:pPr>
              <w:spacing w:line="360" w:lineRule="auto"/>
              <w:rPr>
                <w:sz w:val="24"/>
                <w:szCs w:val="24"/>
              </w:rPr>
            </w:pPr>
            <w:r>
              <w:rPr>
                <w:rFonts w:eastAsia="Calibri"/>
                <w:sz w:val="24"/>
                <w:szCs w:val="24"/>
              </w:rPr>
              <w:t>McKague et al. (2017)</w:t>
            </w:r>
          </w:p>
        </w:tc>
        <w:tc>
          <w:tcPr>
            <w:tcW w:w="950" w:type="dxa"/>
            <w:tcMar>
              <w:top w:w="60" w:type="dxa"/>
              <w:left w:w="80" w:type="dxa"/>
              <w:bottom w:w="60" w:type="dxa"/>
              <w:right w:w="80" w:type="dxa"/>
            </w:tcMar>
          </w:tcPr>
          <w:p w14:paraId="0507A59A" w14:textId="77777777" w:rsidR="00253979" w:rsidRPr="000370A9" w:rsidRDefault="000370A9" w:rsidP="000370A9">
            <w:pPr>
              <w:spacing w:line="360" w:lineRule="auto"/>
              <w:rPr>
                <w:sz w:val="24"/>
                <w:szCs w:val="24"/>
              </w:rPr>
            </w:pPr>
            <w:r>
              <w:rPr>
                <w:rFonts w:eastAsia="Calibri"/>
                <w:sz w:val="24"/>
                <w:szCs w:val="24"/>
              </w:rPr>
              <w:t>Developing countries</w:t>
            </w:r>
          </w:p>
        </w:tc>
        <w:tc>
          <w:tcPr>
            <w:tcW w:w="1300" w:type="dxa"/>
            <w:tcMar>
              <w:top w:w="60" w:type="dxa"/>
              <w:left w:w="80" w:type="dxa"/>
              <w:bottom w:w="60" w:type="dxa"/>
              <w:right w:w="80" w:type="dxa"/>
            </w:tcMar>
          </w:tcPr>
          <w:p w14:paraId="1168BEDE" w14:textId="77777777" w:rsidR="00253979" w:rsidRPr="000370A9" w:rsidRDefault="000370A9" w:rsidP="000370A9">
            <w:pPr>
              <w:spacing w:line="360" w:lineRule="auto"/>
              <w:rPr>
                <w:sz w:val="24"/>
                <w:szCs w:val="24"/>
              </w:rPr>
            </w:pPr>
            <w:r>
              <w:rPr>
                <w:rFonts w:eastAsia="Calibri"/>
                <w:sz w:val="24"/>
                <w:szCs w:val="24"/>
              </w:rPr>
              <w:t>BDS and rural entrepreneurship</w:t>
            </w:r>
          </w:p>
        </w:tc>
        <w:tc>
          <w:tcPr>
            <w:tcW w:w="1150" w:type="dxa"/>
            <w:tcMar>
              <w:top w:w="60" w:type="dxa"/>
              <w:left w:w="80" w:type="dxa"/>
              <w:bottom w:w="60" w:type="dxa"/>
              <w:right w:w="80" w:type="dxa"/>
            </w:tcMar>
          </w:tcPr>
          <w:p w14:paraId="7A6F0DC8" w14:textId="77777777" w:rsidR="00253979" w:rsidRPr="000370A9" w:rsidRDefault="000370A9" w:rsidP="000370A9">
            <w:pPr>
              <w:spacing w:line="360" w:lineRule="auto"/>
              <w:rPr>
                <w:sz w:val="24"/>
                <w:szCs w:val="24"/>
              </w:rPr>
            </w:pPr>
            <w:r>
              <w:rPr>
                <w:rFonts w:eastAsia="Calibri"/>
                <w:sz w:val="24"/>
                <w:szCs w:val="24"/>
              </w:rPr>
              <w:t>Institutional Theory</w:t>
            </w:r>
          </w:p>
        </w:tc>
        <w:tc>
          <w:tcPr>
            <w:tcW w:w="950" w:type="dxa"/>
            <w:tcMar>
              <w:top w:w="60" w:type="dxa"/>
              <w:left w:w="80" w:type="dxa"/>
              <w:bottom w:w="60" w:type="dxa"/>
              <w:right w:w="80" w:type="dxa"/>
            </w:tcMar>
          </w:tcPr>
          <w:p w14:paraId="1170A845" w14:textId="77777777" w:rsidR="00253979" w:rsidRPr="000370A9" w:rsidRDefault="000370A9" w:rsidP="000370A9">
            <w:pPr>
              <w:spacing w:line="360" w:lineRule="auto"/>
              <w:rPr>
                <w:sz w:val="24"/>
                <w:szCs w:val="24"/>
              </w:rPr>
            </w:pPr>
            <w:r>
              <w:rPr>
                <w:rFonts w:eastAsia="Calibri"/>
                <w:sz w:val="24"/>
                <w:szCs w:val="24"/>
              </w:rPr>
              <w:t>Case study</w:t>
            </w:r>
          </w:p>
        </w:tc>
        <w:tc>
          <w:tcPr>
            <w:tcW w:w="2700" w:type="dxa"/>
            <w:tcMar>
              <w:top w:w="60" w:type="dxa"/>
              <w:left w:w="80" w:type="dxa"/>
              <w:bottom w:w="60" w:type="dxa"/>
              <w:right w:w="80" w:type="dxa"/>
            </w:tcMar>
          </w:tcPr>
          <w:p w14:paraId="29F42739" w14:textId="77777777" w:rsidR="00253979" w:rsidRPr="000370A9" w:rsidRDefault="000370A9" w:rsidP="000370A9">
            <w:pPr>
              <w:spacing w:line="360" w:lineRule="auto"/>
              <w:rPr>
                <w:sz w:val="24"/>
                <w:szCs w:val="24"/>
              </w:rPr>
            </w:pPr>
            <w:r>
              <w:rPr>
                <w:rFonts w:eastAsia="Calibri"/>
                <w:sz w:val="24"/>
                <w:szCs w:val="24"/>
              </w:rPr>
              <w:t xml:space="preserve">Social microfranchising combines finance, business support, and market linkages to strengthen rural enterprises.</w:t>
            </w:r>
          </w:p>
        </w:tc>
        <w:tc>
          <w:tcPr>
            <w:tcW w:w="2400" w:type="dxa"/>
            <w:tcMar>
              <w:top w:w="60" w:type="dxa"/>
              <w:left w:w="80" w:type="dxa"/>
              <w:bottom w:w="60" w:type="dxa"/>
              <w:right w:w="80" w:type="dxa"/>
            </w:tcMar>
          </w:tcPr>
          <w:p w14:paraId="16918C7A" w14:textId="77777777" w:rsidR="00253979" w:rsidRPr="000370A9" w:rsidRDefault="000370A9" w:rsidP="000370A9">
            <w:pPr>
              <w:spacing w:line="360" w:lineRule="auto"/>
              <w:rPr>
                <w:sz w:val="24"/>
                <w:szCs w:val="24"/>
              </w:rPr>
            </w:pPr>
            <w:r>
              <w:rPr>
                <w:rFonts w:eastAsia="Calibri"/>
                <w:sz w:val="24"/>
                <w:szCs w:val="24"/>
              </w:rPr>
              <w:t>Limited longitudinal evidence on the sustainability of integrated BDS and finance models.</w:t>
            </w:r>
          </w:p>
        </w:tc>
        <w:tc>
          <w:tcPr>
            <w:tcW w:w="550" w:type="dxa"/>
            <w:tcMar>
              <w:top w:w="60" w:type="dxa"/>
              <w:left w:w="80" w:type="dxa"/>
              <w:bottom w:w="60" w:type="dxa"/>
              <w:right w:w="80" w:type="dxa"/>
            </w:tcMar>
          </w:tcPr>
          <w:p w14:paraId="68C6E4D5" w14:textId="77777777" w:rsidR="00253979" w:rsidRPr="000370A9" w:rsidRDefault="000370A9" w:rsidP="000370A9">
            <w:pPr>
              <w:spacing w:line="360" w:lineRule="auto"/>
              <w:rPr>
                <w:sz w:val="24"/>
                <w:szCs w:val="24"/>
              </w:rPr>
            </w:pPr>
            <w:r>
              <w:rPr>
                <w:rFonts w:eastAsia="Calibri"/>
                <w:sz w:val="24"/>
                <w:szCs w:val="24"/>
              </w:rPr>
              <w:t>4/5</w:t>
            </w:r>
          </w:p>
        </w:tc>
        <w:tc>
          <w:tcPr>
            <w:tcW w:w="1150" w:type="dxa"/>
            <w:tcMar>
              <w:top w:w="60" w:type="dxa"/>
              <w:left w:w="80" w:type="dxa"/>
              <w:bottom w:w="60" w:type="dxa"/>
              <w:right w:w="80" w:type="dxa"/>
            </w:tcMar>
          </w:tcPr>
          <w:p w14:paraId="3145A848" w14:textId="77777777" w:rsidR="00253979" w:rsidRPr="000370A9" w:rsidRDefault="000370A9" w:rsidP="000370A9">
            <w:pPr>
              <w:spacing w:line="360" w:lineRule="auto"/>
              <w:rPr>
                <w:sz w:val="24"/>
                <w:szCs w:val="24"/>
              </w:rPr>
            </w:pPr>
            <w:r>
              <w:rPr>
                <w:rFonts w:eastAsia="Calibri"/>
                <w:sz w:val="24"/>
                <w:szCs w:val="24"/>
              </w:rPr>
              <w:t>Market linkages; institutional barriers; business support</w:t>
            </w:r>
          </w:p>
        </w:tc>
        <w:tc>
          <w:tcPr>
            <w:tcW w:w="1150" w:type="dxa"/>
            <w:tcMar>
              <w:top w:w="60" w:type="dxa"/>
              <w:left w:w="80" w:type="dxa"/>
              <w:bottom w:w="60" w:type="dxa"/>
              <w:right w:w="80" w:type="dxa"/>
            </w:tcMar>
          </w:tcPr>
          <w:p w14:paraId="58559105" w14:textId="77777777" w:rsidR="00253979" w:rsidRPr="000370A9" w:rsidRDefault="000370A9" w:rsidP="000370A9">
            <w:pPr>
              <w:spacing w:line="360" w:lineRule="auto"/>
              <w:rPr>
                <w:sz w:val="24"/>
                <w:szCs w:val="24"/>
              </w:rPr>
            </w:pPr>
            <w:r>
              <w:rPr>
                <w:rFonts w:eastAsia="Calibri"/>
                <w:sz w:val="24"/>
                <w:szCs w:val="24"/>
              </w:rPr>
              <w:t>Institutional support strengthens rural entrepreneurship</w:t>
            </w:r>
          </w:p>
        </w:tc>
        <w:tc>
          <w:tcPr>
            <w:tcW w:w="1150" w:type="dxa"/>
            <w:tcMar>
              <w:top w:w="60" w:type="dxa"/>
              <w:left w:w="80" w:type="dxa"/>
              <w:bottom w:w="60" w:type="dxa"/>
              <w:right w:w="80" w:type="dxa"/>
            </w:tcMar>
          </w:tcPr>
          <w:p w14:paraId="65A955DD" w14:textId="77777777" w:rsidR="00253979" w:rsidRPr="000370A9" w:rsidRDefault="000370A9" w:rsidP="000370A9">
            <w:pPr>
              <w:spacing w:line="360" w:lineRule="auto"/>
              <w:rPr>
                <w:sz w:val="24"/>
                <w:szCs w:val="24"/>
              </w:rPr>
            </w:pPr>
            <w:r>
              <w:rPr>
                <w:rFonts w:eastAsia="Calibri"/>
                <w:sz w:val="24"/>
                <w:szCs w:val="24"/>
              </w:rPr>
              <w:t>BDS addresses institutional barriers and supports enterprise sustainability</w:t>
            </w:r>
          </w:p>
        </w:tc>
      </w:tr>
      <w:tr w:rsidR="00253979" w:rsidRPr="000370A9" w14:paraId="747067F8" w14:textId="77777777">
        <w:tc>
          <w:tcPr>
            <w:tcW w:w="450" w:type="dxa"/>
            <w:tcMar>
              <w:top w:w="60" w:type="dxa"/>
              <w:left w:w="80" w:type="dxa"/>
              <w:bottom w:w="60" w:type="dxa"/>
              <w:right w:w="80" w:type="dxa"/>
            </w:tcMar>
          </w:tcPr>
          <w:p w14:paraId="12150696" w14:textId="77777777" w:rsidR="00253979" w:rsidRPr="000370A9" w:rsidRDefault="000370A9" w:rsidP="000370A9">
            <w:pPr>
              <w:spacing w:line="360" w:lineRule="auto"/>
              <w:rPr>
                <w:sz w:val="24"/>
                <w:szCs w:val="24"/>
              </w:rPr>
            </w:pPr>
            <w:r>
              <w:rPr>
                <w:rFonts w:eastAsia="Calibri"/>
                <w:sz w:val="24"/>
                <w:szCs w:val="24"/>
              </w:rPr>
              <w:t>5</w:t>
            </w:r>
          </w:p>
        </w:tc>
        <w:tc>
          <w:tcPr>
            <w:tcW w:w="1300" w:type="dxa"/>
            <w:tcMar>
              <w:top w:w="60" w:type="dxa"/>
              <w:left w:w="80" w:type="dxa"/>
              <w:bottom w:w="60" w:type="dxa"/>
              <w:right w:w="80" w:type="dxa"/>
            </w:tcMar>
          </w:tcPr>
          <w:p w14:paraId="4BAA760B" w14:textId="77777777" w:rsidR="00253979" w:rsidRPr="000370A9" w:rsidRDefault="000370A9" w:rsidP="000370A9">
            <w:pPr>
              <w:spacing w:line="360" w:lineRule="auto"/>
              <w:rPr>
                <w:sz w:val="24"/>
                <w:szCs w:val="24"/>
              </w:rPr>
            </w:pPr>
            <w:r>
              <w:rPr>
                <w:rFonts w:eastAsia="Calibri"/>
                <w:sz w:val="24"/>
                <w:szCs w:val="24"/>
              </w:rPr>
              <w:t>Khanam et al. (2018)</w:t>
            </w:r>
          </w:p>
        </w:tc>
        <w:tc>
          <w:tcPr>
            <w:tcW w:w="950" w:type="dxa"/>
            <w:tcMar>
              <w:top w:w="60" w:type="dxa"/>
              <w:left w:w="80" w:type="dxa"/>
              <w:bottom w:w="60" w:type="dxa"/>
              <w:right w:w="80" w:type="dxa"/>
            </w:tcMar>
          </w:tcPr>
          <w:p w14:paraId="657F5DC2" w14:textId="77777777" w:rsidR="00253979" w:rsidRPr="000370A9" w:rsidRDefault="000370A9" w:rsidP="000370A9">
            <w:pPr>
              <w:spacing w:line="360" w:lineRule="auto"/>
              <w:rPr>
                <w:sz w:val="24"/>
                <w:szCs w:val="24"/>
              </w:rPr>
            </w:pPr>
            <w:r>
              <w:rPr>
                <w:rFonts w:eastAsia="Calibri"/>
                <w:sz w:val="24"/>
                <w:szCs w:val="24"/>
              </w:rPr>
              <w:t>Bangladesh</w:t>
            </w:r>
          </w:p>
        </w:tc>
        <w:tc>
          <w:tcPr>
            <w:tcW w:w="1300" w:type="dxa"/>
            <w:tcMar>
              <w:top w:w="60" w:type="dxa"/>
              <w:left w:w="80" w:type="dxa"/>
              <w:bottom w:w="60" w:type="dxa"/>
              <w:right w:w="80" w:type="dxa"/>
            </w:tcMar>
          </w:tcPr>
          <w:p w14:paraId="623CCC8B" w14:textId="77777777" w:rsidR="00253979" w:rsidRPr="000370A9" w:rsidRDefault="000370A9" w:rsidP="000370A9">
            <w:pPr>
              <w:spacing w:line="360" w:lineRule="auto"/>
              <w:rPr>
                <w:sz w:val="24"/>
                <w:szCs w:val="24"/>
              </w:rPr>
            </w:pPr>
            <w:r>
              <w:rPr>
                <w:rFonts w:eastAsia="Calibri"/>
                <w:sz w:val="24"/>
                <w:szCs w:val="24"/>
              </w:rPr>
              <w:t>Microcredit, BDS, and rural entrepreneurship</w:t>
            </w:r>
          </w:p>
        </w:tc>
        <w:tc>
          <w:tcPr>
            <w:tcW w:w="1150" w:type="dxa"/>
            <w:tcMar>
              <w:top w:w="60" w:type="dxa"/>
              <w:left w:w="80" w:type="dxa"/>
              <w:bottom w:w="60" w:type="dxa"/>
              <w:right w:w="80" w:type="dxa"/>
            </w:tcMar>
          </w:tcPr>
          <w:p w14:paraId="517FCE02" w14:textId="77777777" w:rsidR="00253979" w:rsidRPr="000370A9" w:rsidRDefault="000370A9" w:rsidP="000370A9">
            <w:pPr>
              <w:spacing w:line="360" w:lineRule="auto"/>
              <w:rPr>
                <w:sz w:val="24"/>
                <w:szCs w:val="24"/>
              </w:rPr>
            </w:pPr>
            <w:r>
              <w:rPr>
                <w:rFonts w:eastAsia="Calibri"/>
                <w:sz w:val="24"/>
                <w:szCs w:val="24"/>
              </w:rPr>
              <w:t>Human Capital Theory</w:t>
            </w:r>
          </w:p>
        </w:tc>
        <w:tc>
          <w:tcPr>
            <w:tcW w:w="950" w:type="dxa"/>
            <w:tcMar>
              <w:top w:w="60" w:type="dxa"/>
              <w:left w:w="80" w:type="dxa"/>
              <w:bottom w:w="60" w:type="dxa"/>
              <w:right w:w="80" w:type="dxa"/>
            </w:tcMar>
          </w:tcPr>
          <w:p w14:paraId="2F0EF094" w14:textId="77777777" w:rsidR="00253979" w:rsidRPr="000370A9" w:rsidRDefault="000370A9" w:rsidP="000370A9">
            <w:pPr>
              <w:spacing w:line="360" w:lineRule="auto"/>
              <w:rPr>
                <w:sz w:val="24"/>
                <w:szCs w:val="24"/>
              </w:rPr>
            </w:pPr>
            <w:r>
              <w:rPr>
                <w:rFonts w:eastAsia="Calibri"/>
                <w:sz w:val="24"/>
                <w:szCs w:val="24"/>
              </w:rPr>
              <w:t>Empirical quantitative study</w:t>
            </w:r>
          </w:p>
        </w:tc>
        <w:tc>
          <w:tcPr>
            <w:tcW w:w="2700" w:type="dxa"/>
            <w:tcMar>
              <w:top w:w="60" w:type="dxa"/>
              <w:left w:w="80" w:type="dxa"/>
              <w:bottom w:w="60" w:type="dxa"/>
              <w:right w:w="80" w:type="dxa"/>
            </w:tcMar>
          </w:tcPr>
          <w:p w14:paraId="6B302D0A" w14:textId="77777777" w:rsidR="00253979" w:rsidRPr="000370A9" w:rsidRDefault="000370A9" w:rsidP="000370A9">
            <w:pPr>
              <w:spacing w:line="360" w:lineRule="auto"/>
              <w:rPr>
                <w:sz w:val="24"/>
                <w:szCs w:val="24"/>
              </w:rPr>
            </w:pPr>
            <w:r>
              <w:rPr>
                <w:rFonts w:eastAsia="Calibri"/>
                <w:sz w:val="24"/>
                <w:szCs w:val="24"/>
              </w:rPr>
              <w:t>Business training improves entrepreneurial skills, business performance, and loan repayment.</w:t>
            </w:r>
          </w:p>
        </w:tc>
        <w:tc>
          <w:tcPr>
            <w:tcW w:w="2400" w:type="dxa"/>
            <w:tcMar>
              <w:top w:w="60" w:type="dxa"/>
              <w:left w:w="80" w:type="dxa"/>
              <w:bottom w:w="60" w:type="dxa"/>
              <w:right w:w="80" w:type="dxa"/>
            </w:tcMar>
          </w:tcPr>
          <w:p w14:paraId="323CB937" w14:textId="77777777" w:rsidR="00253979" w:rsidRPr="000370A9" w:rsidRDefault="000370A9" w:rsidP="000370A9">
            <w:pPr>
              <w:spacing w:line="360" w:lineRule="auto"/>
              <w:rPr>
                <w:sz w:val="24"/>
                <w:szCs w:val="24"/>
              </w:rPr>
            </w:pPr>
            <w:r>
              <w:rPr>
                <w:rFonts w:eastAsia="Calibri"/>
                <w:sz w:val="24"/>
                <w:szCs w:val="24"/>
              </w:rPr>
              <w:t xml:space="preserve">Limited evidence on which BDS components are most effective for women's entrepreneurship and </w:t>
              <w:lastRenderedPageBreak/>
              <w:t>poverty reduction.</w:t>
            </w:r>
          </w:p>
        </w:tc>
        <w:tc>
          <w:tcPr>
            <w:tcW w:w="550" w:type="dxa"/>
            <w:tcMar>
              <w:top w:w="60" w:type="dxa"/>
              <w:left w:w="80" w:type="dxa"/>
              <w:bottom w:w="60" w:type="dxa"/>
              <w:right w:w="80" w:type="dxa"/>
            </w:tcMar>
          </w:tcPr>
          <w:p w14:paraId="5E9A5210" w14:textId="77777777" w:rsidR="00253979" w:rsidRPr="000370A9" w:rsidRDefault="000370A9" w:rsidP="000370A9">
            <w:pPr>
              <w:spacing w:line="360" w:lineRule="auto"/>
              <w:rPr>
                <w:sz w:val="24"/>
                <w:szCs w:val="24"/>
              </w:rPr>
            </w:pPr>
            <w:r>
              <w:rPr>
                <w:rFonts w:eastAsia="Calibri"/>
                <w:sz w:val="24"/>
                <w:szCs w:val="24"/>
              </w:rPr>
              <w:lastRenderedPageBreak/>
              <w:t>4.5/5</w:t>
            </w:r>
          </w:p>
        </w:tc>
        <w:tc>
          <w:tcPr>
            <w:tcW w:w="1150" w:type="dxa"/>
            <w:tcMar>
              <w:top w:w="60" w:type="dxa"/>
              <w:left w:w="80" w:type="dxa"/>
              <w:bottom w:w="60" w:type="dxa"/>
              <w:right w:w="80" w:type="dxa"/>
            </w:tcMar>
          </w:tcPr>
          <w:p w14:paraId="614B1CE8" w14:textId="77777777" w:rsidR="00253979" w:rsidRPr="000370A9" w:rsidRDefault="000370A9" w:rsidP="000370A9">
            <w:pPr>
              <w:spacing w:line="360" w:lineRule="auto"/>
              <w:rPr>
                <w:sz w:val="24"/>
                <w:szCs w:val="24"/>
              </w:rPr>
            </w:pPr>
            <w:r>
              <w:rPr>
                <w:rFonts w:eastAsia="Calibri"/>
                <w:sz w:val="24"/>
                <w:szCs w:val="24"/>
              </w:rPr>
              <w:t>Business training; entrepreneurial skills; financial literacy; market access</w:t>
            </w:r>
          </w:p>
        </w:tc>
        <w:tc>
          <w:tcPr>
            <w:tcW w:w="1150" w:type="dxa"/>
            <w:tcMar>
              <w:top w:w="60" w:type="dxa"/>
              <w:left w:w="80" w:type="dxa"/>
              <w:bottom w:w="60" w:type="dxa"/>
              <w:right w:w="80" w:type="dxa"/>
            </w:tcMar>
          </w:tcPr>
          <w:p w14:paraId="19A0DC1B" w14:textId="77777777" w:rsidR="00253979" w:rsidRPr="000370A9" w:rsidRDefault="000370A9" w:rsidP="000370A9">
            <w:pPr>
              <w:spacing w:line="360" w:lineRule="auto"/>
              <w:rPr>
                <w:sz w:val="24"/>
                <w:szCs w:val="24"/>
              </w:rPr>
            </w:pPr>
            <w:r>
              <w:rPr>
                <w:rFonts w:eastAsia="Calibri"/>
                <w:sz w:val="24"/>
                <w:szCs w:val="24"/>
              </w:rPr>
              <w:t>Different BDS components influence entrepreneurial outcomes differently</w:t>
            </w:r>
          </w:p>
        </w:tc>
        <w:tc>
          <w:tcPr>
            <w:tcW w:w="1150" w:type="dxa"/>
            <w:tcMar>
              <w:top w:w="60" w:type="dxa"/>
              <w:left w:w="80" w:type="dxa"/>
              <w:bottom w:w="60" w:type="dxa"/>
              <w:right w:w="80" w:type="dxa"/>
            </w:tcMar>
          </w:tcPr>
          <w:p w14:paraId="4B28B9E5" w14:textId="77777777" w:rsidR="00253979" w:rsidRPr="000370A9" w:rsidRDefault="000370A9" w:rsidP="000370A9">
            <w:pPr>
              <w:spacing w:line="360" w:lineRule="auto"/>
              <w:rPr>
                <w:sz w:val="24"/>
                <w:szCs w:val="24"/>
              </w:rPr>
            </w:pPr>
            <w:r>
              <w:rPr>
                <w:rFonts w:eastAsia="Calibri"/>
                <w:sz w:val="24"/>
                <w:szCs w:val="24"/>
              </w:rPr>
              <w:t>Effective BDS transforms microcredit into sustainable entrepreneurship</w:t>
            </w:r>
          </w:p>
        </w:tc>
      </w:tr>
      <w:tr w:rsidR="00253979" w:rsidRPr="000370A9" w14:paraId="04D5E747" w14:textId="77777777">
        <w:tc>
          <w:tcPr>
            <w:tcW w:w="450" w:type="dxa"/>
            <w:tcMar>
              <w:top w:w="60" w:type="dxa"/>
              <w:left w:w="80" w:type="dxa"/>
              <w:bottom w:w="60" w:type="dxa"/>
              <w:right w:w="80" w:type="dxa"/>
            </w:tcMar>
          </w:tcPr>
          <w:p w14:paraId="175196DF" w14:textId="77777777" w:rsidR="00253979" w:rsidRPr="000370A9" w:rsidRDefault="000370A9" w:rsidP="000370A9">
            <w:pPr>
              <w:spacing w:line="360" w:lineRule="auto"/>
              <w:rPr>
                <w:sz w:val="24"/>
                <w:szCs w:val="24"/>
              </w:rPr>
            </w:pPr>
            <w:r>
              <w:rPr>
                <w:rFonts w:eastAsia="Calibri"/>
                <w:sz w:val="24"/>
                <w:szCs w:val="24"/>
              </w:rPr>
              <w:t>6</w:t>
            </w:r>
          </w:p>
        </w:tc>
        <w:tc>
          <w:tcPr>
            <w:tcW w:w="1300" w:type="dxa"/>
            <w:tcMar>
              <w:top w:w="60" w:type="dxa"/>
              <w:left w:w="80" w:type="dxa"/>
              <w:bottom w:w="60" w:type="dxa"/>
              <w:right w:w="80" w:type="dxa"/>
            </w:tcMar>
          </w:tcPr>
          <w:p w14:paraId="3015B391" w14:textId="77777777" w:rsidR="00253979" w:rsidRPr="000370A9" w:rsidRDefault="000370A9" w:rsidP="000370A9">
            <w:pPr>
              <w:spacing w:line="360" w:lineRule="auto"/>
              <w:rPr>
                <w:sz w:val="24"/>
                <w:szCs w:val="24"/>
              </w:rPr>
            </w:pPr>
            <w:r>
              <w:rPr>
                <w:rFonts w:eastAsia="Calibri"/>
                <w:sz w:val="24"/>
                <w:szCs w:val="24"/>
              </w:rPr>
              <w:t xml:space="preserve">Karlan and Valdivia (2011)</w:t>
            </w:r>
          </w:p>
        </w:tc>
        <w:tc>
          <w:tcPr>
            <w:tcW w:w="950" w:type="dxa"/>
            <w:tcMar>
              <w:top w:w="60" w:type="dxa"/>
              <w:left w:w="80" w:type="dxa"/>
              <w:bottom w:w="60" w:type="dxa"/>
              <w:right w:w="80" w:type="dxa"/>
            </w:tcMar>
          </w:tcPr>
          <w:p w14:paraId="4B969140" w14:textId="77777777" w:rsidR="00253979" w:rsidRPr="000370A9" w:rsidRDefault="000370A9" w:rsidP="000370A9">
            <w:pPr>
              <w:spacing w:line="360" w:lineRule="auto"/>
              <w:rPr>
                <w:sz w:val="24"/>
                <w:szCs w:val="24"/>
              </w:rPr>
            </w:pPr>
            <w:r>
              <w:rPr>
                <w:rFonts w:eastAsia="Calibri"/>
                <w:sz w:val="24"/>
                <w:szCs w:val="24"/>
              </w:rPr>
              <w:t>Peru</w:t>
            </w:r>
          </w:p>
        </w:tc>
        <w:tc>
          <w:tcPr>
            <w:tcW w:w="1300" w:type="dxa"/>
            <w:tcMar>
              <w:top w:w="60" w:type="dxa"/>
              <w:left w:w="80" w:type="dxa"/>
              <w:bottom w:w="60" w:type="dxa"/>
              <w:right w:w="80" w:type="dxa"/>
            </w:tcMar>
          </w:tcPr>
          <w:p w14:paraId="6A4F1A57" w14:textId="77777777" w:rsidR="00253979" w:rsidRPr="000370A9" w:rsidRDefault="000370A9" w:rsidP="000370A9">
            <w:pPr>
              <w:spacing w:line="360" w:lineRule="auto"/>
              <w:rPr>
                <w:sz w:val="24"/>
                <w:szCs w:val="24"/>
              </w:rPr>
            </w:pPr>
            <w:r>
              <w:rPr>
                <w:rFonts w:eastAsia="Calibri"/>
                <w:sz w:val="24"/>
                <w:szCs w:val="24"/>
              </w:rPr>
              <w:t>BDS (business training) added to group microfinance lending</w:t>
            </w:r>
          </w:p>
        </w:tc>
        <w:tc>
          <w:tcPr>
            <w:tcW w:w="1150" w:type="dxa"/>
            <w:tcMar>
              <w:top w:w="60" w:type="dxa"/>
              <w:left w:w="80" w:type="dxa"/>
              <w:bottom w:w="60" w:type="dxa"/>
              <w:right w:w="80" w:type="dxa"/>
            </w:tcMar>
          </w:tcPr>
          <w:p w14:paraId="77B2707E" w14:textId="77777777" w:rsidR="00253979" w:rsidRPr="000370A9" w:rsidRDefault="000370A9" w:rsidP="000370A9">
            <w:pPr>
              <w:spacing w:line="360" w:lineRule="auto"/>
              <w:rPr>
                <w:sz w:val="24"/>
                <w:szCs w:val="24"/>
              </w:rPr>
            </w:pPr>
            <w:r>
              <w:rPr>
                <w:rFonts w:eastAsia="Calibri"/>
                <w:sz w:val="24"/>
                <w:szCs w:val="24"/>
              </w:rPr>
              <w:t>Human Capital Theory</w:t>
            </w:r>
          </w:p>
        </w:tc>
        <w:tc>
          <w:tcPr>
            <w:tcW w:w="950" w:type="dxa"/>
            <w:tcMar>
              <w:top w:w="60" w:type="dxa"/>
              <w:left w:w="80" w:type="dxa"/>
              <w:bottom w:w="60" w:type="dxa"/>
              <w:right w:w="80" w:type="dxa"/>
            </w:tcMar>
          </w:tcPr>
          <w:p w14:paraId="13927967" w14:textId="77777777" w:rsidR="00253979" w:rsidRPr="000370A9" w:rsidRDefault="000370A9" w:rsidP="000370A9">
            <w:pPr>
              <w:spacing w:line="360" w:lineRule="auto"/>
              <w:rPr>
                <w:sz w:val="24"/>
                <w:szCs w:val="24"/>
              </w:rPr>
            </w:pPr>
            <w:r>
              <w:rPr>
                <w:rFonts w:eastAsia="Calibri"/>
                <w:sz w:val="24"/>
                <w:szCs w:val="24"/>
              </w:rPr>
              <w:t>Randomised controlled trial</w:t>
            </w:r>
          </w:p>
        </w:tc>
        <w:tc>
          <w:tcPr>
            <w:tcW w:w="2700" w:type="dxa"/>
            <w:tcMar>
              <w:top w:w="60" w:type="dxa"/>
              <w:left w:w="80" w:type="dxa"/>
              <w:bottom w:w="60" w:type="dxa"/>
              <w:right w:w="80" w:type="dxa"/>
            </w:tcMar>
          </w:tcPr>
          <w:p w14:paraId="75481FFC" w14:textId="77777777" w:rsidR="00253979" w:rsidRPr="000370A9" w:rsidRDefault="000370A9" w:rsidP="000370A9">
            <w:pPr>
              <w:spacing w:line="360" w:lineRule="auto"/>
              <w:rPr>
                <w:sz w:val="24"/>
                <w:szCs w:val="24"/>
              </w:rPr>
            </w:pPr>
            <w:r>
              <w:rPr>
                <w:rFonts w:eastAsia="Calibri"/>
                <w:sz w:val="24"/>
                <w:szCs w:val="24"/>
              </w:rPr>
              <w:t>Business training improved business knowledge and practices for female microfinance clients, with modest effects on revenues/profits.</w:t>
            </w:r>
          </w:p>
        </w:tc>
        <w:tc>
          <w:tcPr>
            <w:tcW w:w="2400" w:type="dxa"/>
            <w:tcMar>
              <w:top w:w="60" w:type="dxa"/>
              <w:left w:w="80" w:type="dxa"/>
              <w:bottom w:w="60" w:type="dxa"/>
              <w:right w:w="80" w:type="dxa"/>
            </w:tcMar>
          </w:tcPr>
          <w:p w14:paraId="6AFFEFE5" w14:textId="77777777" w:rsidR="00253979" w:rsidRPr="000370A9" w:rsidRDefault="000370A9" w:rsidP="000370A9">
            <w:pPr>
              <w:spacing w:line="360" w:lineRule="auto"/>
              <w:rPr>
                <w:sz w:val="24"/>
                <w:szCs w:val="24"/>
              </w:rPr>
            </w:pPr>
            <w:r>
              <w:rPr>
                <w:rFonts w:eastAsia="Calibri"/>
                <w:sz w:val="24"/>
                <w:szCs w:val="24"/>
              </w:rPr>
              <w:t>Limited evidence on long-run, rural-specific business growth outcomes when training is bundled with credit.</w:t>
            </w:r>
          </w:p>
        </w:tc>
        <w:tc>
          <w:tcPr>
            <w:tcW w:w="550" w:type="dxa"/>
            <w:tcMar>
              <w:top w:w="60" w:type="dxa"/>
              <w:left w:w="80" w:type="dxa"/>
              <w:bottom w:w="60" w:type="dxa"/>
              <w:right w:w="80" w:type="dxa"/>
            </w:tcMar>
          </w:tcPr>
          <w:p w14:paraId="77A30D03" w14:textId="77777777" w:rsidR="00253979" w:rsidRPr="000370A9" w:rsidRDefault="000370A9" w:rsidP="000370A9">
            <w:pPr>
              <w:spacing w:line="360" w:lineRule="auto"/>
              <w:rPr>
                <w:sz w:val="24"/>
                <w:szCs w:val="24"/>
              </w:rPr>
            </w:pPr>
            <w:r>
              <w:rPr>
                <w:rFonts w:eastAsia="Calibri"/>
                <w:sz w:val="24"/>
                <w:szCs w:val="24"/>
              </w:rPr>
              <w:t>4/5</w:t>
            </w:r>
          </w:p>
        </w:tc>
        <w:tc>
          <w:tcPr>
            <w:tcW w:w="1150" w:type="dxa"/>
            <w:tcMar>
              <w:top w:w="60" w:type="dxa"/>
              <w:left w:w="80" w:type="dxa"/>
              <w:bottom w:w="60" w:type="dxa"/>
              <w:right w:w="80" w:type="dxa"/>
            </w:tcMar>
          </w:tcPr>
          <w:p w14:paraId="453730CA" w14:textId="77777777" w:rsidR="00253979" w:rsidRPr="000370A9" w:rsidRDefault="000370A9" w:rsidP="000370A9">
            <w:pPr>
              <w:spacing w:line="360" w:lineRule="auto"/>
              <w:rPr>
                <w:sz w:val="24"/>
                <w:szCs w:val="24"/>
              </w:rPr>
            </w:pPr>
            <w:r>
              <w:rPr>
                <w:rFonts w:eastAsia="Calibri"/>
                <w:sz w:val="24"/>
                <w:szCs w:val="24"/>
              </w:rPr>
              <w:t>Business training; group lending; knowledge transfer</w:t>
            </w:r>
          </w:p>
        </w:tc>
        <w:tc>
          <w:tcPr>
            <w:tcW w:w="1150" w:type="dxa"/>
            <w:tcMar>
              <w:top w:w="60" w:type="dxa"/>
              <w:left w:w="80" w:type="dxa"/>
              <w:bottom w:w="60" w:type="dxa"/>
              <w:right w:w="80" w:type="dxa"/>
            </w:tcMar>
          </w:tcPr>
          <w:p w14:paraId="7157833B" w14:textId="77777777" w:rsidR="00253979" w:rsidRPr="000370A9" w:rsidRDefault="000370A9" w:rsidP="000370A9">
            <w:pPr>
              <w:spacing w:line="360" w:lineRule="auto"/>
              <w:rPr>
                <w:sz w:val="24"/>
                <w:szCs w:val="24"/>
              </w:rPr>
            </w:pPr>
            <w:r>
              <w:rPr>
                <w:rFonts w:eastAsia="Calibri"/>
                <w:sz w:val="24"/>
                <w:szCs w:val="24"/>
              </w:rPr>
              <w:t>Non-financial training complements group-based credit delivery</w:t>
            </w:r>
          </w:p>
        </w:tc>
        <w:tc>
          <w:tcPr>
            <w:tcW w:w="1150" w:type="dxa"/>
            <w:tcMar>
              <w:top w:w="60" w:type="dxa"/>
              <w:left w:w="80" w:type="dxa"/>
              <w:bottom w:w="60" w:type="dxa"/>
              <w:right w:w="80" w:type="dxa"/>
            </w:tcMar>
          </w:tcPr>
          <w:p w14:paraId="45526412" w14:textId="77777777" w:rsidR="00253979" w:rsidRPr="000370A9" w:rsidRDefault="000370A9" w:rsidP="000370A9">
            <w:pPr>
              <w:spacing w:line="360" w:lineRule="auto"/>
              <w:rPr>
                <w:sz w:val="24"/>
                <w:szCs w:val="24"/>
              </w:rPr>
            </w:pPr>
            <w:r>
              <w:rPr>
                <w:rFonts w:eastAsia="Calibri"/>
                <w:sz w:val="24"/>
                <w:szCs w:val="24"/>
              </w:rPr>
              <w:t>Bundled training improves practices more than revenue in the short run</w:t>
            </w:r>
          </w:p>
        </w:tc>
      </w:tr>
    </w:tbl>
    <w:p w14:paraId="1D162F04" w14:textId="77777777" w:rsidR="00253979" w:rsidRPr="000370A9" w:rsidRDefault="00253979" w:rsidP="000370A9">
      <w:pPr>
        <w:spacing w:line="360" w:lineRule="auto"/>
        <w:rPr>
          <w:sz w:val="24"/>
          <w:szCs w:val="24"/>
        </w:rPr>
        <w:sectPr w:rsidR="00253979" w:rsidRPr="000370A9">
          <w:pgSz w:w="16838" w:h="11906"/>
          <w:pgMar w:top="1080" w:right="720" w:bottom="1080" w:left="720" w:header="708" w:footer="708" w:gutter="0"/>
          <w:cols w:space="720"/>
          <w:docGrid w:linePitch="360"/>
        </w:sectPr>
      </w:pPr>
    </w:p>
    <w:p w14:paraId="771663F9" w14:textId="77777777" w:rsidR="00253979" w:rsidRPr="000370A9" w:rsidRDefault="000370A9" w:rsidP="000370A9">
      <w:pPr>
        <w:pStyle w:val="Heading2"/>
        <w:spacing w:before="280" w:after="160" w:line="360" w:lineRule="auto"/>
        <w:rPr>
          <w:sz w:val="24"/>
          <w:szCs w:val="24"/>
        </w:rPr>
      </w:pPr>
      <w:r>
        <w:rPr>
          <w:rFonts w:eastAsia="Calibri"/>
          <w:b/>
          <w:bCs/>
          <w:sz w:val="24"/>
          <w:szCs w:val="24"/>
        </w:rPr>
        <w:lastRenderedPageBreak/>
        <w:t>2.10 Ethical Considerations</w:t>
      </w:r>
    </w:p>
    <w:p w14:paraId="31063827" w14:textId="77777777" w:rsidR="00253979" w:rsidRPr="000370A9" w:rsidRDefault="000370A9" w:rsidP="000370A9">
      <w:pPr>
        <w:spacing w:after="200" w:line="360" w:lineRule="auto"/>
        <w:jc w:val="both"/>
        <w:rPr>
          <w:sz w:val="24"/>
          <w:szCs w:val="24"/>
        </w:rPr>
      </w:pPr>
      <w:r>
        <w:rPr>
          <w:rFonts w:eastAsia="Calibri"/>
          <w:sz w:val="24"/>
          <w:szCs w:val="24"/>
        </w:rPr>
        <w:t>As this study uses only publicly available, peer-reviewed literature, formal ethical clearance was not required. However, standard ethical principles for secondary research were strictly followed: all sources were interpreted objectively, cited accurately using the Harvard system, and properly referenced to prevent plagiarism.</w:t>
      </w:r>
    </w:p>
    <w:p w14:paraId="56A4EAD6" w14:textId="77777777" w:rsidR="00253979" w:rsidRPr="000370A9" w:rsidRDefault="000370A9" w:rsidP="000370A9">
      <w:pPr>
        <w:pStyle w:val="Heading2"/>
        <w:spacing w:before="280" w:after="160" w:line="360" w:lineRule="auto"/>
        <w:rPr>
          <w:sz w:val="24"/>
          <w:szCs w:val="24"/>
        </w:rPr>
      </w:pPr>
      <w:r>
        <w:rPr>
          <w:rFonts w:eastAsia="Calibri"/>
          <w:b/>
          <w:bCs/>
          <w:sz w:val="24"/>
          <w:szCs w:val="24"/>
        </w:rPr>
        <w:t>2.11 Limitations of the Methodology</w:t>
      </w:r>
    </w:p>
    <w:p w14:paraId="0F06BC6C" w14:textId="7F5DDE14" w:rsidR="00791097" w:rsidRPr="00C274C0" w:rsidRDefault="00791097" w:rsidP="00791097">
      <w:pPr>
        <w:spacing w:after="100" w:line="300" w:lineRule="auto"/>
        <w:rPr>
          <w:sz w:val="24"/>
          <w:szCs w:val="24"/>
        </w:rPr>
      </w:pPr>
      <w:r>
        <w:rPr>
          <w:sz w:val="24"/>
          <w:szCs w:val="24"/>
        </w:rPr>
        <w:t xml:space="preserve">This review only included articles published in English. As a result, some important studies published in other languages may have been excluded. Another limitation is that only open-access, peer-reviewed articles were used, which could affect how comprehensive the review is. In addition, because the review uses qualitative synthesis rather than meta-analysis, it is not able to statistically combine effect sizes across studies. </w:t>
      </w:r>
    </w:p>
    <w:p w14:paraId="72DBA949" w14:textId="3FC659E4" w:rsidR="00253979" w:rsidRPr="000370A9" w:rsidRDefault="000370A9" w:rsidP="00791097">
      <w:pPr>
        <w:spacing w:line="360" w:lineRule="auto"/>
        <w:rPr>
          <w:sz w:val="24"/>
          <w:szCs w:val="24"/>
        </w:rPr>
      </w:pPr>
      <w:r>
        <w:rPr>
          <w:rFonts w:eastAsia="Calibri"/>
          <w:b/>
          <w:bCs/>
          <w:sz w:val="24"/>
          <w:szCs w:val="24"/>
        </w:rPr>
        <w:t>3. Literature Review</w:t>
      </w:r>
    </w:p>
    <w:p w14:paraId="6FFA4ED3" w14:textId="77777777" w:rsidR="00253979" w:rsidRPr="000370A9" w:rsidRDefault="000370A9" w:rsidP="000370A9">
      <w:pPr>
        <w:spacing w:after="200" w:line="360" w:lineRule="auto"/>
        <w:jc w:val="both"/>
        <w:rPr>
          <w:sz w:val="24"/>
          <w:szCs w:val="24"/>
        </w:rPr>
      </w:pPr>
      <w:r>
        <w:rPr>
          <w:rFonts w:eastAsia="Calibri"/>
          <w:sz w:val="24"/>
          <w:szCs w:val="24"/>
        </w:rPr>
        <w:t>This chapter reviews the existing research on microcredit, Business Development Services, small business, rural entrepreneurship, socio-economic growth, and poverty reduction. Its purpose is to synthesise previous studies and the main theories explaining how microcredit and BDS relate to long-term, sustainable rural entrepreneurship. The chapter defines microcredit, rural entrepreneurship, and BDS in practice, and focuses on how they help people start and grow businesses, reduce poverty, and improve socio-economic development. In comparing earlier findings, the chapter does not simply report where researchers disagree; where the evidence allows, it also examines why their conclusions diverge, before setting out the research gap that this study addresses.</w:t>
      </w:r>
    </w:p>
    <w:p w14:paraId="70AEF7D9" w14:textId="77777777" w:rsidR="00253979" w:rsidRPr="000370A9" w:rsidRDefault="000370A9" w:rsidP="000370A9">
      <w:pPr>
        <w:pStyle w:val="Heading2"/>
        <w:spacing w:before="280" w:after="160" w:line="360" w:lineRule="auto"/>
        <w:rPr>
          <w:sz w:val="24"/>
          <w:szCs w:val="24"/>
        </w:rPr>
      </w:pPr>
      <w:r>
        <w:rPr>
          <w:rFonts w:eastAsia="Calibri"/>
          <w:b/>
          <w:bCs/>
          <w:sz w:val="24"/>
          <w:szCs w:val="24"/>
        </w:rPr>
        <w:t>3.1 Microcredit and Rural Entrepreneurship</w:t>
      </w:r>
    </w:p>
    <w:p w14:paraId="03674223" w14:textId="77777777" w:rsidR="00253979" w:rsidRPr="000370A9" w:rsidRDefault="000370A9" w:rsidP="000370A9">
      <w:pPr>
        <w:spacing w:after="200" w:line="360" w:lineRule="auto"/>
        <w:jc w:val="both"/>
        <w:rPr>
          <w:sz w:val="24"/>
          <w:szCs w:val="24"/>
        </w:rPr>
      </w:pPr>
      <w:r>
        <w:rPr>
          <w:rFonts w:eastAsia="Calibri"/>
          <w:sz w:val="24"/>
          <w:szCs w:val="24"/>
        </w:rPr>
        <w:t xml:space="preserve">Microcredit provides small loans that give people access to financial resources, allowing them to start businesses, increase profits, and expand their enterprises, particularly in developing economies where access to formal finance is limited (Chliova et al., 2015). However, Wickramasinghe and Fernando (2017) find that some low-income borrowers use their loans to cope with household risks rather than for the business investments they were intended for.</w:t>
      </w:r>
    </w:p>
    <w:p w14:paraId="2B60E766" w14:textId="3C429064" w:rsidR="00253979" w:rsidRPr="000370A9" w:rsidRDefault="000370A9" w:rsidP="000370A9">
      <w:pPr>
        <w:spacing w:after="200" w:line="360" w:lineRule="auto"/>
        <w:jc w:val="both"/>
        <w:rPr>
          <w:sz w:val="24"/>
          <w:szCs w:val="24"/>
        </w:rPr>
      </w:pPr>
      <w:r>
        <w:rPr>
          <w:rFonts w:eastAsia="Calibri"/>
          <w:sz w:val="24"/>
          <w:szCs w:val="24"/>
        </w:rPr>
        <w:t xml:space="preserve">These two findings are not necessarily contradictory; they point to different institutional and social conditions rather than to a flaw in microcredit itself. Where borrowers face high household vulnerability, such as illness, seasonal income shocks, or the absence of formal </w:t>
        <w:lastRenderedPageBreak/>
        <w:t xml:space="preserve">insurance and safety nets, diverting a loan towards consumption smoothing is a rational response to risk rather than misuse of the product (Wickramasinghe and Fernando, 2017; Ault, 2016). By contrast, where lending is paired with more stable household conditions and clearer business intent, as in Prathap and Sreelakshmi's (2021) study of rural women in South India, microcredit is more likely to support economic independence, helping women start businesses, earn their own income, and save for their families' future needs.</w:t>
      </w:r>
      <w:r>
        <w:t xml:space="preserve"> </w:t>
      </w:r>
      <w:r>
        <w:rPr>
          <w:sz w:val="24"/>
          <w:szCs w:val="24"/>
        </w:rPr>
        <w:t>This enables rural entrepreneurs to turn initial business ideas into ongoing operations (Khan and Khan, 2016)</w:t>
      </w:r>
      <w:r>
        <w:rPr>
          <w:rFonts w:eastAsia="Calibri"/>
          <w:sz w:val="24"/>
          <w:szCs w:val="24"/>
        </w:rPr>
        <w:t xml:space="preserve">. The divergence between these studies therefore appears to reflect differences in household vulnerability and the availability of complementary risk-management mechanisms, rather than a simple contrast between ‘success’ and ‘failure’ cases.</w:t>
      </w:r>
    </w:p>
    <w:p w14:paraId="3F99EDC0" w14:textId="77777777" w:rsidR="00253979" w:rsidRPr="000370A9" w:rsidRDefault="000370A9" w:rsidP="000370A9">
      <w:pPr>
        <w:spacing w:after="200" w:line="360" w:lineRule="auto"/>
        <w:jc w:val="both"/>
        <w:rPr>
          <w:sz w:val="24"/>
          <w:szCs w:val="24"/>
        </w:rPr>
      </w:pPr>
      <w:r>
        <w:rPr>
          <w:rFonts w:eastAsia="Calibri"/>
          <w:sz w:val="24"/>
          <w:szCs w:val="24"/>
        </w:rPr>
        <w:t>A similar pattern of underlying, explainable divergence appears in research on gender. Debnath et al. (2019) find that microcredit alone does not guarantee successful entrepreneurship or women's empowerment in rural Bangladesh. Many women have limited control over the loans they receive because male family members often decide how the money is used, and the pressure of regular repayments can increase women's financial stress and workload. This outcome is better explained by pre-existing intra-household bargaining norms and social structures than by any inherent design fault in microcredit: evidence from the same context shows that microcredit improves women's involvement in household decisions and legal awareness, even as its effect on mobility, income control, and independent purchasing decisions remains limited or mixed (Debnath et al., 2019). In other words, the loan product interacts with, rather than overrides, existing social institutions.</w:t>
      </w:r>
    </w:p>
    <w:p w14:paraId="0F42B359" w14:textId="77777777" w:rsidR="00253979" w:rsidRPr="000370A9" w:rsidRDefault="000370A9" w:rsidP="000370A9">
      <w:pPr>
        <w:spacing w:after="200" w:line="360" w:lineRule="auto"/>
        <w:jc w:val="both"/>
        <w:rPr>
          <w:sz w:val="24"/>
          <w:szCs w:val="24"/>
        </w:rPr>
      </w:pPr>
      <w:r>
        <w:rPr>
          <w:rFonts w:eastAsia="Calibri"/>
          <w:sz w:val="24"/>
          <w:szCs w:val="24"/>
        </w:rPr>
        <w:t xml:space="preserve">Ashta et al. (2014) further show that poor lending assessments can create serious financial problems. When lending institutions extend loans without properly checking whether borrowers can repay them, vulnerable households can become trapped in cycles of debt, leading to financial hardship, stress, and family conflict. Institutional weaknesses in credit assessment, rather than the concept of microcredit itself, therefore appear to be the more proximate cause of debt-trap outcomes reported elsewhere in the literature.</w:t>
      </w:r>
    </w:p>
    <w:p w14:paraId="0CE71395" w14:textId="44083367" w:rsidR="00253979" w:rsidRPr="000370A9" w:rsidRDefault="00082D5E" w:rsidP="000370A9">
      <w:pPr>
        <w:spacing w:after="200" w:line="360" w:lineRule="auto"/>
        <w:jc w:val="both"/>
        <w:rPr>
          <w:sz w:val="24"/>
          <w:szCs w:val="24"/>
        </w:rPr>
      </w:pPr>
      <w:r>
        <w:rPr>
          <w:sz w:val="24"/>
          <w:szCs w:val="24"/>
        </w:rPr>
        <w:t>Taken together, empirical evidence highlights that while microcredit provides vital financial access to support rural entrepreneurship, its overall effectiveness depends heavily on institutional lending practices and household-level socio-economic contexts at least as much as on the loan itself</w:t>
      </w:r>
      <w:r>
        <w:rPr>
          <w:rFonts w:eastAsia="Calibri"/>
          <w:sz w:val="24"/>
          <w:szCs w:val="24"/>
        </w:rPr>
        <w:t xml:space="preserve">. Financial capital alone is not enough to ensure sustainable business development; entrepreneurial success also depends on business knowledge, management </w:t>
        <w:lastRenderedPageBreak/>
        <w:t xml:space="preserve">ability, institutional support, and market access (Chliova et al., 2015; Debnath et al., 2019; Dalla Pellegrina et al., 2021).</w:t>
      </w:r>
    </w:p>
    <w:p w14:paraId="17E70217" w14:textId="77777777" w:rsidR="00253979" w:rsidRPr="000370A9" w:rsidRDefault="000370A9" w:rsidP="000370A9">
      <w:pPr>
        <w:pStyle w:val="Heading2"/>
        <w:spacing w:before="280" w:after="160" w:line="360" w:lineRule="auto"/>
        <w:rPr>
          <w:sz w:val="24"/>
          <w:szCs w:val="24"/>
        </w:rPr>
      </w:pPr>
      <w:r>
        <w:rPr>
          <w:rFonts w:eastAsia="Calibri"/>
          <w:b/>
          <w:bCs/>
          <w:sz w:val="24"/>
          <w:szCs w:val="24"/>
        </w:rPr>
        <w:t>3.2 Microcredit, Socio-Economic Growth and Poverty Reduction</w:t>
      </w:r>
    </w:p>
    <w:p w14:paraId="1447E05C" w14:textId="77777777" w:rsidR="00253979" w:rsidRPr="000370A9" w:rsidRDefault="000370A9" w:rsidP="000370A9">
      <w:pPr>
        <w:spacing w:after="200" w:line="360" w:lineRule="auto"/>
        <w:jc w:val="both"/>
        <w:rPr>
          <w:sz w:val="24"/>
          <w:szCs w:val="24"/>
        </w:rPr>
      </w:pPr>
      <w:r>
        <w:rPr>
          <w:rFonts w:eastAsia="Calibri"/>
          <w:sz w:val="24"/>
          <w:szCs w:val="24"/>
        </w:rPr>
        <w:t>Microcredit is widely seen as an effective way to improve financial inclusion, reduce poverty, and help low-income individuals participate in income-generating activities (Ault, 2016; Hani et al., 2024). However, researchers argue that access to credit alone does not guarantee better business performance or higher living standards; the impact of microcredit depends on the economic environment, the characteristics of the borrower, and the support available alongside the loan (Abeysekera, 2020; Fu and Krauss, 2024).</w:t>
      </w:r>
    </w:p>
    <w:p w14:paraId="2476DF26" w14:textId="77777777" w:rsidR="00253979" w:rsidRPr="000370A9" w:rsidRDefault="000370A9" w:rsidP="000370A9">
      <w:pPr>
        <w:spacing w:after="200" w:line="360" w:lineRule="auto"/>
        <w:jc w:val="both"/>
        <w:rPr>
          <w:sz w:val="24"/>
          <w:szCs w:val="24"/>
        </w:rPr>
      </w:pPr>
      <w:r>
        <w:rPr>
          <w:rFonts w:eastAsia="Calibri"/>
          <w:sz w:val="24"/>
          <w:szCs w:val="24"/>
        </w:rPr>
        <w:t xml:space="preserve">The literature here contains a genuine, and instructive, disagreement about whether microcredit tends to alleviate poverty or, in some settings, trap households in debt. Yin et al. (2023) find that microcredit can create jobs and improve business performance when loans are supported by government subsidies, and Fu and Krauss (2024) similarly report that businesses in strong, active markets are more likely to benefit from access to credit. Set against this, Musah (2025) finds that many small business owners struggle with high interest rates, fixed repayment schedules, limited financial knowledge, and unstable business conditions, so that loan repayments reduce the money available for investment and, in some cases, trap borrowers in a cycle of debt. Goldszmidt et al. (2022) similarly find that although microcredit may increase business investment or household spending in the short term, it rarely leads to lasting improvements in income or helps informal businesses become formal.</w:t>
      </w:r>
    </w:p>
    <w:p w14:paraId="7F5B7158" w14:textId="77777777" w:rsidR="00253979" w:rsidRPr="000370A9" w:rsidRDefault="000370A9" w:rsidP="000370A9">
      <w:pPr>
        <w:spacing w:after="200" w:line="360" w:lineRule="auto"/>
        <w:jc w:val="both"/>
        <w:rPr>
          <w:sz w:val="24"/>
          <w:szCs w:val="24"/>
        </w:rPr>
      </w:pPr>
      <w:r>
        <w:rPr>
          <w:rFonts w:eastAsia="Calibri"/>
          <w:sz w:val="24"/>
          <w:szCs w:val="24"/>
        </w:rPr>
        <w:t xml:space="preserve">Rather than treating these as simply conflicting results, it is more useful to ask what separates the two sets of studies. The positive findings in Yin et al. (2023) and Fu and Krauss (2024) occur where credit is embedded within a stronger institutional environment, either through government subsidy or an already active local market, so that the loan is only one input among several favourable conditions. The negative or mixed findings in Musah (2025) and Goldszmidt et al. (2022) occur in more typical, unsubsidised microfinance settings, where saturated informal markets, seasonal agricultural risk, and weak complementary institutions leave borrowers exposed to the full cost of repayment without the market conditions needed to translate credit into sustained income growth. The discrepancy therefore appears to reflect institutional and market-level variation rather than an inconsistency in how microcredit itself functions; the same financial product produces different outcomes depending on the institutional weaknesses or strengths, and the social and economic context, surrounding it.</w:t>
      </w:r>
    </w:p>
    <w:p w14:paraId="7218342D" w14:textId="23D2EFBB" w:rsidR="00253979" w:rsidRPr="000370A9" w:rsidRDefault="000370A9" w:rsidP="000370A9">
      <w:pPr>
        <w:spacing w:after="200" w:line="360" w:lineRule="auto"/>
        <w:jc w:val="both"/>
        <w:rPr>
          <w:sz w:val="24"/>
          <w:szCs w:val="24"/>
        </w:rPr>
      </w:pPr>
      <w:r>
        <w:rPr>
          <w:rFonts w:eastAsia="Calibri"/>
          <w:sz w:val="24"/>
          <w:szCs w:val="24"/>
        </w:rPr>
        <w:lastRenderedPageBreak/>
        <w:t xml:space="preserve">Overall, the evidence suggests that the traditional microcredit model has important limits. Simply providing loans is unlikely to produce sustainable business growth or long-term poverty reduction unless borrowers also receive other forms of support, and unless the surrounding market and institutional environment is favourable. Lending institutions should therefore combine credit with financial education, business training, flexible repayment options, and digital financial services, to help borrowers manage and grow their businesses (Lwesya and Mwakalobo, 2023). </w:t>
      </w:r>
      <w:r>
        <w:rPr>
          <w:sz w:val="24"/>
          <w:szCs w:val="24"/>
        </w:rPr>
        <w:t>As noted in Section 1.4, this body of research focuses primarily on household and livelihood sustainability, tracking indicators such as income, spending, and debt burden rather than long-term enterprise survival</w:t>
      </w:r>
      <w:r>
        <w:t>.</w:t>
      </w:r>
    </w:p>
    <w:p w14:paraId="2596A241" w14:textId="77777777" w:rsidR="00253979" w:rsidRPr="000370A9" w:rsidRDefault="000370A9" w:rsidP="000370A9">
      <w:pPr>
        <w:pStyle w:val="Heading2"/>
        <w:spacing w:before="280" w:after="160" w:line="360" w:lineRule="auto"/>
        <w:rPr>
          <w:sz w:val="24"/>
          <w:szCs w:val="24"/>
        </w:rPr>
      </w:pPr>
      <w:r>
        <w:rPr>
          <w:rFonts w:eastAsia="Calibri"/>
          <w:b/>
          <w:bCs/>
          <w:sz w:val="24"/>
          <w:szCs w:val="24"/>
        </w:rPr>
        <w:t>3.3 Business Development Services and Rural Entrepreneurship</w:t>
      </w:r>
    </w:p>
    <w:p w14:paraId="1EDB4D7D" w14:textId="77777777" w:rsidR="00253979" w:rsidRPr="000370A9" w:rsidRDefault="000370A9" w:rsidP="000370A9">
      <w:pPr>
        <w:spacing w:after="200" w:line="360" w:lineRule="auto"/>
        <w:jc w:val="both"/>
        <w:rPr>
          <w:sz w:val="24"/>
          <w:szCs w:val="24"/>
        </w:rPr>
      </w:pPr>
      <w:r>
        <w:rPr>
          <w:rFonts w:eastAsia="Calibri"/>
          <w:sz w:val="24"/>
          <w:szCs w:val="24"/>
        </w:rPr>
        <w:t>The relationship between Business Development Services (BDS) and rural entrepreneurship shows that financial capital alone is rarely enough to achieve sustainable business growth. Some studies argue that access to credit by itself has limited impact on reducing rural poverty, and that financial services need to be paired with non-financial support, such as practical technical training, leadership mentoring, and stronger market and supply-chain links (Kazungu, 2023; McKague et al., 2017; Sievers and Vandenberg, 2007).</w:t>
      </w:r>
    </w:p>
    <w:p w14:paraId="5E387EE3" w14:textId="77777777" w:rsidR="00253979" w:rsidRPr="000370A9" w:rsidRDefault="000370A9" w:rsidP="000370A9">
      <w:pPr>
        <w:spacing w:after="200" w:line="360" w:lineRule="auto"/>
        <w:jc w:val="both"/>
        <w:rPr>
          <w:sz w:val="24"/>
          <w:szCs w:val="24"/>
        </w:rPr>
      </w:pPr>
      <w:r>
        <w:rPr>
          <w:rFonts w:eastAsia="Calibri"/>
          <w:sz w:val="24"/>
          <w:szCs w:val="24"/>
        </w:rPr>
        <w:t xml:space="preserve">One approach that reflects this combined model is social microfranchising (Kistruck et al., 2011). In rural areas where markets are underdeveloped and public institutions are weak, social microfranchising helps fill these institutional gaps by giving entrepreneurs proven business models, ongoing support, and market connections. This helps necessity-driven entrepreneurs build and sustain viable businesses despite difficult local conditions (McKague et al., 2017).</w:t>
      </w:r>
    </w:p>
    <w:p w14:paraId="3868B96F" w14:textId="77777777" w:rsidR="00253979" w:rsidRPr="000370A9" w:rsidRDefault="000370A9" w:rsidP="000370A9">
      <w:pPr>
        <w:spacing w:after="200" w:line="360" w:lineRule="auto"/>
        <w:jc w:val="both"/>
        <w:rPr>
          <w:sz w:val="24"/>
          <w:szCs w:val="24"/>
        </w:rPr>
      </w:pPr>
      <w:r>
        <w:rPr>
          <w:rFonts w:eastAsia="Calibri"/>
          <w:sz w:val="24"/>
          <w:szCs w:val="24"/>
        </w:rPr>
        <w:t>Although the value of combining financial and non-financial support is widely recognised, putting it into practice remains difficult. Delivering credit and training together often creates a heavy administrative burden for local service providers, while offering them separately can leave clients with fragmented and poorly coordinated services (Sievers and Vandenberg, 2007). General networking and training programmes also often fail to reach marginalised groups, because they do not properly address differences in language, literacy, and social exclusion (Kazungu, 2023).</w:t>
      </w:r>
    </w:p>
    <w:p w14:paraId="249EB18A" w14:textId="7ED23D6C" w:rsidR="00253979" w:rsidRPr="000370A9" w:rsidRDefault="00560D58" w:rsidP="000370A9">
      <w:pPr>
        <w:spacing w:after="200" w:line="360" w:lineRule="auto"/>
        <w:jc w:val="both"/>
        <w:rPr>
          <w:sz w:val="24"/>
          <w:szCs w:val="24"/>
        </w:rPr>
      </w:pPr>
      <w:r>
        <w:rPr>
          <w:sz w:val="24"/>
          <w:szCs w:val="24"/>
        </w:rPr>
        <w:t xml:space="preserve">Current research also faces a key limitation, as most studies focus on urban settings rather than rural contexts. For instance, traditional classroom-based training models often prove unsuitable for remote or mountainous regions, where high transport costs diminish the practical value of </w:t>
        <w:lastRenderedPageBreak/>
        <w:t xml:space="preserve">such support (Pangriya, 2023)</w:t>
      </w:r>
      <w:r>
        <w:t>.</w:t>
      </w:r>
      <w:r>
        <w:rPr>
          <w:rFonts w:eastAsia="Calibri"/>
          <w:sz w:val="24"/>
          <w:szCs w:val="24"/>
        </w:rPr>
        <w:t xml:space="preserve"> Most studies also rely on short-term evidence and give little attention to long-term outcomes, such as business sustainability and household asset accumulation (Suzuki and Igei, 2017). Together, these studies show that Business Development Services strengthen entrepreneurial ability by improving knowledge, management skills, and market access, primarily supporting business-level rather than household-level sustainability as defined in Section 1.4, though implementation challenges and contextual differences continue to affect their long-term effectiveness (Kazungu, 2023; Suzuki and Igei, 2017).</w:t>
      </w:r>
    </w:p>
    <w:p w14:paraId="770DC948" w14:textId="77777777" w:rsidR="00253979" w:rsidRPr="000370A9" w:rsidRDefault="000370A9" w:rsidP="000370A9">
      <w:pPr>
        <w:pStyle w:val="Heading2"/>
        <w:spacing w:before="280" w:after="160" w:line="360" w:lineRule="auto"/>
        <w:rPr>
          <w:sz w:val="24"/>
          <w:szCs w:val="24"/>
        </w:rPr>
      </w:pPr>
      <w:r>
        <w:rPr>
          <w:rFonts w:eastAsia="Calibri"/>
          <w:b/>
          <w:bCs/>
          <w:sz w:val="24"/>
          <w:szCs w:val="24"/>
        </w:rPr>
        <w:t>3.4 Microcredit Combined with BDS and Rural Self-Employment</w:t>
      </w:r>
    </w:p>
    <w:p w14:paraId="66EFBA4D" w14:textId="77777777" w:rsidR="00253979" w:rsidRPr="000370A9" w:rsidRDefault="000370A9" w:rsidP="000370A9">
      <w:pPr>
        <w:spacing w:after="200" w:line="360" w:lineRule="auto"/>
        <w:jc w:val="both"/>
        <w:rPr>
          <w:sz w:val="24"/>
          <w:szCs w:val="24"/>
        </w:rPr>
      </w:pPr>
      <w:r>
        <w:rPr>
          <w:rFonts w:eastAsia="Calibri"/>
          <w:sz w:val="24"/>
          <w:szCs w:val="24"/>
        </w:rPr>
        <w:t xml:space="preserve">Combining microcredit with non-financial Business Development Services is increasingly seen as a more effective way to support rural entrepreneurship than credit alone (Lensink et al., 2018; Karlan and Valdivia, 2011). Access to finance is important for starting a business, but financial capital by itself is often not enough to enable sustainable business growth among low-income entrepreneurs, particularly women in resource-limited rural areas (Abeysekera, 2020; Bernard, Low and Khin, 2016; Khanam et al., 2018). Many borrowers lack the business knowledge, technical skills, and market connections needed to turn loans into profitable enterprises. In this context, financial literacy, entrepreneurship training, vocational skills development, and market linkage programmes become important for strengthening borrowers' ability to manage and grow their businesses.</w:t>
      </w:r>
    </w:p>
    <w:p w14:paraId="15CB1296" w14:textId="2153116C" w:rsidR="00253979" w:rsidRPr="000370A9" w:rsidRDefault="00560D58" w:rsidP="000370A9">
      <w:pPr>
        <w:spacing w:after="200" w:line="360" w:lineRule="auto"/>
        <w:jc w:val="both"/>
        <w:rPr>
          <w:sz w:val="24"/>
          <w:szCs w:val="24"/>
        </w:rPr>
      </w:pPr>
      <w:r>
        <w:rPr>
          <w:sz w:val="24"/>
          <w:szCs w:val="24"/>
        </w:rPr>
        <w:t xml:space="preserve">To address these capability gaps, MFIs often implement a ‘credit-plus’ model that pairs financial loans with targeted business support</w:t>
      </w:r>
      <w:r>
        <w:t xml:space="preserve"> </w:t>
      </w:r>
      <w:r>
        <w:rPr>
          <w:rFonts w:eastAsia="Calibri"/>
          <w:sz w:val="24"/>
          <w:szCs w:val="24"/>
        </w:rPr>
        <w:t xml:space="preserve">through individual mentoring, group-based training, and regular meetings during joint liability lending sessions (Abeysekera, 2020; Bernard, Low and Khin, 2016). These group meetings offer a practical, low-cost way to deliver training while also supporting peer learning and accountability. Research shows that this combined approach can improve business performance through higher sales, higher profits, and stronger entrepreneurial abilities. At the institutional level, MFIs also benefit from better loan repayment, higher client retention, and a larger savings base, suggesting that financial and non-financial services can create value for both sides (Abeysekera, 2020; Bernard, Low and Khin, 2016; Khanam et al., 2018).</w:t>
      </w:r>
    </w:p>
    <w:p w14:paraId="2A94CC93" w14:textId="77777777" w:rsidR="00253979" w:rsidRPr="000370A9" w:rsidRDefault="000370A9" w:rsidP="000370A9">
      <w:pPr>
        <w:spacing w:after="200" w:line="360" w:lineRule="auto"/>
        <w:jc w:val="both"/>
        <w:rPr>
          <w:sz w:val="24"/>
          <w:szCs w:val="24"/>
        </w:rPr>
      </w:pPr>
      <w:r>
        <w:rPr>
          <w:rFonts w:eastAsia="Calibri"/>
          <w:sz w:val="24"/>
          <w:szCs w:val="24"/>
        </w:rPr>
        <w:t xml:space="preserve">However, the credit-plus approach does not always work equally well everywhere. While many studies report positive outcomes, these benefits often depend on the quality, relevance, and consistency of the support provided. In practice, many MFIs struggle to deliver effective BDS </w:t>
        <w:lastRenderedPageBreak/>
        <w:t>because of limited institutional capacity, poor staff training, weak monitoring and evaluation systems, and financial constraints (Abeysekera, 2020; Khanam et al., 2018). High interest rates and strict weekly repayments can also work against the businesses they aim to help, since borrowers must focus on making immediate payments instead of investing in long-term growth. Simply combining BDS with microcredit does not guarantee long-term business success; the outcome depends on how well these services are designed and matched to the real needs of rural entrepreneurs. Overall, the literature suggests that combining microcredit with Business Development Services offers greater potential for sustainable entrepreneurship, on both the business and household metrics set out in Section 1.4, than financial services alone. However, evidence remains scattered on which combinations of services produce the greatest long-term impact on rural entrepreneurship, and this is an area that needs further research (Abeysekera, 2020; Bernard, Low and Khin, 2016; Khanam et al., 2018).</w:t>
      </w:r>
    </w:p>
    <w:p w14:paraId="2978F334" w14:textId="77777777" w:rsidR="00253979" w:rsidRPr="000370A9" w:rsidRDefault="000370A9" w:rsidP="000370A9">
      <w:pPr>
        <w:pStyle w:val="Heading2"/>
        <w:spacing w:before="280" w:after="160" w:line="360" w:lineRule="auto"/>
        <w:rPr>
          <w:sz w:val="24"/>
          <w:szCs w:val="24"/>
        </w:rPr>
      </w:pPr>
      <w:r>
        <w:rPr>
          <w:rFonts w:eastAsia="Calibri"/>
          <w:b/>
          <w:bCs/>
          <w:sz w:val="24"/>
          <w:szCs w:val="24"/>
        </w:rPr>
        <w:t>3.5 Synthesis of the Literature and Research Gap</w:t>
      </w:r>
    </w:p>
    <w:p w14:paraId="2016D687" w14:textId="77777777" w:rsidR="00253979" w:rsidRPr="000370A9" w:rsidRDefault="000370A9" w:rsidP="000370A9">
      <w:pPr>
        <w:spacing w:after="200" w:line="360" w:lineRule="auto"/>
        <w:jc w:val="both"/>
        <w:rPr>
          <w:sz w:val="24"/>
          <w:szCs w:val="24"/>
        </w:rPr>
      </w:pPr>
      <w:r>
        <w:rPr>
          <w:rFonts w:eastAsia="Calibri"/>
          <w:sz w:val="24"/>
          <w:szCs w:val="24"/>
        </w:rPr>
        <w:t xml:space="preserve">The literature shows that microcredit has become an important financial tool for promoting entrepreneurship, financial inclusion, and poverty reduction among low-income populations. Access to collateral-free loans allows rural households to set up small businesses, earn income, and improve their livelihoods (Ault, 2016; Hani et al., 2024). Even so, evidence consistently shows that access to finance alone does not guarantee successful entrepreneurial outcomes. Many borrowers still experience business failure because of poor management skills, weak financial literacy, limited market access, limited business networks, and difficult institutional environments (Debnath et al., 2019; Goldszmidt et al., 2022).</w:t>
      </w:r>
    </w:p>
    <w:p w14:paraId="2730BB35" w14:textId="77777777" w:rsidR="00253979" w:rsidRPr="000370A9" w:rsidRDefault="000370A9" w:rsidP="000370A9">
      <w:pPr>
        <w:spacing w:after="200" w:line="360" w:lineRule="auto"/>
        <w:jc w:val="both"/>
        <w:rPr>
          <w:sz w:val="24"/>
          <w:szCs w:val="24"/>
        </w:rPr>
      </w:pPr>
      <w:r>
        <w:rPr>
          <w:rFonts w:eastAsia="Calibri"/>
          <w:sz w:val="24"/>
          <w:szCs w:val="24"/>
        </w:rPr>
        <w:t>The literature also shows that Business Development Services (BDS), including entrepreneurship training, mentoring, technical assistance, financial literacy programmes, and market linkage support, strengthen entrepreneurs' abilities and improve business performance. Studies suggest that entrepreneurs who receive both financial and non-financial support generally achieve better business outcomes than those who receive credit alone (Abeysekera, 2020; Khanam et al., 2018; McKague et al., 2017). However, the effectiveness of these combined approaches varies widely, depending on institutional capacity, programme quality, local market conditions, and the socio-economic characteristics of borrowers.</w:t>
      </w:r>
    </w:p>
    <w:p w14:paraId="138AA2A5" w14:textId="58FDE9D2" w:rsidR="00253979" w:rsidRPr="000370A9" w:rsidRDefault="00560D58" w:rsidP="000370A9">
      <w:pPr>
        <w:spacing w:after="200" w:line="360" w:lineRule="auto"/>
        <w:jc w:val="both"/>
        <w:rPr>
          <w:sz w:val="24"/>
          <w:szCs w:val="24"/>
        </w:rPr>
      </w:pPr>
      <w:r>
        <w:rPr>
          <w:sz w:val="24"/>
          <w:szCs w:val="24"/>
        </w:rPr>
        <w:t xml:space="preserve">When looking at the two outcome metrics defined in Section 1.4, current research focuses more consistently on business-level sustainability</w:t>
      </w:r>
      <w:r>
        <w:rPr>
          <w:rFonts w:eastAsia="Calibri"/>
          <w:sz w:val="24"/>
          <w:szCs w:val="24"/>
        </w:rPr>
        <w:t xml:space="preserve">, evidenced through revenue, profitability, and enterprise survival, than to household-level poverty alleviation, evidenced through durable </w:t>
        <w:lastRenderedPageBreak/>
        <w:t>income, assets, and resilience. Few studies measure both metrics within the same sample, which makes it difficult to establish whether business-level gains from combined microcredit-BDS programmes reliably translate into household-level poverty reduction, or whether the two outcomes can diverge.</w:t>
      </w:r>
    </w:p>
    <w:p w14:paraId="488E44DF" w14:textId="77777777" w:rsidR="00253979" w:rsidRPr="000370A9" w:rsidRDefault="000370A9" w:rsidP="000370A9">
      <w:pPr>
        <w:spacing w:after="200" w:line="360" w:lineRule="auto"/>
        <w:jc w:val="both"/>
        <w:rPr>
          <w:sz w:val="24"/>
          <w:szCs w:val="24"/>
        </w:rPr>
      </w:pPr>
      <w:r>
        <w:rPr>
          <w:rFonts w:eastAsia="Calibri"/>
          <w:sz w:val="24"/>
          <w:szCs w:val="24"/>
        </w:rPr>
        <w:t>Although earlier studies have examined microcredit, Business Development Services, poverty reduction, and entrepreneurship on their own, few studies have systematically examined how microcredit and Business Development Services interact to promote sustainable rural entrepreneurship. Most research assesses either financial services or non-financial services separately, and little attention has been given to how combining financial resources with entrepreneurial capabilities contributes to long-term business sustainability. Much of the existing evidence also focuses on short-term outcomes, such as loan repayment, business start-up, or income generation, with less attention to sustainable business growth, enterprise resilience, and long-term livelihood improvement. These gaps point to an important limitation in the current literature.</w:t>
      </w:r>
    </w:p>
    <w:p w14:paraId="14F4E9F1" w14:textId="77777777" w:rsidR="00253979" w:rsidRPr="000370A9" w:rsidRDefault="000370A9" w:rsidP="000370A9">
      <w:pPr>
        <w:spacing w:after="200" w:line="360" w:lineRule="auto"/>
        <w:jc w:val="both"/>
        <w:rPr>
          <w:sz w:val="24"/>
          <w:szCs w:val="24"/>
        </w:rPr>
      </w:pPr>
      <w:r>
        <w:rPr>
          <w:rFonts w:eastAsia="Calibri"/>
          <w:sz w:val="24"/>
          <w:szCs w:val="24"/>
        </w:rPr>
        <w:t>This study therefore aims to address this gap by bringing together existing evidence on the combined role of microcredit and Business Development Services in promoting sustainable rural entrepreneurship and income-generating activities, through a systematic literature review.</w:t>
      </w:r>
    </w:p>
    <w:p w14:paraId="12BF8E9B" w14:textId="77777777" w:rsidR="00253979" w:rsidRPr="000370A9" w:rsidRDefault="000370A9" w:rsidP="000370A9">
      <w:pPr>
        <w:pStyle w:val="Heading2"/>
        <w:spacing w:before="280" w:after="160" w:line="360" w:lineRule="auto"/>
        <w:rPr>
          <w:sz w:val="24"/>
          <w:szCs w:val="24"/>
        </w:rPr>
      </w:pPr>
      <w:r>
        <w:rPr>
          <w:rFonts w:eastAsia="Calibri"/>
          <w:b/>
          <w:bCs/>
          <w:sz w:val="24"/>
          <w:szCs w:val="24"/>
        </w:rPr>
        <w:t>3.6 Theoretical Foundation</w:t>
      </w:r>
    </w:p>
    <w:p w14:paraId="59CE91CB" w14:textId="77777777" w:rsidR="00253979" w:rsidRPr="000370A9" w:rsidRDefault="000370A9" w:rsidP="000370A9">
      <w:pPr>
        <w:pStyle w:val="Heading3"/>
        <w:spacing w:before="220" w:after="140" w:line="360" w:lineRule="auto"/>
      </w:pPr>
      <w:r>
        <w:rPr>
          <w:rFonts w:eastAsia="Calibri"/>
          <w:b/>
          <w:bCs/>
          <w:i/>
          <w:iCs/>
        </w:rPr>
        <w:t>3.6.1 Financial Inclusion Theory</w:t>
      </w:r>
    </w:p>
    <w:p w14:paraId="05E93699" w14:textId="77777777" w:rsidR="008A7F2C" w:rsidRPr="008A7F2C" w:rsidRDefault="008A7F2C" w:rsidP="000370A9">
      <w:pPr>
        <w:spacing w:after="200" w:line="360" w:lineRule="auto"/>
        <w:jc w:val="both"/>
        <w:rPr>
          <w:sz w:val="24"/>
          <w:szCs w:val="24"/>
        </w:rPr>
      </w:pPr>
      <w:r>
        <w:rPr>
          <w:sz w:val="24"/>
          <w:szCs w:val="24"/>
        </w:rPr>
        <w:t>Financial Inclusion Theory focuses on how access to financial services—such as credit, savings, insurance, and payments—helps individuals and small businesses contribute to economic development (Ozili, 2022). According to this perspective, low-income households often remain poor because formal banks reject them due to irregular income, geographical isolation, limited financial history, or a lack of collateral (Ozili, 2022).</w:t>
      </w:r>
    </w:p>
    <w:p w14:paraId="31E4813E" w14:textId="77777777" w:rsidR="00B85ECE" w:rsidRPr="00B85ECE" w:rsidRDefault="008A7F2C" w:rsidP="000370A9">
      <w:pPr>
        <w:spacing w:after="200" w:line="360" w:lineRule="auto"/>
        <w:jc w:val="both"/>
        <w:rPr>
          <w:sz w:val="24"/>
          <w:szCs w:val="24"/>
        </w:rPr>
      </w:pPr>
      <w:r>
        <w:rPr>
          <w:sz w:val="24"/>
          <w:szCs w:val="24"/>
        </w:rPr>
        <w:t>In rural areas, microcredit offers collateral-free loans that help individuals set up and keep small businesses running (Ozili, 2022; Jalil, 2021). This credit allows owners to buy equipment, cover operational costs, and grow household income (Gyimah et al., 2024). Financial Inclusion Theory therefore explains why wider credit access supports entrepreneurship and reduces poverty (Ozili, 2022; Jalil, 2021), directly aligning with the household and livelihood metrics in Section 1.4.</w:t>
      </w:r>
    </w:p>
    <w:p w14:paraId="61946C71" w14:textId="1314E9A5" w:rsidR="00253979" w:rsidRPr="0023220B" w:rsidRDefault="0023220B" w:rsidP="000370A9">
      <w:pPr>
        <w:spacing w:after="200" w:line="360" w:lineRule="auto"/>
        <w:jc w:val="both"/>
        <w:rPr>
          <w:sz w:val="24"/>
          <w:szCs w:val="24"/>
        </w:rPr>
      </w:pPr>
      <w:r>
        <w:rPr>
          <w:sz w:val="24"/>
          <w:szCs w:val="24"/>
        </w:rPr>
        <w:lastRenderedPageBreak/>
        <w:t>However, the theory also acknowledges that credit alone does not guarantee business success (Ozili, 2022). Borrowers still need to manage their funds effectively and adapt to shifting market conditions. If entrepreneurs lack basic management skills or institutional backing, credit delivers limited value. The theory thus supports the view that microcredit is an essential starting point, though business support remains vital to keep rural enterprises operating over time.</w:t>
      </w:r>
    </w:p>
    <w:p w14:paraId="161116CD" w14:textId="77777777" w:rsidR="00253979" w:rsidRPr="000370A9" w:rsidRDefault="000370A9" w:rsidP="000370A9">
      <w:pPr>
        <w:pStyle w:val="Heading3"/>
        <w:spacing w:before="220" w:after="140" w:line="360" w:lineRule="auto"/>
      </w:pPr>
      <w:r>
        <w:rPr>
          <w:rFonts w:eastAsia="Calibri"/>
          <w:b/>
          <w:bCs/>
          <w:i/>
          <w:iCs/>
        </w:rPr>
        <w:t>3.6.2 Resource-Based View (RBV) Theory</w:t>
      </w:r>
    </w:p>
    <w:p w14:paraId="4D87A42E" w14:textId="77777777" w:rsidR="0023220B" w:rsidRPr="0023220B" w:rsidRDefault="0023220B" w:rsidP="000370A9">
      <w:pPr>
        <w:spacing w:after="200" w:line="360" w:lineRule="auto"/>
        <w:jc w:val="both"/>
        <w:rPr>
          <w:sz w:val="24"/>
          <w:szCs w:val="24"/>
        </w:rPr>
      </w:pPr>
      <w:r>
        <w:rPr>
          <w:sz w:val="24"/>
          <w:szCs w:val="24"/>
        </w:rPr>
        <w:t>The Resource-Based View (RBV) suggests that businesses gain a long-term advantage when they hold resources that are valuable, rare, and hard for others to copy or replace (Wernerfelt, 1984; Barney, 1991). These resources include physical assets like funding, as well as skills, experience, management ability, and business networks (Barney, 1991).</w:t>
      </w:r>
    </w:p>
    <w:p w14:paraId="5C0E22AD" w14:textId="77777777" w:rsidR="0023220B" w:rsidRPr="0023220B" w:rsidRDefault="0023220B" w:rsidP="000370A9">
      <w:pPr>
        <w:spacing w:after="200" w:line="360" w:lineRule="auto"/>
        <w:jc w:val="both"/>
        <w:rPr>
          <w:sz w:val="24"/>
          <w:szCs w:val="24"/>
        </w:rPr>
      </w:pPr>
      <w:r>
        <w:rPr>
          <w:sz w:val="24"/>
          <w:szCs w:val="24"/>
        </w:rPr>
        <w:t>In this research, microcredit provides the funding needed to establish and maintain small enterprises. However, RBV suggests that money alone does not ensure long-term business performance. Entrepreneurs also require intangible assets—such as skills and experience—to manage that capital effectively (Lopes, Ferreira and Farinha, 2021)</w:t>
      </w:r>
    </w:p>
    <w:p w14:paraId="332DE7AE" w14:textId="77777777" w:rsidR="00643676" w:rsidRPr="00643676" w:rsidRDefault="0023220B" w:rsidP="000370A9">
      <w:pPr>
        <w:spacing w:after="200" w:line="360" w:lineRule="auto"/>
        <w:jc w:val="both"/>
        <w:rPr>
          <w:sz w:val="24"/>
          <w:szCs w:val="24"/>
        </w:rPr>
      </w:pPr>
      <w:r>
        <w:rPr>
          <w:sz w:val="24"/>
          <w:szCs w:val="24"/>
        </w:rPr>
        <w:t>Business Development Services supply these non-financial assets through training, mentoring, technical guidance, and market support. By building management skills and fostering decision-making, these services help entrepreneurs run their businesses more effectively. RBV therefore shows why combining microcredit with capacity-building support leads to stronger business outcomes than providing credit on its own (Lopes, Ferreira and Farinha, 2021), directly connecting to the business-level metrics outlined in Section 1.4</w:t>
      </w:r>
    </w:p>
    <w:p w14:paraId="1BDA1A08" w14:textId="745670AF" w:rsidR="00253979" w:rsidRPr="000370A9" w:rsidRDefault="000370A9" w:rsidP="000370A9">
      <w:pPr>
        <w:spacing w:after="200" w:line="360" w:lineRule="auto"/>
        <w:jc w:val="both"/>
        <w:rPr>
          <w:sz w:val="24"/>
          <w:szCs w:val="24"/>
        </w:rPr>
      </w:pPr>
      <w:r>
        <w:rPr>
          <w:rFonts w:eastAsia="Calibri"/>
          <w:sz w:val="24"/>
          <w:szCs w:val="24"/>
        </w:rPr>
        <w:t>RBV therefore provides a theoretical explanation for the complementary relationship between microcredit and Business Development Services in promoting sustainable rural entrepreneurship (Lopes, Ferreira and Farinha, 2021).</w:t>
      </w:r>
    </w:p>
    <w:p w14:paraId="192562BA" w14:textId="77777777" w:rsidR="00253979" w:rsidRPr="000370A9" w:rsidRDefault="000370A9" w:rsidP="000370A9">
      <w:pPr>
        <w:pStyle w:val="Heading3"/>
        <w:spacing w:before="220" w:after="140" w:line="360" w:lineRule="auto"/>
      </w:pPr>
      <w:r>
        <w:rPr>
          <w:rFonts w:eastAsia="Calibri"/>
          <w:b/>
          <w:bCs/>
          <w:i/>
          <w:iCs/>
        </w:rPr>
        <w:t>3.6.3 Integration of the Theories</w:t>
      </w:r>
    </w:p>
    <w:p w14:paraId="4119129D" w14:textId="77777777" w:rsidR="00643676" w:rsidRPr="00643676" w:rsidRDefault="00643676" w:rsidP="00643676">
      <w:pPr>
        <w:pStyle w:val="NormalWeb"/>
        <w:spacing w:line="360" w:lineRule="auto"/>
      </w:pPr>
      <w:r>
        <w:t xml:space="preserve">Together, Financial Inclusion Theory and the Resource-Based View provide a comprehensive lens for understanding rural entrepreneurship (Ozili, 2022; Barney, 1991). Financial Inclusion Theory explains how microcredit removes financial barriers, enabling individuals to pursue self-employment and improve household-level well-being (Ozili, 2022; Jalil, 2021). The Resource-Based View complements this by showing that financial capital must be paired </w:t>
        <w:lastRenderedPageBreak/>
        <w:t>with core business capabilities for enterprises to remain viable over time (Barney, 1991; Lopes, Ferreira and Farinha, 2021).</w:t>
      </w:r>
    </w:p>
    <w:p w14:paraId="79EBF510" w14:textId="77777777" w:rsidR="00643676" w:rsidRPr="00643676" w:rsidRDefault="00643676" w:rsidP="00643676">
      <w:pPr>
        <w:pStyle w:val="NormalWeb"/>
        <w:spacing w:line="360" w:lineRule="auto"/>
      </w:pPr>
      <w:r>
        <w:t>Combined, these perspectives indicate that achieving sustainability across both household and business metrics depends on pairing financial resources with skill development (Ozili, 2022; Lopes, Ferreira and Farinha, 2021). While microcredit supplies the capital needed to set up an enterprise, Business Development Services build the practical skills and knowledge required to maintain operations (Jalil, 2021; Lopes, Ferreira and Farinha, 2021). Jointly, these theories form a clear framework for investigating how integrated financial and non-financial support fosters rural enterprise sustainability (Ozili, 2022; Lopes, Ferreira and Farinha, 2021).</w:t>
      </w:r>
    </w:p>
    <w:p w14:paraId="38DDC17F" w14:textId="6CB65BD2" w:rsidR="00253979" w:rsidRDefault="000370A9" w:rsidP="000370A9">
      <w:pPr>
        <w:pStyle w:val="Heading2"/>
        <w:spacing w:before="280" w:after="160" w:line="360" w:lineRule="auto"/>
        <w:rPr>
          <w:rFonts w:eastAsia="Calibri"/>
          <w:b/>
          <w:bCs/>
          <w:sz w:val="24"/>
          <w:szCs w:val="24"/>
        </w:rPr>
      </w:pPr>
      <w:r>
        <w:rPr>
          <w:rFonts w:eastAsia="Calibri"/>
          <w:b/>
          <w:bCs/>
          <w:sz w:val="24"/>
          <w:szCs w:val="24"/>
        </w:rPr>
        <w:t>3.7 Conceptual Framework</w:t>
      </w:r>
    </w:p>
    <w:p w14:paraId="2AED75F6" w14:textId="6F004250" w:rsidR="00643676" w:rsidRPr="000370A9" w:rsidRDefault="00643676" w:rsidP="000370A9">
      <w:pPr>
        <w:pStyle w:val="Heading2"/>
        <w:spacing w:before="280" w:after="160" w:line="360" w:lineRule="auto"/>
        <w:rPr>
          <w:sz w:val="24"/>
          <w:szCs w:val="24"/>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Based on the systematic literature review and the insights from Financial Inclusion Theory and the Resource-Based View (RBV), this study suggests that rural enterprise sustainability relies on combining financial and non-financial support. Financial Inclusion Theory illustrates how microcredit enables excluded individuals to establish small businesses. Complementing this, the Resource-Based View demonstrates how Business Development Services build essential management capabilities, helping owners utilize credit effectively. Together, these theories indicate that joint access to microcredit and Business Development Services enhances entrepreneurial capability, ultimately supporting business survival, income growth, and broader community development</w:t>
      </w:r>
      <w:r>
        <w:t>.</w:t>
      </w:r>
    </w:p>
    <w:p w14:paraId="0D989091" w14:textId="77777777" w:rsidR="00253979" w:rsidRPr="000370A9" w:rsidRDefault="000370A9" w:rsidP="000370A9">
      <w:pPr>
        <w:spacing w:before="200" w:after="200" w:line="360" w:lineRule="auto"/>
        <w:jc w:val="center"/>
        <w:rPr>
          <w:sz w:val="24"/>
          <w:szCs w:val="24"/>
        </w:rPr>
      </w:pPr>
      <w:r>
        <w:rPr>
          <w:noProof/>
          <w:sz w:val="24"/>
          <w:szCs w:val="24"/>
        </w:rPr>
        <w:lastRenderedPageBreak/>
        <w:drawing>
          <wp:inline distT="0" distB="0" distL="0" distR="0" wp14:anchorId="6340A192" wp14:editId="41833E06">
            <wp:extent cx="3619500" cy="5619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3619500" cy="5619750"/>
                    </a:xfrm>
                    <a:prstGeom prst="rect">
                      <a:avLst/>
                    </a:prstGeom>
                  </pic:spPr>
                </pic:pic>
              </a:graphicData>
            </a:graphic>
          </wp:inline>
        </w:drawing>
      </w:r>
    </w:p>
    <w:p w14:paraId="30EEB2EA" w14:textId="77777777" w:rsidR="00253979" w:rsidRPr="000370A9" w:rsidRDefault="000370A9" w:rsidP="000370A9">
      <w:pPr>
        <w:spacing w:after="200" w:line="360" w:lineRule="auto"/>
        <w:jc w:val="both"/>
        <w:rPr>
          <w:sz w:val="24"/>
          <w:szCs w:val="24"/>
        </w:rPr>
      </w:pPr>
      <w:r>
        <w:rPr>
          <w:rFonts w:eastAsia="Calibri"/>
          <w:sz w:val="24"/>
          <w:szCs w:val="24"/>
        </w:rPr>
        <w:t xml:space="preserve">The conceptual framework proposes that microcredit improves financial inclusion by giving rural entrepreneurs access to financial resources. However, sustainable entrepreneurship cannot be achieved through finance alone. Business Development Services, including entrepreneurship training, mentoring, financial literacy, and market linkage support, build entrepreneurs' knowledge, skills, and management capabilities. Following the Resource-Based View, these capabilities are valuable organisational resources that improve business performance. As a result, providing microcredit and BDS together strengthens entrepreneurial capability, which leads to sustainable rural entrepreneurship through business growth, income generation, job creation, poverty reduction, and improved livelihoods. The framework also recognises that external factors, such as government policy, infrastructure, and market conditions, may influence these relationships. As set out in Section 1.5, this framework is </w:t>
        <w:lastRenderedPageBreak/>
        <w:t>intended to travel beyond the page: reframed as a four-dimension scorecard covering access, capability-building, market linkage, and institutional context, it offers NGOs and policymakers a practical audit tool for assessing whether a rural enterprise programme is designed to deliver both business-level and household-level sustainability, rather than one at the expense of the other.</w:t>
      </w:r>
    </w:p>
    <w:p w14:paraId="5052833D" w14:textId="77777777" w:rsidR="00253979" w:rsidRPr="000370A9" w:rsidRDefault="000370A9" w:rsidP="000370A9">
      <w:pPr>
        <w:pStyle w:val="Heading2"/>
        <w:spacing w:before="280" w:after="160" w:line="360" w:lineRule="auto"/>
        <w:rPr>
          <w:sz w:val="24"/>
          <w:szCs w:val="24"/>
        </w:rPr>
      </w:pPr>
      <w:r>
        <w:rPr>
          <w:rFonts w:eastAsia="Calibri"/>
          <w:b/>
          <w:bCs/>
          <w:sz w:val="24"/>
          <w:szCs w:val="24"/>
        </w:rPr>
        <w:t>3.8 Chapter Summary</w:t>
      </w:r>
    </w:p>
    <w:p w14:paraId="088198E6" w14:textId="77777777" w:rsidR="00253979" w:rsidRPr="000370A9" w:rsidRDefault="000370A9" w:rsidP="000370A9">
      <w:pPr>
        <w:spacing w:after="200" w:line="360" w:lineRule="auto"/>
        <w:jc w:val="both"/>
        <w:rPr>
          <w:sz w:val="24"/>
          <w:szCs w:val="24"/>
        </w:rPr>
      </w:pPr>
      <w:r>
        <w:rPr>
          <w:rFonts w:eastAsia="Calibri"/>
          <w:sz w:val="24"/>
          <w:szCs w:val="24"/>
        </w:rPr>
        <w:t xml:space="preserve">This chapter reviewed the existing literature on microcredit, Business Development Services (BDS), rural entrepreneurship, and income-generating activities. The review showed that while microcredit improves financial inclusion by providing access to capital, financial support alone is not enough to achieve sustainable entrepreneurial success on either the business or the household metric set out in Section 1.4. Business Development Services complement microcredit by building entrepreneurs' knowledge, skills, financial literacy, and market access, which improves business performance and sustainability. Where the literature disagrees, for example on whether microcredit alleviates poverty or entrenches debt, the disagreement is best explained by variation in institutional lending practices and local market and social context, rather than by an inherent property of microcredit itself. The chapter also discussed Financial Inclusion Theory and the Resource-Based View (RBV) as the theoretical foundations of this study, and showed how the two theories map onto the household-level and business-level sustainability metrics respectively. Based on the research gap identified, a conceptual framework was developed to explain the relationships between microcredit, Business Development Services, entrepreneurial capability, and sustainable rural entrepreneurship, with a proposed practical application as an audit tool for NGOs and a design reference for policymakers. Together with the systematic methodology set out in the previous chapter, this framework provides the analytical foundation on which the study's findings and conclusions are built.</w:t>
      </w:r>
    </w:p>
    <w:p w14:paraId="6ED36BF2" w14:textId="77777777" w:rsidR="00253979" w:rsidRPr="000370A9" w:rsidRDefault="000370A9" w:rsidP="000370A9">
      <w:pPr>
        <w:spacing w:line="360" w:lineRule="auto"/>
        <w:rPr>
          <w:sz w:val="24"/>
          <w:szCs w:val="24"/>
        </w:rPr>
      </w:pPr>
      <w:r>
        <w:rPr>
          <w:sz w:val="24"/>
          <w:szCs w:val="24"/>
        </w:rPr>
        <w:br w:type="page"/>
      </w:r>
    </w:p>
    <w:p w14:paraId="3FE10C30" w14:textId="77777777" w:rsidR="00253979" w:rsidRPr="000370A9" w:rsidRDefault="000370A9" w:rsidP="000370A9">
      <w:pPr>
        <w:pStyle w:val="Heading1"/>
        <w:spacing w:before="360" w:after="200" w:line="360" w:lineRule="auto"/>
        <w:rPr>
          <w:sz w:val="24"/>
          <w:szCs w:val="24"/>
        </w:rPr>
      </w:pPr>
      <w:r>
        <w:rPr>
          <w:rFonts w:eastAsia="Calibri"/>
          <w:b/>
          <w:bCs/>
          <w:sz w:val="24"/>
          <w:szCs w:val="24"/>
        </w:rPr>
        <w:lastRenderedPageBreak/>
        <w:t>Reference Lists</w:t>
      </w:r>
    </w:p>
    <w:p w14:paraId="379D6F38"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Abeysekera, R. (2020) 'Co-production in BDS: The evidence from the Sri Lankan microfinance sector', </w:t>
      </w:r>
      <w:r>
        <w:rPr>
          <w:color w:val="1F1F1F"/>
          <w:bdr w:val="none" w:sz="0" w:space="0" w:color="auto" w:frame="1"/>
        </w:rPr>
        <w:t>Financial Markets, Institutions and Risks</w:t>
      </w:r>
      <w:r>
        <w:rPr>
          <w:color w:val="1F1F1F"/>
        </w:rPr>
        <w:t>, 4(3), pp. 63–71.</w:t>
      </w:r>
    </w:p>
    <w:p w14:paraId="2DC092C2" w14:textId="77777777" w:rsidR="00624BD6" w:rsidRPr="00624BD6" w:rsidRDefault="00624BD6" w:rsidP="00624BD6">
      <w:pPr>
        <w:pStyle w:val="NormalWeb"/>
        <w:numPr>
          <w:ilvl w:val="0"/>
          <w:numId w:val="4"/>
        </w:numPr>
        <w:spacing w:after="0" w:afterAutospacing="0" w:line="360" w:lineRule="auto"/>
        <w:rPr>
          <w:color w:val="1F1F1F"/>
        </w:rPr>
      </w:pPr>
      <w:r>
        <w:rPr>
          <w:color w:val="1F1F1F"/>
        </w:rPr>
        <w:t>Amdemich</w:t>
      </w:r>
      <w:r>
        <w:rPr>
          <w:rStyle w:val="citation-165"/>
          <w:color w:val="1F1F1F"/>
          <w:bdr w:val="none" w:sz="0" w:space="0" w:color="auto" w:frame="1"/>
        </w:rPr>
        <w:t>ael, H.L. (2025) 'Effects of behaviour-based entrepreneurship training and business development services on micro and small enterprises growth and performance: a case study on the Entrepreneurship Development Inst</w:t>
      </w:r>
      <w:r>
        <w:rPr>
          <w:color w:val="1F1F1F"/>
        </w:rPr>
        <w:t xml:space="preserve">itute (EDI) Ethiopia', </w:t>
      </w:r>
      <w:r>
        <w:rPr>
          <w:color w:val="1F1F1F"/>
          <w:bdr w:val="none" w:sz="0" w:space="0" w:color="auto" w:frame="1"/>
        </w:rPr>
        <w:t>Journal of Innovation and Entrepreneurship</w:t>
      </w:r>
      <w:r>
        <w:rPr>
          <w:color w:val="1F1F1F"/>
        </w:rPr>
        <w:t xml:space="preserve">, 14(1), pp. 1–24. </w:t>
      </w:r>
    </w:p>
    <w:p w14:paraId="4FCAE708"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Ashta, A., Khan, S. and Otto, R. (2014) 'Microcredit and household debt dynamics in developing economies', </w:t>
      </w:r>
      <w:r>
        <w:rPr>
          <w:color w:val="1F1F1F"/>
          <w:bdr w:val="none" w:sz="0" w:space="0" w:color="auto" w:frame="1"/>
        </w:rPr>
        <w:t>Journal of Development Studies</w:t>
      </w:r>
      <w:r>
        <w:rPr>
          <w:color w:val="1F1F1F"/>
        </w:rPr>
        <w:t>, 50(4), pp. 512–526.</w:t>
      </w:r>
    </w:p>
    <w:p w14:paraId="360DED7B"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Ault, J.K. (2016) 'Institutional environment and microfinance performance: A cross-country study', </w:t>
      </w:r>
      <w:r>
        <w:rPr>
          <w:color w:val="1F1F1F"/>
          <w:bdr w:val="none" w:sz="0" w:space="0" w:color="auto" w:frame="1"/>
        </w:rPr>
        <w:t>Journal of International Business Studies</w:t>
      </w:r>
      <w:r>
        <w:rPr>
          <w:color w:val="1F1F1F"/>
        </w:rPr>
        <w:t>, 47(8), pp. 910–935.</w:t>
      </w:r>
    </w:p>
    <w:p w14:paraId="4F5C5DC7"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Bandiera, O., Buehren, N., Burgess, R., Goldstein, M., Heal, J., Rasul, I. and Sulaiman, M. (2020) 'Women's empowerment in action: Evidence from a randomized control trial in Africa', </w:t>
      </w:r>
      <w:r>
        <w:rPr>
          <w:color w:val="1F1F1F"/>
          <w:bdr w:val="none" w:sz="0" w:space="0" w:color="auto" w:frame="1"/>
        </w:rPr>
        <w:t>American Economic Journal: Applied Economics</w:t>
      </w:r>
      <w:r>
        <w:rPr>
          <w:color w:val="1F1F1F"/>
        </w:rPr>
        <w:t>, 12(1), pp. 210–259.</w:t>
      </w:r>
    </w:p>
    <w:p w14:paraId="1A000001"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Barney, J. (1991) 'Firm resources and sustained competitive advantage', </w:t>
      </w:r>
      <w:r>
        <w:rPr>
          <w:color w:val="1F1F1F"/>
          <w:bdr w:val="none" w:sz="0" w:space="0" w:color="auto" w:frame="1"/>
        </w:rPr>
        <w:t>Journal of Management</w:t>
      </w:r>
      <w:r>
        <w:rPr>
          <w:color w:val="1F1F1F"/>
        </w:rPr>
        <w:t>, 17(1), pp. 99–120.</w:t>
      </w:r>
    </w:p>
    <w:p w14:paraId="1A000002"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Bernard, K., Low, L.T.K. and Khin, A.A. (2016) 'Entrepreneurial success through microfinance services among women entrepreneurs in Sri Lanka: a pilot study and overview of the findings', </w:t>
      </w:r>
      <w:r>
        <w:rPr>
          <w:color w:val="1F1F1F"/>
          <w:bdr w:val="none" w:sz="0" w:space="0" w:color="auto" w:frame="1"/>
        </w:rPr>
        <w:t>International Journal of Economics and Financial Issues</w:t>
      </w:r>
      <w:r>
        <w:rPr>
          <w:color w:val="1F1F1F"/>
        </w:rPr>
        <w:t>, 6(3), pp. 1144–1150.</w:t>
      </w:r>
    </w:p>
    <w:p w14:paraId="258669D2"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Charfeddine, L. and Zaouali, S. (2022) 'The effects of financial inclusion and the business environment in spurring the creation of early-stage firms and supporting established firms', </w:t>
      </w:r>
      <w:r>
        <w:rPr>
          <w:color w:val="1F1F1F"/>
          <w:bdr w:val="none" w:sz="0" w:space="0" w:color="auto" w:frame="1"/>
        </w:rPr>
        <w:t>Journal of Business Research</w:t>
      </w:r>
      <w:r>
        <w:rPr>
          <w:color w:val="1F1F1F"/>
        </w:rPr>
        <w:t>, 143, pp. 1–15.</w:t>
      </w:r>
    </w:p>
    <w:p w14:paraId="30965E8E"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Chliova, M., Brinckmann, J. and Rosenbusch, N. (2015) 'Is microfinance a panacea? A meta-analytic investigation of its impact in developing countries', </w:t>
      </w:r>
      <w:r>
        <w:rPr>
          <w:color w:val="1F1F1F"/>
          <w:bdr w:val="none" w:sz="0" w:space="0" w:color="auto" w:frame="1"/>
        </w:rPr>
        <w:t>Journal of Business Venturing</w:t>
      </w:r>
      <w:r>
        <w:rPr>
          <w:color w:val="1F1F1F"/>
        </w:rPr>
        <w:t>, 30(3), pp. 467–487.</w:t>
      </w:r>
    </w:p>
    <w:p w14:paraId="13B62915"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Cho, Y., Robalino, D. and Watson, S. (2016) 'Supporting self-employment and micro-enterprises in developing countries', </w:t>
      </w:r>
      <w:r>
        <w:rPr>
          <w:color w:val="1F1F1F"/>
          <w:bdr w:val="none" w:sz="0" w:space="0" w:color="auto" w:frame="1"/>
        </w:rPr>
        <w:t>World Development</w:t>
      </w:r>
      <w:r>
        <w:rPr>
          <w:color w:val="1F1F1F"/>
        </w:rPr>
        <w:t>, 86, pp. 1–15.</w:t>
      </w:r>
    </w:p>
    <w:p w14:paraId="4E52C6A5"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Dalla Pellegrina, L., Di Maio, G., Landoni, P. and Rusinà, E. (2021) 'Money management and entrepreneurial training in microfinance: impact on beneficiaries and institutions', </w:t>
      </w:r>
      <w:r>
        <w:rPr>
          <w:color w:val="1F1F1F"/>
          <w:bdr w:val="none" w:sz="0" w:space="0" w:color="auto" w:frame="1"/>
        </w:rPr>
        <w:t xml:space="preserve">Economia Politica</w:t>
      </w:r>
      <w:r>
        <w:rPr>
          <w:color w:val="1F1F1F"/>
        </w:rPr>
        <w:t>, 38(3), pp. 1049–1078.</w:t>
      </w:r>
    </w:p>
    <w:p w14:paraId="589B94BC"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Debnath, D., Rahman, M. and Islam, S. (2019) 'Microcredit, household decision making, and women's empowerment in rural Bangladesh', </w:t>
      </w:r>
      <w:r>
        <w:rPr>
          <w:color w:val="1F1F1F"/>
          <w:bdr w:val="none" w:sz="0" w:space="0" w:color="auto" w:frame="1"/>
        </w:rPr>
        <w:t>Development in Practice</w:t>
      </w:r>
      <w:r>
        <w:rPr>
          <w:color w:val="1F1F1F"/>
        </w:rPr>
        <w:t>, 29(4), pp. 488–500.</w:t>
      </w:r>
    </w:p>
    <w:p w14:paraId="63A5E69B"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Duvendack, M. and Mader, P. (2019) 'Impact of financial inclusion in low- and middle-income countries: A systematic review of reviews', </w:t>
      </w:r>
      <w:r>
        <w:rPr>
          <w:color w:val="1F1F1F"/>
          <w:bdr w:val="none" w:sz="0" w:space="0" w:color="auto" w:frame="1"/>
        </w:rPr>
        <w:t>Campbell Systematic Reviews</w:t>
      </w:r>
      <w:r>
        <w:rPr>
          <w:color w:val="1F1F1F"/>
        </w:rPr>
        <w:t>, 15(1-2), e1012.</w:t>
      </w:r>
    </w:p>
    <w:p w14:paraId="6E8CC13E"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Fu, J. and Krauss, A. (2024) 'Preparing fertile ground: how does the quality of business environments affect MSE growth?', </w:t>
      </w:r>
      <w:r>
        <w:rPr>
          <w:color w:val="1F1F1F"/>
          <w:bdr w:val="none" w:sz="0" w:space="0" w:color="auto" w:frame="1"/>
        </w:rPr>
        <w:t>Small Business Economics</w:t>
      </w:r>
      <w:r>
        <w:rPr>
          <w:color w:val="1F1F1F"/>
        </w:rPr>
        <w:t>, 63(1), pp. 51–78.</w:t>
      </w:r>
    </w:p>
    <w:p w14:paraId="28DE47CF" w14:textId="77777777" w:rsidR="00624BD6" w:rsidRPr="00624BD6" w:rsidRDefault="00624BD6" w:rsidP="00624BD6">
      <w:pPr>
        <w:pStyle w:val="NormalWeb"/>
        <w:numPr>
          <w:ilvl w:val="0"/>
          <w:numId w:val="4"/>
        </w:numPr>
        <w:spacing w:after="0" w:afterAutospacing="0" w:line="360" w:lineRule="auto"/>
        <w:rPr>
          <w:color w:val="1F1F1F"/>
        </w:rPr>
      </w:pPr>
      <w:r>
        <w:rPr>
          <w:color w:val="1F1F1F"/>
        </w:rPr>
        <w:lastRenderedPageBreak/>
        <w:t xml:space="preserve">Goldszmidt, R., Rotondaro, R. and Silva, L. (2022) 'The long-term impact of microcredit on low-income microenterprises', </w:t>
      </w:r>
      <w:r>
        <w:rPr>
          <w:color w:val="1F1F1F"/>
          <w:bdr w:val="none" w:sz="0" w:space="0" w:color="auto" w:frame="1"/>
        </w:rPr>
        <w:t>World Development</w:t>
      </w:r>
      <w:r>
        <w:rPr>
          <w:color w:val="1F1F1F"/>
        </w:rPr>
        <w:t>, 151, p. 105750.</w:t>
      </w:r>
    </w:p>
    <w:p w14:paraId="72759368"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Gyimah, P., Owusu-Afriyie, R. and Lussier, R.N. (2024) 'Advancing Rural Entrepreneurship: Does Microfinancing Matter?', </w:t>
      </w:r>
      <w:r>
        <w:rPr>
          <w:color w:val="1F1F1F"/>
          <w:bdr w:val="none" w:sz="0" w:space="0" w:color="auto" w:frame="1"/>
        </w:rPr>
        <w:t>Journal of Developmental Entrepreneurship</w:t>
      </w:r>
      <w:r>
        <w:rPr>
          <w:color w:val="1F1F1F"/>
        </w:rPr>
        <w:t>, 29(1), p. 117667.</w:t>
      </w:r>
    </w:p>
    <w:p w14:paraId="23A4FA5D"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Hani, N., Al-Habib, M. and Saffar, A. (2024) 'Integrated microfinance and business support for rural enterprise sustainability', </w:t>
      </w:r>
      <w:r>
        <w:rPr>
          <w:color w:val="1F1F1F"/>
          <w:bdr w:val="none" w:sz="0" w:space="0" w:color="auto" w:frame="1"/>
        </w:rPr>
        <w:t>Journal of Rural Studies</w:t>
      </w:r>
      <w:r>
        <w:rPr>
          <w:color w:val="1F1F1F"/>
        </w:rPr>
        <w:t>, 105, p. 103120.</w:t>
      </w:r>
    </w:p>
    <w:p w14:paraId="0B2585C0"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Hartarska, V., Parmeter, C.F. and Mersland, R. (2025) 'Combined financial and non-financial support in microfinance: Evidence on long-term enterprise sustainability', </w:t>
      </w:r>
      <w:r>
        <w:rPr>
          <w:color w:val="1F1F1F"/>
          <w:bdr w:val="none" w:sz="0" w:space="0" w:color="auto" w:frame="1"/>
        </w:rPr>
        <w:t>Journal of Banking &amp; Finance</w:t>
      </w:r>
      <w:r>
        <w:rPr>
          <w:color w:val="1F1F1F"/>
        </w:rPr>
        <w:t>, 158, p. 107012.</w:t>
      </w:r>
    </w:p>
    <w:p w14:paraId="1A000003"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Jalil, M.F. (2021) 'Microfinance towards micro-enterprises development in rural Malaysia through digital finance', </w:t>
      </w:r>
      <w:r>
        <w:rPr>
          <w:color w:val="1F1F1F"/>
          <w:bdr w:val="none" w:sz="0" w:space="0" w:color="auto" w:frame="1"/>
        </w:rPr>
        <w:t>Discover Sustainability</w:t>
      </w:r>
      <w:r>
        <w:rPr>
          <w:color w:val="1F1F1F"/>
        </w:rPr>
        <w:t>, 2(1), p. 55.</w:t>
      </w:r>
    </w:p>
    <w:p w14:paraId="3988C090"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Karlan, D. and Valdivia, M. (2011) 'Teaching entrepreneurship: Impact of business training on microcredit clients and institutions', </w:t>
      </w:r>
      <w:r>
        <w:rPr>
          <w:color w:val="1F1F1F"/>
          <w:bdr w:val="none" w:sz="0" w:space="0" w:color="auto" w:frame="1"/>
        </w:rPr>
        <w:t>Review of Economics and Statistics</w:t>
      </w:r>
      <w:r>
        <w:rPr>
          <w:color w:val="1F1F1F"/>
        </w:rPr>
        <w:t>, 93(2), pp. 510–527.</w:t>
      </w:r>
    </w:p>
    <w:p w14:paraId="4E50156D"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Kazungu, I. (2023) 'Business Development Services and Participation of Rural-Based Micro Enterprises in Export Markets: Exploring the Heterogeneity of the Tanzanian Handicrafts Industry', </w:t>
      </w:r>
      <w:r>
        <w:rPr>
          <w:color w:val="1F1F1F"/>
          <w:bdr w:val="none" w:sz="0" w:space="0" w:color="auto" w:frame="1"/>
        </w:rPr>
        <w:t>SAGE Open</w:t>
      </w:r>
      <w:r>
        <w:rPr>
          <w:color w:val="1F1F1F"/>
        </w:rPr>
        <w:t>, 13(4), pp. 1–14.</w:t>
      </w:r>
    </w:p>
    <w:p w14:paraId="7152CA84"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Khan, S. and Khan, M.A. (2016) 'Microcredit and rural women entrepreneurship: A pathway to economic independence', </w:t>
      </w:r>
      <w:r>
        <w:rPr>
          <w:color w:val="1F1F1F"/>
          <w:bdr w:val="none" w:sz="0" w:space="0" w:color="auto" w:frame="1"/>
        </w:rPr>
        <w:t>Journal of Rural and Community Development</w:t>
      </w:r>
      <w:r>
        <w:rPr>
          <w:color w:val="1F1F1F"/>
        </w:rPr>
        <w:t>, 11(2), pp. 45–60.</w:t>
      </w:r>
    </w:p>
    <w:p w14:paraId="1A000004"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Kistruck, G.M., Webb, J.W., Sutter, C.J. and Ireland, R.D. (2011) 'Microfranchising in base-of-the-pyramid markets: institutional challenges and adaptations to the franchise model', </w:t>
      </w:r>
      <w:r>
        <w:rPr>
          <w:color w:val="1F1F1F"/>
          <w:bdr w:val="none" w:sz="0" w:space="0" w:color="auto" w:frame="1"/>
        </w:rPr>
        <w:t>Entrepreneurship Theory and Practice</w:t>
      </w:r>
      <w:r>
        <w:rPr>
          <w:color w:val="1F1F1F"/>
        </w:rPr>
        <w:t>, 35(3), pp. 503–531.</w:t>
      </w:r>
    </w:p>
    <w:p w14:paraId="10301494"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Lensink, R., Mersland, R., Vu, N.T.H. and Zamore, S. (2018) 'Do business training programs improve business outcomes for microfinance clients? Results from a meta-analysis', </w:t>
      </w:r>
      <w:r>
        <w:rPr>
          <w:color w:val="1F1F1F"/>
          <w:bdr w:val="none" w:sz="0" w:space="0" w:color="auto" w:frame="1"/>
        </w:rPr>
        <w:t>Journal of Development Studies</w:t>
      </w:r>
      <w:r>
        <w:rPr>
          <w:color w:val="1F1F1F"/>
        </w:rPr>
        <w:t>, 54(8), pp. 1323–1341.</w:t>
      </w:r>
    </w:p>
    <w:p w14:paraId="1A000005"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Lopes, J., Ferreira, J.J. and Farinha, L. (2021) 'Entrepreneurship and the resource-based view: what is the linkage? A bibliometric approach', </w:t>
      </w:r>
      <w:r>
        <w:rPr>
          <w:color w:val="1F1F1F"/>
          <w:bdr w:val="none" w:sz="0" w:space="0" w:color="auto" w:frame="1"/>
        </w:rPr>
        <w:t>International Journal of Entrepreneurial Venturing</w:t>
      </w:r>
      <w:r>
        <w:rPr>
          <w:color w:val="1F1F1F"/>
        </w:rPr>
        <w:t>, 13(2), pp. 137–164.</w:t>
      </w:r>
    </w:p>
    <w:p w14:paraId="1F923787"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Lwesya, F. and Mwakalobo, A.B.S. (2023) 'Frontiers in microfinance research for small and medium enterprises (SMEs) and microfinance institutions (MFIs): a bibliometric analysis', </w:t>
      </w:r>
      <w:r>
        <w:rPr>
          <w:color w:val="1F1F1F"/>
          <w:bdr w:val="none" w:sz="0" w:space="0" w:color="auto" w:frame="1"/>
        </w:rPr>
        <w:t>Future Business Journal</w:t>
      </w:r>
      <w:r>
        <w:rPr>
          <w:color w:val="1F1F1F"/>
        </w:rPr>
        <w:t>, 9(1), p. 32.</w:t>
      </w:r>
    </w:p>
    <w:p w14:paraId="4768EDA4"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McKague, K., Wong, J. and Siddiquee, N. (2017) 'Social franchising as rural entrepreneurial ecosystem development', </w:t>
      </w:r>
      <w:r>
        <w:rPr>
          <w:color w:val="1F1F1F"/>
          <w:bdr w:val="none" w:sz="0" w:space="0" w:color="auto" w:frame="1"/>
        </w:rPr>
        <w:t>The International Journal of Entrepreneurship and Innovation</w:t>
      </w:r>
      <w:r>
        <w:rPr>
          <w:color w:val="1F1F1F"/>
        </w:rPr>
        <w:t>, 18(1), pp. 47–56.</w:t>
      </w:r>
    </w:p>
    <w:p w14:paraId="1F717DE1"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Musah, I. (2025) 'Microcredit as a catalyst for microbusiness growth: a myth or reality; a case of Asante-Akim Central Municipality, Ghana', </w:t>
      </w:r>
      <w:r>
        <w:rPr>
          <w:color w:val="1F1F1F"/>
          <w:bdr w:val="none" w:sz="0" w:space="0" w:color="auto" w:frame="1"/>
        </w:rPr>
        <w:t>Future Business Journal</w:t>
      </w:r>
      <w:r>
        <w:rPr>
          <w:color w:val="1F1F1F"/>
        </w:rPr>
        <w:t>, 11(1), p. 426.</w:t>
      </w:r>
    </w:p>
    <w:p w14:paraId="5FF6D749"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Ogujiuba, K.K., Mncayi, P. and Stiegler, N. (2023) 'Financial inclusion and micro-enterprise growth in developing nations: Assessing interactive effects of non-financial support', </w:t>
      </w:r>
      <w:r>
        <w:rPr>
          <w:color w:val="1F1F1F"/>
          <w:bdr w:val="none" w:sz="0" w:space="0" w:color="auto" w:frame="1"/>
        </w:rPr>
        <w:t>African Development Review</w:t>
      </w:r>
      <w:r>
        <w:rPr>
          <w:color w:val="1F1F1F"/>
        </w:rPr>
        <w:t>, 35(2), pp. 180–194.</w:t>
      </w:r>
    </w:p>
    <w:p w14:paraId="1BADEE5A" w14:textId="77777777" w:rsidR="00624BD6" w:rsidRPr="00624BD6" w:rsidRDefault="00624BD6" w:rsidP="00624BD6">
      <w:pPr>
        <w:pStyle w:val="NormalWeb"/>
        <w:numPr>
          <w:ilvl w:val="0"/>
          <w:numId w:val="4"/>
        </w:numPr>
        <w:spacing w:after="0" w:afterAutospacing="0" w:line="360" w:lineRule="auto"/>
        <w:rPr>
          <w:color w:val="1F1F1F"/>
        </w:rPr>
      </w:pPr>
      <w:r>
        <w:rPr>
          <w:color w:val="1F1F1F"/>
        </w:rPr>
        <w:lastRenderedPageBreak/>
        <w:t xml:space="preserve">Ozili, P.K. (2022) 'Financial inclusion and sustainable development: an empirical association', </w:t>
      </w:r>
      <w:r>
        <w:rPr>
          <w:color w:val="1F1F1F"/>
          <w:bdr w:val="none" w:sz="0" w:space="0" w:color="auto" w:frame="1"/>
        </w:rPr>
        <w:t>Journal of Money and Business</w:t>
      </w:r>
      <w:r>
        <w:rPr>
          <w:color w:val="1F1F1F"/>
        </w:rPr>
        <w:t>, 2(2</w:t>
      </w:r>
      <w:r>
        <w:rPr>
          <w:rStyle w:val="citation-164"/>
          <w:color w:val="1F1F1F"/>
          <w:bdr w:val="none" w:sz="0" w:space="0" w:color="auto" w:frame="1"/>
        </w:rPr>
        <w:t>), pp. 180–198.</w:t>
      </w:r>
      <w:r>
        <w:rPr>
          <w:color w:val="1F1F1F"/>
        </w:rPr>
        <w:t xml:space="preserve"> </w:t>
      </w:r>
    </w:p>
    <w:p w14:paraId="7A9DBC92" w14:textId="77777777" w:rsidR="00624BD6" w:rsidRPr="00624BD6" w:rsidRDefault="00624BD6" w:rsidP="00624BD6">
      <w:pPr>
        <w:pStyle w:val="NormalWeb"/>
        <w:numPr>
          <w:ilvl w:val="0"/>
          <w:numId w:val="4"/>
        </w:numPr>
        <w:spacing w:after="0" w:afterAutospacing="0" w:line="360" w:lineRule="auto"/>
        <w:rPr>
          <w:color w:val="1F1F1F"/>
        </w:rPr>
      </w:pPr>
      <w:r>
        <w:rPr>
          <w:rStyle w:val="citation-163"/>
          <w:color w:val="1F1F1F"/>
          <w:bdr w:val="none" w:sz="0" w:space="0" w:color="auto" w:frame="1"/>
        </w:rPr>
        <w:t xml:space="preserve">Page, M.J., McKenzie, J.E., Bossuyt, P.M., Boutron, I., Hoffmann, T.C., Mulrow, C.D., Shamseer, L., Tetzlaff, J.M., Akl, E.A., Brennan, S.E. and Chou, R. (2021) 'The PRISMA 2020 statement: an updated guideline for reporting syst</w:t>
      </w:r>
      <w:r>
        <w:rPr>
          <w:color w:val="1F1F1F"/>
        </w:rPr>
        <w:t xml:space="preserve">ematic reviews', </w:t>
      </w:r>
      <w:r>
        <w:rPr>
          <w:color w:val="1F1F1F"/>
          <w:bdr w:val="none" w:sz="0" w:space="0" w:color="auto" w:frame="1"/>
        </w:rPr>
        <w:t>BMJ</w:t>
      </w:r>
      <w:r>
        <w:rPr>
          <w:color w:val="1F1F1F"/>
        </w:rPr>
        <w:t xml:space="preserve">, 372, p. n71. </w:t>
      </w:r>
    </w:p>
    <w:p w14:paraId="105830FE"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Pangriya, R. (2023) 'An Explorative Study on Problems and Challenges of Rural Entrepreneurs in Hilly Rural Areas', </w:t>
      </w:r>
      <w:r>
        <w:rPr>
          <w:color w:val="1F1F1F"/>
          <w:bdr w:val="none" w:sz="0" w:space="0" w:color="auto" w:frame="1"/>
        </w:rPr>
        <w:t>Asia-Pacific Journal of Management Research and Innovation</w:t>
      </w:r>
      <w:r>
        <w:rPr>
          <w:color w:val="1F1F1F"/>
        </w:rPr>
        <w:t>, 18(3-4), pp. 163–175.</w:t>
      </w:r>
    </w:p>
    <w:p w14:paraId="225C2ECE"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Parray, S.A., Bhat, M.A. and Rather, A.A. (2024) 'Microfinance, business development services and rural entrepreneurship: A systematic review', </w:t>
      </w:r>
      <w:r>
        <w:rPr>
          <w:color w:val="1F1F1F"/>
          <w:bdr w:val="none" w:sz="0" w:space="0" w:color="auto" w:frame="1"/>
        </w:rPr>
        <w:t>International Journal of Social Economics</w:t>
      </w:r>
      <w:r>
        <w:rPr>
          <w:color w:val="1F1F1F"/>
        </w:rPr>
        <w:t>, 51(3), pp. 341–358.</w:t>
      </w:r>
    </w:p>
    <w:p w14:paraId="457C66F5"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Prathap, B.N. and Sreelakshmi, C.C. (2021) 'Microcredit and rural women empowerment: Evidence from South India', </w:t>
      </w:r>
      <w:r>
        <w:rPr>
          <w:sz w:val="24"/>
          <w:szCs w:val="24"/>
          <w:bdr w:val="none" w:sz="0" w:space="0" w:color="auto" w:frame="1"/>
        </w:rPr>
        <w:t>Journal of Social and Economic Development</w:t>
      </w:r>
      <w:r>
        <w:rPr>
          <w:sz w:val="24"/>
          <w:szCs w:val="24"/>
        </w:rPr>
        <w:t>, 23(2), pp. 210–228.</w:t>
      </w:r>
    </w:p>
    <w:p w14:paraId="5086A1D7"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Shepherd, D.A. and Williams, T.A. (2019) 'Spontaneous venture creation in the aftermath of adversity: Building resilience through entrepreneurship', </w:t>
      </w:r>
      <w:r>
        <w:rPr>
          <w:color w:val="1F1F1F"/>
          <w:bdr w:val="none" w:sz="0" w:space="0" w:color="auto" w:frame="1"/>
        </w:rPr>
        <w:t>Journal of Business Venturing</w:t>
      </w:r>
      <w:r>
        <w:rPr>
          <w:color w:val="1F1F1F"/>
        </w:rPr>
        <w:t>, 34(2), pp. 290–312.</w:t>
      </w:r>
    </w:p>
    <w:p w14:paraId="57FB90F7"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Sievers, M. and Vandenberg, P. (2007) 'Synergies through linkages: Who benefits from linking finance and business development services?', </w:t>
      </w:r>
      <w:r>
        <w:rPr>
          <w:color w:val="1F1F1F"/>
          <w:bdr w:val="none" w:sz="0" w:space="0" w:color="auto" w:frame="1"/>
        </w:rPr>
        <w:t>Enterprise Development and Microfinance</w:t>
      </w:r>
      <w:r>
        <w:rPr>
          <w:color w:val="1F1F1F"/>
        </w:rPr>
        <w:t>, 18(1), pp. 21–38.</w:t>
      </w:r>
    </w:p>
    <w:p w14:paraId="1A000006"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Suzuki, A. and Igei, K. (2017) 'Can efficient provision of business development services bring better results for SMEs? Evidence from a networking project in Thailand', </w:t>
      </w:r>
      <w:r>
        <w:rPr>
          <w:color w:val="1F1F1F"/>
          <w:bdr w:val="none" w:sz="0" w:space="0" w:color="auto" w:frame="1"/>
        </w:rPr>
        <w:t>JICA Research Institute Working Paper</w:t>
      </w:r>
      <w:r>
        <w:rPr>
          <w:color w:val="1F1F1F"/>
        </w:rPr>
        <w:t>, No. 147.</w:t>
      </w:r>
    </w:p>
    <w:p w14:paraId="68F54818"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Tulika, T. and Ram, P. (2025) 'Integrated microfinance-plus interventions for rural business survival: An empirical assessment', </w:t>
      </w:r>
      <w:r>
        <w:rPr>
          <w:color w:val="1F1F1F"/>
          <w:bdr w:val="none" w:sz="0" w:space="0" w:color="auto" w:frame="1"/>
        </w:rPr>
        <w:t>Journal of Developmental Entrepreneurship</w:t>
      </w:r>
      <w:r>
        <w:rPr>
          <w:color w:val="1F1F1F"/>
        </w:rPr>
        <w:t>, 30(1), p. 125004.</w:t>
      </w:r>
    </w:p>
    <w:p w14:paraId="1A000007"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Wernerfelt, B. (1984) 'A resource-based view of the firm', </w:t>
      </w:r>
      <w:r>
        <w:rPr>
          <w:color w:val="1F1F1F"/>
          <w:bdr w:val="none" w:sz="0" w:space="0" w:color="auto" w:frame="1"/>
        </w:rPr>
        <w:t>Strategic Management Journal</w:t>
      </w:r>
      <w:r>
        <w:rPr>
          <w:color w:val="1F1F1F"/>
        </w:rPr>
        <w:t>, 5(2), pp. 171–180.</w:t>
      </w:r>
    </w:p>
    <w:p w14:paraId="24DB9DEE"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Wickramasinghe, V. and Fernando, D. (2017) 'Use of microcredit for household income and consumption smoothing by low-income communities', </w:t>
      </w:r>
      <w:r>
        <w:rPr>
          <w:color w:val="1F1F1F"/>
          <w:bdr w:val="none" w:sz="0" w:space="0" w:color="auto" w:frame="1"/>
        </w:rPr>
        <w:t>International Journal of Consumer Studies</w:t>
      </w:r>
      <w:r>
        <w:rPr>
          <w:color w:val="1F1F1F"/>
        </w:rPr>
        <w:t>, 41(6), pp. 647–658.</w:t>
      </w:r>
    </w:p>
    <w:p w14:paraId="18468BCE"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Yin, Z., Zhang, L. and Xu, Y. (2023) 'Government subsidies, microcredit, and firm performance in rural markets', </w:t>
      </w:r>
      <w:r>
        <w:rPr>
          <w:color w:val="1F1F1F"/>
          <w:bdr w:val="none" w:sz="0" w:space="0" w:color="auto" w:frame="1"/>
        </w:rPr>
        <w:t>World Development</w:t>
      </w:r>
      <w:r>
        <w:rPr>
          <w:color w:val="1F1F1F"/>
        </w:rPr>
        <w:t>, 162, p. 106120.</w:t>
      </w:r>
    </w:p>
    <w:p w14:paraId="656E173B" w14:textId="77777777" w:rsidR="00253979" w:rsidRPr="00624BD6" w:rsidRDefault="00253979" w:rsidP="00624BD6">
      <w:pPr>
        <w:spacing w:after="160" w:line="360" w:lineRule="auto"/>
        <w:ind w:left="360" w:hanging="360"/>
        <w:jc w:val="both"/>
        <w:rPr>
          <w:sz w:val="24"/>
          <w:szCs w:val="24"/>
        </w:rPr>
      </w:pPr>
    </w:p>
    <w:p w14:paraId="4B7E1184" w14:textId="77777777" w:rsidR="00A428CB" w:rsidRDefault="00A428CB">
      <w:pPr>
        <w:sectPr w:rsidR="00A428CB">
          <w:pgSz w:w="11906" w:h="16838"/>
          <w:pgMar w:top="1440" w:right="1440" w:bottom="1440" w:left="1440" w:header="708" w:footer="708" w:gutter="0"/>
          <w:cols w:space="720"/>
          <w:docGrid w:linePitch="360"/>
        </w:sectPr>
      </w:pPr>
    </w:p>
    <w:p w14:paraId="3E72E20D" w14:textId="77777777" w:rsidR="00A428CB" w:rsidRDefault="00C80D20">
      <w:pPr>
        <w:pStyle w:val="Heading1"/>
      </w:pPr>
      <w:r>
        <w:lastRenderedPageBreak/>
        <w:t>Appendix: Annotated Bibliography</w:t>
      </w:r>
    </w:p>
    <w:p w14:paraId="5856D22E" w14:textId="77777777" w:rsidR="00A428CB" w:rsidRDefault="00C80D20">
      <w:pPr>
        <w:jc w:val="center"/>
      </w:pPr>
      <w:r>
        <w:rPr>
          <w:i/>
        </w:rPr>
        <w:t>The Role of Microcredit and Business Development Services in Supporting Rural Income-Generating Activities and Sustainable Rural Entrepreneurship in Developing Countries</w:t>
      </w:r>
    </w:p>
    <w:tbl>
      <w:tblPr>
        <w:tblW w:w="0" w:type="auto"/>
        <w:tblBorders>
          <w:top w:val="single" w:sz="4" w:space="0" w:color="999999"/>
          <w:left w:val="single" w:sz="4" w:space="0" w:color="999999"/>
          <w:bottom w:val="single" w:sz="4" w:space="0" w:color="999999"/>
          <w:right w:val="single" w:sz="4" w:space="0" w:color="999999"/>
          <w:insideH w:val="single" w:sz="4" w:space="0" w:color="999999"/>
          <w:insideV w:val="single" w:sz="4" w:space="0" w:color="999999"/>
        </w:tblBorders>
        <w:tblLayout w:type="fixed"/>
        <w:tblLook w:val="04A0" w:firstRow="1" w:lastRow="0" w:firstColumn="1" w:lastColumn="0" w:noHBand="0" w:noVBand="1"/>
      </w:tblPr>
      <w:tblGrid>
        <w:gridCol w:w="504"/>
        <w:gridCol w:w="2736"/>
        <w:gridCol w:w="1080"/>
        <w:gridCol w:w="1512"/>
        <w:gridCol w:w="1512"/>
        <w:gridCol w:w="1224"/>
        <w:gridCol w:w="2088"/>
        <w:gridCol w:w="2088"/>
        <w:gridCol w:w="1872"/>
      </w:tblGrid>
      <w:tr w:rsidR="00A428CB" w14:paraId="441405BA" w14:textId="77777777">
        <w:tc>
          <w:tcPr>
            <w:tcW w:w="504" w:type="dxa"/>
            <w:shd w:val="clear" w:color="auto" w:fill="D9E2F3"/>
          </w:tcPr>
          <w:p w14:paraId="15CA172A" w14:textId="77777777" w:rsidR="00A428CB" w:rsidRDefault="00C80D20">
            <w:r>
              <w:rPr>
                <w:b/>
                <w:sz w:val="17"/>
              </w:rPr>
              <w:t>No.</w:t>
            </w:r>
          </w:p>
        </w:tc>
        <w:tc>
          <w:tcPr>
            <w:tcW w:w="2736" w:type="dxa"/>
            <w:shd w:val="clear" w:color="auto" w:fill="D9E2F3"/>
          </w:tcPr>
          <w:p w14:paraId="04E761AE" w14:textId="77777777" w:rsidR="00A428CB" w:rsidRDefault="00C80D20">
            <w:r>
              <w:rPr>
                <w:b/>
                <w:sz w:val="17"/>
              </w:rPr>
              <w:t>Author (Year) — Harvard Citation</w:t>
            </w:r>
          </w:p>
        </w:tc>
        <w:tc>
          <w:tcPr>
            <w:tcW w:w="1080" w:type="dxa"/>
            <w:shd w:val="clear" w:color="auto" w:fill="D9E2F3"/>
          </w:tcPr>
          <w:p w14:paraId="3B9B0543" w14:textId="77777777" w:rsidR="00A428CB" w:rsidRDefault="00C80D20">
            <w:r>
              <w:rPr>
                <w:b/>
                <w:sz w:val="17"/>
              </w:rPr>
              <w:t>Country</w:t>
            </w:r>
          </w:p>
        </w:tc>
        <w:tc>
          <w:tcPr>
            <w:tcW w:w="1512" w:type="dxa"/>
            <w:shd w:val="clear" w:color="auto" w:fill="D9E2F3"/>
          </w:tcPr>
          <w:p w14:paraId="4525A5E5" w14:textId="77777777" w:rsidR="00A428CB" w:rsidRDefault="00C80D20">
            <w:r>
              <w:rPr>
                <w:b/>
                <w:sz w:val="17"/>
              </w:rPr>
              <w:t>Concept</w:t>
            </w:r>
          </w:p>
        </w:tc>
        <w:tc>
          <w:tcPr>
            <w:tcW w:w="1512" w:type="dxa"/>
            <w:shd w:val="clear" w:color="auto" w:fill="D9E2F3"/>
          </w:tcPr>
          <w:p w14:paraId="505A11C4" w14:textId="77777777" w:rsidR="00A428CB" w:rsidRDefault="00C80D20">
            <w:r>
              <w:rPr>
                <w:b/>
                <w:sz w:val="17"/>
              </w:rPr>
              <w:t>Theoretical Lens</w:t>
            </w:r>
          </w:p>
        </w:tc>
        <w:tc>
          <w:tcPr>
            <w:tcW w:w="1224" w:type="dxa"/>
            <w:shd w:val="clear" w:color="auto" w:fill="D9E2F3"/>
          </w:tcPr>
          <w:p w14:paraId="2A68624C" w14:textId="77777777" w:rsidR="00A428CB" w:rsidRDefault="00C80D20">
            <w:r>
              <w:rPr>
                <w:b/>
                <w:sz w:val="17"/>
              </w:rPr>
              <w:t>Method</w:t>
            </w:r>
          </w:p>
        </w:tc>
        <w:tc>
          <w:tcPr>
            <w:tcW w:w="2088" w:type="dxa"/>
            <w:shd w:val="clear" w:color="auto" w:fill="D9E2F3"/>
          </w:tcPr>
          <w:p w14:paraId="018FCC23" w14:textId="77777777" w:rsidR="00A428CB" w:rsidRDefault="00C80D20">
            <w:r>
              <w:rPr>
                <w:b/>
                <w:sz w:val="17"/>
              </w:rPr>
              <w:t>Key Findings</w:t>
            </w:r>
          </w:p>
        </w:tc>
        <w:tc>
          <w:tcPr>
            <w:tcW w:w="2088" w:type="dxa"/>
            <w:shd w:val="clear" w:color="auto" w:fill="D9E2F3"/>
          </w:tcPr>
          <w:p w14:paraId="04971BFB" w14:textId="77777777" w:rsidR="00A428CB" w:rsidRDefault="00C80D20">
            <w:r>
              <w:rPr>
                <w:b/>
                <w:sz w:val="17"/>
              </w:rPr>
              <w:t>Research Gap</w:t>
            </w:r>
          </w:p>
        </w:tc>
        <w:tc>
          <w:tcPr>
            <w:tcW w:w="1872" w:type="dxa"/>
            <w:shd w:val="clear" w:color="auto" w:fill="D9E2F3"/>
          </w:tcPr>
          <w:p w14:paraId="341927AE" w14:textId="77777777" w:rsidR="00A428CB" w:rsidRDefault="00C80D20">
            <w:r>
              <w:rPr>
                <w:b/>
                <w:sz w:val="17"/>
              </w:rPr>
              <w:t>Contribution to This Study</w:t>
            </w:r>
          </w:p>
        </w:tc>
      </w:tr>
      <w:tr w:rsidR="00A428CB" w14:paraId="6EEEEE76" w14:textId="77777777">
        <w:tc>
          <w:tcPr>
            <w:tcW w:w="504" w:type="dxa"/>
          </w:tcPr>
          <w:p w14:paraId="4F2C7E02" w14:textId="77777777" w:rsidR="00A428CB" w:rsidRDefault="00C80D20">
            <w:r>
              <w:rPr>
                <w:b/>
                <w:sz w:val="16"/>
              </w:rPr>
              <w:t>1</w:t>
            </w:r>
          </w:p>
        </w:tc>
        <w:tc>
          <w:tcPr>
            <w:tcW w:w="2736" w:type="dxa"/>
          </w:tcPr>
          <w:p w14:paraId="78EAF52E" w14:textId="77777777" w:rsidR="00A428CB" w:rsidRDefault="00C80D20">
            <w:r>
              <w:rPr>
                <w:sz w:val="16"/>
              </w:rPr>
              <w:t>Abeysekera, R. (2020) 'Co-production in BDS: The evidence from the Sri Lankan microfinance sector', Financial Markets, Institutions and Risks, 4(3), pp. 63–71.</w:t>
            </w:r>
          </w:p>
        </w:tc>
        <w:tc>
          <w:tcPr>
            <w:tcW w:w="1080" w:type="dxa"/>
          </w:tcPr>
          <w:p w14:paraId="68CCD979" w14:textId="77777777" w:rsidR="00A428CB" w:rsidRDefault="00C80D20">
            <w:r>
              <w:rPr>
                <w:sz w:val="16"/>
              </w:rPr>
              <w:t>Sri Lanka</w:t>
            </w:r>
          </w:p>
        </w:tc>
        <w:tc>
          <w:tcPr>
            <w:tcW w:w="1512" w:type="dxa"/>
          </w:tcPr>
          <w:p w14:paraId="15BFE93A" w14:textId="77777777" w:rsidR="00A428CB" w:rsidRDefault="00C80D20">
            <w:r>
              <w:rPr>
                <w:sz w:val="16"/>
              </w:rPr>
              <w:t>Microcredit + BDS (credit-plus model)</w:t>
            </w:r>
          </w:p>
        </w:tc>
        <w:tc>
          <w:tcPr>
            <w:tcW w:w="1512" w:type="dxa"/>
          </w:tcPr>
          <w:p w14:paraId="7E63099E" w14:textId="77777777" w:rsidR="00A428CB" w:rsidRDefault="00C80D20">
            <w:r>
              <w:rPr>
                <w:sz w:val="16"/>
              </w:rPr>
              <w:t>Human Capital Theory / Capability Approach</w:t>
            </w:r>
          </w:p>
        </w:tc>
        <w:tc>
          <w:tcPr>
            <w:tcW w:w="1224" w:type="dxa"/>
          </w:tcPr>
          <w:p w14:paraId="3874F167" w14:textId="77777777" w:rsidR="00A428CB" w:rsidRDefault="00C80D20">
            <w:r>
              <w:rPr>
                <w:sz w:val="16"/>
              </w:rPr>
              <w:t>Mixed methods</w:t>
            </w:r>
          </w:p>
        </w:tc>
        <w:tc>
          <w:tcPr>
            <w:tcW w:w="2088" w:type="dxa"/>
          </w:tcPr>
          <w:p w14:paraId="795DD1C2" w14:textId="77777777" w:rsidR="00A428CB" w:rsidRDefault="00C80D20">
            <w:r>
              <w:rPr>
                <w:sz w:val="16"/>
              </w:rPr>
              <w:t>Integrating microcredit with mentoring, financial literacy and entrepreneurship training improves business performance and loan repayment.</w:t>
            </w:r>
          </w:p>
        </w:tc>
        <w:tc>
          <w:tcPr>
            <w:tcW w:w="2088" w:type="dxa"/>
          </w:tcPr>
          <w:p w14:paraId="1F44FB69" w14:textId="77777777" w:rsidR="00A428CB" w:rsidRDefault="00C80D20">
            <w:r>
              <w:rPr>
                <w:sz w:val="16"/>
              </w:rPr>
              <w:t>Limited evidence on long-term effectiveness; MFIs often lack capacity to deliver quality BDS.</w:t>
            </w:r>
          </w:p>
        </w:tc>
        <w:tc>
          <w:tcPr>
            <w:tcW w:w="1872" w:type="dxa"/>
          </w:tcPr>
          <w:p w14:paraId="346DAF68" w14:textId="77777777" w:rsidR="00A428CB" w:rsidRDefault="00C80D20">
            <w:r>
              <w:rPr>
                <w:sz w:val="16"/>
              </w:rPr>
              <w:t xml:space="preserve">Core empirical basis for the 'credit-plus' model used throughout the study.</w:t>
            </w:r>
          </w:p>
        </w:tc>
      </w:tr>
      <w:tr w:rsidR="00A428CB" w14:paraId="5AF8AA32" w14:textId="77777777">
        <w:tc>
          <w:tcPr>
            <w:tcW w:w="504" w:type="dxa"/>
          </w:tcPr>
          <w:p w14:paraId="5F3F2238" w14:textId="77777777" w:rsidR="00A428CB" w:rsidRDefault="00C80D20">
            <w:r>
              <w:rPr>
                <w:b/>
                <w:sz w:val="16"/>
              </w:rPr>
              <w:t>2</w:t>
            </w:r>
          </w:p>
        </w:tc>
        <w:tc>
          <w:tcPr>
            <w:tcW w:w="2736" w:type="dxa"/>
          </w:tcPr>
          <w:p w14:paraId="1410BA34" w14:textId="77777777" w:rsidR="00A428CB" w:rsidRDefault="00C80D20">
            <w:r>
              <w:rPr>
                <w:sz w:val="16"/>
              </w:rPr>
              <w:t>Amdemichael, H.L. (2025) 'Effects of behaviour-based entrepreneurship training and business development services on micro and small enterprises growth and performance: a case study on the Entrepreneurship Development Institute (EDI) Ethiopia', Journal of Innovation and Entrepreneurship, 14(1), pp. 1–24.</w:t>
            </w:r>
          </w:p>
        </w:tc>
        <w:tc>
          <w:tcPr>
            <w:tcW w:w="1080" w:type="dxa"/>
          </w:tcPr>
          <w:p w14:paraId="60C41A08" w14:textId="77777777" w:rsidR="00A428CB" w:rsidRDefault="00C80D20">
            <w:r>
              <w:rPr>
                <w:sz w:val="16"/>
              </w:rPr>
              <w:t>Ethiopia</w:t>
            </w:r>
          </w:p>
        </w:tc>
        <w:tc>
          <w:tcPr>
            <w:tcW w:w="1512" w:type="dxa"/>
          </w:tcPr>
          <w:p w14:paraId="5E278723" w14:textId="77777777" w:rsidR="00A428CB" w:rsidRDefault="00C80D20">
            <w:r>
              <w:rPr>
                <w:sz w:val="16"/>
              </w:rPr>
              <w:t>Behaviour-based entrepreneurship training and BDS</w:t>
            </w:r>
          </w:p>
        </w:tc>
        <w:tc>
          <w:tcPr>
            <w:tcW w:w="1512" w:type="dxa"/>
          </w:tcPr>
          <w:p w14:paraId="2D782893" w14:textId="77777777" w:rsidR="00A428CB" w:rsidRDefault="00C80D20">
            <w:r>
              <w:rPr>
                <w:sz w:val="16"/>
              </w:rPr>
              <w:t>Behavioural/competency-based training perspective</w:t>
            </w:r>
          </w:p>
        </w:tc>
        <w:tc>
          <w:tcPr>
            <w:tcW w:w="1224" w:type="dxa"/>
          </w:tcPr>
          <w:p w14:paraId="75B96797" w14:textId="77777777" w:rsidR="00A428CB" w:rsidRDefault="00C80D20">
            <w:r>
              <w:rPr>
                <w:sz w:val="16"/>
              </w:rPr>
              <w:t>Quantitative (descriptive statistics, regression)</w:t>
            </w:r>
          </w:p>
        </w:tc>
        <w:tc>
          <w:tcPr>
            <w:tcW w:w="2088" w:type="dxa"/>
          </w:tcPr>
          <w:p w14:paraId="64C8040A" w14:textId="77777777" w:rsidR="00A428CB" w:rsidRDefault="00C80D20">
            <w:r>
              <w:rPr>
                <w:sz w:val="16"/>
              </w:rPr>
              <w:t>Behaviour-based training and BDS interventions significantly improve MSE growth, performance and competencies.</w:t>
            </w:r>
          </w:p>
        </w:tc>
        <w:tc>
          <w:tcPr>
            <w:tcW w:w="2088" w:type="dxa"/>
          </w:tcPr>
          <w:p w14:paraId="684FDAF5" w14:textId="77777777" w:rsidR="00A428CB" w:rsidRDefault="00C80D20">
            <w:r>
              <w:rPr>
                <w:sz w:val="16"/>
              </w:rPr>
              <w:t>Examines BDS in isolation, without testing interaction with microcredit access.</w:t>
            </w:r>
          </w:p>
        </w:tc>
        <w:tc>
          <w:tcPr>
            <w:tcW w:w="1872" w:type="dxa"/>
          </w:tcPr>
          <w:p w14:paraId="5A8FD559" w14:textId="77777777" w:rsidR="00A428CB" w:rsidRDefault="00C80D20">
            <w:r>
              <w:rPr>
                <w:sz w:val="16"/>
              </w:rPr>
              <w:t>Illustrates the 'BDS-only' strand of the literature and the fragmented treatment of credit and training.</w:t>
            </w:r>
          </w:p>
        </w:tc>
      </w:tr>
      <w:tr w:rsidR="00A428CB" w14:paraId="6CCE0A36" w14:textId="77777777">
        <w:tc>
          <w:tcPr>
            <w:tcW w:w="504" w:type="dxa"/>
          </w:tcPr>
          <w:p w14:paraId="10A62B77" w14:textId="77777777" w:rsidR="00A428CB" w:rsidRDefault="00C80D20">
            <w:r>
              <w:rPr>
                <w:b/>
                <w:sz w:val="16"/>
              </w:rPr>
              <w:t>3</w:t>
            </w:r>
          </w:p>
        </w:tc>
        <w:tc>
          <w:tcPr>
            <w:tcW w:w="2736" w:type="dxa"/>
          </w:tcPr>
          <w:p w14:paraId="51DE2BE7" w14:textId="77777777" w:rsidR="00A428CB" w:rsidRDefault="00C80D20">
            <w:r>
              <w:rPr>
                <w:sz w:val="16"/>
              </w:rPr>
              <w:t>Ashta, A., Khan, S. and Otto, R. (2014) 'Microcredit and household debt dynamics in developing economies', Journal of Development Studies, 50(4), pp. 512–526.</w:t>
            </w:r>
          </w:p>
        </w:tc>
        <w:tc>
          <w:tcPr>
            <w:tcW w:w="1080" w:type="dxa"/>
          </w:tcPr>
          <w:p w14:paraId="5347152F" w14:textId="77777777" w:rsidR="00A428CB" w:rsidRDefault="00C80D20">
            <w:r>
              <w:rPr>
                <w:sz w:val="16"/>
              </w:rPr>
              <w:t>Developing economies (cross-country)</w:t>
            </w:r>
          </w:p>
        </w:tc>
        <w:tc>
          <w:tcPr>
            <w:tcW w:w="1512" w:type="dxa"/>
          </w:tcPr>
          <w:p w14:paraId="690484DD" w14:textId="77777777" w:rsidR="00A428CB" w:rsidRDefault="00C80D20">
            <w:r>
              <w:rPr>
                <w:sz w:val="16"/>
              </w:rPr>
              <w:t>Microcredit and household debt dynamics</w:t>
            </w:r>
          </w:p>
        </w:tc>
        <w:tc>
          <w:tcPr>
            <w:tcW w:w="1512" w:type="dxa"/>
          </w:tcPr>
          <w:p w14:paraId="6D69F57D" w14:textId="77777777" w:rsidR="00A428CB" w:rsidRDefault="00C80D20">
            <w:r>
              <w:rPr>
                <w:sz w:val="16"/>
              </w:rPr>
              <w:t>Institutional / credit-risk perspective</w:t>
            </w:r>
          </w:p>
        </w:tc>
        <w:tc>
          <w:tcPr>
            <w:tcW w:w="1224" w:type="dxa"/>
          </w:tcPr>
          <w:p w14:paraId="14FBA922" w14:textId="77777777" w:rsidR="00A428CB" w:rsidRDefault="00C80D20">
            <w:r>
              <w:rPr>
                <w:sz w:val="16"/>
              </w:rPr>
              <w:t>Analytical/empirical review of lending practice</w:t>
            </w:r>
          </w:p>
        </w:tc>
        <w:tc>
          <w:tcPr>
            <w:tcW w:w="2088" w:type="dxa"/>
          </w:tcPr>
          <w:p w14:paraId="15944669" w14:textId="77777777" w:rsidR="00A428CB" w:rsidRDefault="00C80D20">
            <w:r>
              <w:rPr>
                <w:sz w:val="16"/>
              </w:rPr>
              <w:t>Weak lending assessment practices can trap vulnerable households in cycles of debt.</w:t>
            </w:r>
          </w:p>
        </w:tc>
        <w:tc>
          <w:tcPr>
            <w:tcW w:w="2088" w:type="dxa"/>
          </w:tcPr>
          <w:p w14:paraId="745DE170" w14:textId="77777777" w:rsidR="00A428CB" w:rsidRDefault="00C80D20">
            <w:r>
              <w:rPr>
                <w:sz w:val="16"/>
              </w:rPr>
              <w:t>Limited attention to how better screening or complementary support could offset debt-trap risk.</w:t>
            </w:r>
          </w:p>
        </w:tc>
        <w:tc>
          <w:tcPr>
            <w:tcW w:w="1872" w:type="dxa"/>
          </w:tcPr>
          <w:p w14:paraId="509E87D6" w14:textId="77777777" w:rsidR="00A428CB" w:rsidRDefault="00C80D20">
            <w:r>
              <w:rPr>
                <w:sz w:val="16"/>
              </w:rPr>
              <w:t>Supports the argument that institutional weaknesses, not microcredit itself, drive negative outcomes.</w:t>
            </w:r>
          </w:p>
        </w:tc>
      </w:tr>
      <w:tr w:rsidR="00A428CB" w14:paraId="3EDEA15B" w14:textId="77777777">
        <w:tc>
          <w:tcPr>
            <w:tcW w:w="504" w:type="dxa"/>
          </w:tcPr>
          <w:p w14:paraId="376AA1EB" w14:textId="77777777" w:rsidR="00A428CB" w:rsidRDefault="00C80D20">
            <w:r>
              <w:rPr>
                <w:b/>
                <w:sz w:val="16"/>
              </w:rPr>
              <w:t>4</w:t>
            </w:r>
          </w:p>
        </w:tc>
        <w:tc>
          <w:tcPr>
            <w:tcW w:w="2736" w:type="dxa"/>
          </w:tcPr>
          <w:p w14:paraId="10D28838" w14:textId="77777777" w:rsidR="00A428CB" w:rsidRDefault="00C80D20">
            <w:r>
              <w:rPr>
                <w:sz w:val="16"/>
              </w:rPr>
              <w:t>Ault, J.K. (2016) 'Institutional environment and microfinance performance: A cross-country study', Journal of International Business Studies, 47(8), pp. 910–935.</w:t>
            </w:r>
          </w:p>
        </w:tc>
        <w:tc>
          <w:tcPr>
            <w:tcW w:w="1080" w:type="dxa"/>
          </w:tcPr>
          <w:p w14:paraId="77C089A2" w14:textId="77777777" w:rsidR="00A428CB" w:rsidRDefault="00C80D20">
            <w:r>
              <w:rPr>
                <w:sz w:val="16"/>
              </w:rPr>
              <w:t>Cross-country (developing countries)</w:t>
            </w:r>
          </w:p>
        </w:tc>
        <w:tc>
          <w:tcPr>
            <w:tcW w:w="1512" w:type="dxa"/>
          </w:tcPr>
          <w:p w14:paraId="306CFC05" w14:textId="77777777" w:rsidR="00A428CB" w:rsidRDefault="00C80D20">
            <w:r>
              <w:rPr>
                <w:sz w:val="16"/>
              </w:rPr>
              <w:t>Institutional environment and microfinance performance</w:t>
            </w:r>
          </w:p>
        </w:tc>
        <w:tc>
          <w:tcPr>
            <w:tcW w:w="1512" w:type="dxa"/>
          </w:tcPr>
          <w:p w14:paraId="600D2282" w14:textId="77777777" w:rsidR="00A428CB" w:rsidRDefault="00C80D20">
            <w:r>
              <w:rPr>
                <w:sz w:val="16"/>
              </w:rPr>
              <w:t>Institutional Theory</w:t>
            </w:r>
          </w:p>
        </w:tc>
        <w:tc>
          <w:tcPr>
            <w:tcW w:w="1224" w:type="dxa"/>
          </w:tcPr>
          <w:p w14:paraId="72F1B522" w14:textId="77777777" w:rsidR="00A428CB" w:rsidRDefault="00C80D20">
            <w:r>
              <w:rPr>
                <w:sz w:val="16"/>
              </w:rPr>
              <w:t>Quantitative cross-country study</w:t>
            </w:r>
          </w:p>
        </w:tc>
        <w:tc>
          <w:tcPr>
            <w:tcW w:w="2088" w:type="dxa"/>
          </w:tcPr>
          <w:p w14:paraId="3DBEC65F" w14:textId="77777777" w:rsidR="00A428CB" w:rsidRDefault="00C80D20">
            <w:r>
              <w:rPr>
                <w:sz w:val="16"/>
              </w:rPr>
              <w:t>The institutional environment shapes microfinance performance and outreach to the poor.</w:t>
            </w:r>
          </w:p>
        </w:tc>
        <w:tc>
          <w:tcPr>
            <w:tcW w:w="2088" w:type="dxa"/>
          </w:tcPr>
          <w:p w14:paraId="5ACD0F70" w14:textId="77777777" w:rsidR="00A428CB" w:rsidRDefault="00C80D20">
            <w:r>
              <w:rPr>
                <w:sz w:val="16"/>
              </w:rPr>
              <w:t>Rural-specific institutional constraints interacting with BDS are not the study's focus.</w:t>
            </w:r>
          </w:p>
        </w:tc>
        <w:tc>
          <w:tcPr>
            <w:tcW w:w="1872" w:type="dxa"/>
          </w:tcPr>
          <w:p w14:paraId="07D62F3B" w14:textId="77777777" w:rsidR="00A428CB" w:rsidRDefault="00C80D20">
            <w:r>
              <w:rPr>
                <w:sz w:val="16"/>
              </w:rPr>
              <w:t>Provides institutional and definitional grounding for the study's background and 'rural areas' definition.</w:t>
            </w:r>
          </w:p>
        </w:tc>
      </w:tr>
      <w:tr w:rsidR="00A428CB" w14:paraId="1D7DA55A" w14:textId="77777777">
        <w:tc>
          <w:tcPr>
            <w:tcW w:w="504" w:type="dxa"/>
          </w:tcPr>
          <w:p w14:paraId="7DE0FF5D" w14:textId="77777777" w:rsidR="00A428CB" w:rsidRDefault="00C80D20">
            <w:r>
              <w:rPr>
                <w:b/>
                <w:sz w:val="16"/>
              </w:rPr>
              <w:t>5</w:t>
            </w:r>
          </w:p>
        </w:tc>
        <w:tc>
          <w:tcPr>
            <w:tcW w:w="2736" w:type="dxa"/>
          </w:tcPr>
          <w:p w14:paraId="3BB194C9" w14:textId="77777777" w:rsidR="00A428CB" w:rsidRDefault="00C80D20">
            <w:r>
              <w:rPr>
                <w:sz w:val="16"/>
              </w:rPr>
              <w:t xml:space="preserve">Bandiera, O., Buehren, N., Burgess, R., Goldstein, M., Heal, J., Rasul, I. and Sulaiman, M. (2020) 'Women's empowerment in action: Evidence from a randomized control trial in Africa', American Economic Journal: Applied Economics, 12(1), pp. 210–259.</w:t>
            </w:r>
          </w:p>
        </w:tc>
        <w:tc>
          <w:tcPr>
            <w:tcW w:w="1080" w:type="dxa"/>
          </w:tcPr>
          <w:p w14:paraId="26A5C28E" w14:textId="77777777" w:rsidR="00A428CB" w:rsidRDefault="00C80D20">
            <w:r>
              <w:rPr>
                <w:sz w:val="16"/>
              </w:rPr>
              <w:t>Sub-Saharan Africa</w:t>
            </w:r>
          </w:p>
        </w:tc>
        <w:tc>
          <w:tcPr>
            <w:tcW w:w="1512" w:type="dxa"/>
          </w:tcPr>
          <w:p w14:paraId="40258BC4" w14:textId="77777777" w:rsidR="00A428CB" w:rsidRDefault="00C80D20">
            <w:r>
              <w:rPr>
                <w:sz w:val="16"/>
              </w:rPr>
              <w:t>Women's empowerment and skills training</w:t>
            </w:r>
          </w:p>
        </w:tc>
        <w:tc>
          <w:tcPr>
            <w:tcW w:w="1512" w:type="dxa"/>
          </w:tcPr>
          <w:p w14:paraId="7B6FB14C" w14:textId="77777777" w:rsidR="00A428CB" w:rsidRDefault="00C80D20">
            <w:r>
              <w:rPr>
                <w:sz w:val="16"/>
              </w:rPr>
              <w:t>Women's Empowerment Framework</w:t>
            </w:r>
          </w:p>
        </w:tc>
        <w:tc>
          <w:tcPr>
            <w:tcW w:w="1224" w:type="dxa"/>
          </w:tcPr>
          <w:p w14:paraId="06F19B50" w14:textId="77777777" w:rsidR="00A428CB" w:rsidRDefault="00C80D20">
            <w:r>
              <w:rPr>
                <w:sz w:val="16"/>
              </w:rPr>
              <w:t>Randomised controlled trial</w:t>
            </w:r>
          </w:p>
        </w:tc>
        <w:tc>
          <w:tcPr>
            <w:tcW w:w="2088" w:type="dxa"/>
          </w:tcPr>
          <w:p w14:paraId="7DDFF259" w14:textId="77777777" w:rsidR="00A428CB" w:rsidRDefault="00C80D20">
            <w:r>
              <w:rPr>
                <w:sz w:val="16"/>
              </w:rPr>
              <w:t>Combined vocational and life-skills training improves young women's economic and social empowerment.</w:t>
            </w:r>
          </w:p>
        </w:tc>
        <w:tc>
          <w:tcPr>
            <w:tcW w:w="2088" w:type="dxa"/>
          </w:tcPr>
          <w:p w14:paraId="13613992" w14:textId="77777777" w:rsidR="00A428CB" w:rsidRDefault="00C80D20">
            <w:r>
              <w:rPr>
                <w:sz w:val="16"/>
              </w:rPr>
              <w:t>Does not test the intervention alongside access to credit.</w:t>
            </w:r>
          </w:p>
        </w:tc>
        <w:tc>
          <w:tcPr>
            <w:tcW w:w="1872" w:type="dxa"/>
          </w:tcPr>
          <w:p w14:paraId="13EA459F" w14:textId="77777777" w:rsidR="00A428CB" w:rsidRDefault="00C80D20">
            <w:r>
              <w:rPr>
                <w:sz w:val="16"/>
              </w:rPr>
              <w:t xml:space="preserve">RCT evidence that non-financial skill-building alone can improve outcomes, motivating a joint credit+BDS test.</w:t>
            </w:r>
          </w:p>
        </w:tc>
      </w:tr>
      <w:tr w:rsidR="00A428CB" w14:paraId="6640E4D2" w14:textId="77777777">
        <w:tc>
          <w:tcPr>
            <w:tcW w:w="504" w:type="dxa"/>
          </w:tcPr>
          <w:p w14:paraId="783D3732" w14:textId="77777777" w:rsidR="00A428CB" w:rsidRDefault="00C80D20">
            <w:r>
              <w:rPr>
                <w:b/>
                <w:sz w:val="16"/>
              </w:rPr>
              <w:t>6</w:t>
            </w:r>
          </w:p>
        </w:tc>
        <w:tc>
          <w:tcPr>
            <w:tcW w:w="2736" w:type="dxa"/>
          </w:tcPr>
          <w:p w14:paraId="5F7B80A2" w14:textId="77777777" w:rsidR="00A428CB" w:rsidRDefault="00C80D20">
            <w:r>
              <w:rPr>
                <w:sz w:val="16"/>
              </w:rPr>
              <w:t xml:space="preserve">Charfeddine, L. and Zaouali, S. (2022) 'The effects of financial inclusion and the business environment in spurring the creation of early-stage firms and supporting established firms', Journal of Business Research, 143, pp. 1–15.</w:t>
            </w:r>
          </w:p>
        </w:tc>
        <w:tc>
          <w:tcPr>
            <w:tcW w:w="1080" w:type="dxa"/>
          </w:tcPr>
          <w:p w14:paraId="2002B047" w14:textId="77777777" w:rsidR="00A428CB" w:rsidRDefault="00C80D20">
            <w:r>
              <w:rPr>
                <w:sz w:val="16"/>
              </w:rPr>
              <w:t>Cross-country panel</w:t>
            </w:r>
          </w:p>
        </w:tc>
        <w:tc>
          <w:tcPr>
            <w:tcW w:w="1512" w:type="dxa"/>
          </w:tcPr>
          <w:p w14:paraId="22315D13" w14:textId="77777777" w:rsidR="00A428CB" w:rsidRDefault="00C80D20">
            <w:r>
              <w:rPr>
                <w:sz w:val="16"/>
              </w:rPr>
              <w:t>Financial inclusion and enterprise creation</w:t>
            </w:r>
          </w:p>
        </w:tc>
        <w:tc>
          <w:tcPr>
            <w:tcW w:w="1512" w:type="dxa"/>
          </w:tcPr>
          <w:p w14:paraId="5ACC6E1A" w14:textId="77777777" w:rsidR="00A428CB" w:rsidRDefault="00C80D20">
            <w:r>
              <w:rPr>
                <w:sz w:val="16"/>
              </w:rPr>
              <w:t>Financial Inclusion Theory</w:t>
            </w:r>
          </w:p>
        </w:tc>
        <w:tc>
          <w:tcPr>
            <w:tcW w:w="1224" w:type="dxa"/>
          </w:tcPr>
          <w:p w14:paraId="6FA8D13B" w14:textId="77777777" w:rsidR="00A428CB" w:rsidRDefault="00C80D20">
            <w:r>
              <w:rPr>
                <w:sz w:val="16"/>
              </w:rPr>
              <w:t>Quantitative panel/econometric analysis</w:t>
            </w:r>
          </w:p>
        </w:tc>
        <w:tc>
          <w:tcPr>
            <w:tcW w:w="2088" w:type="dxa"/>
          </w:tcPr>
          <w:p w14:paraId="3A6FB2F4" w14:textId="77777777" w:rsidR="00A428CB" w:rsidRDefault="00C80D20">
            <w:r>
              <w:rPr>
                <w:sz w:val="16"/>
              </w:rPr>
              <w:t>Financial inclusion and a supportive business environment jointly spur firm creation and survival.</w:t>
            </w:r>
          </w:p>
        </w:tc>
        <w:tc>
          <w:tcPr>
            <w:tcW w:w="2088" w:type="dxa"/>
          </w:tcPr>
          <w:p w14:paraId="6A31117B" w14:textId="77777777" w:rsidR="00A428CB" w:rsidRDefault="00C80D20">
            <w:r>
              <w:rPr>
                <w:sz w:val="16"/>
              </w:rPr>
              <w:t>Macro/country-level analysis; does not examine rural micro-enterprises or BDS.</w:t>
            </w:r>
          </w:p>
        </w:tc>
        <w:tc>
          <w:tcPr>
            <w:tcW w:w="1872" w:type="dxa"/>
          </w:tcPr>
          <w:p w14:paraId="77788987" w14:textId="77777777" w:rsidR="00A428CB" w:rsidRDefault="00C80D20">
            <w:r>
              <w:rPr>
                <w:sz w:val="16"/>
              </w:rPr>
              <w:t>Macro-level evidence for the Financial Inclusion Theory link used in Section 3.6.1.</w:t>
            </w:r>
          </w:p>
        </w:tc>
      </w:tr>
      <w:tr w:rsidR="00A428CB" w14:paraId="5EC7E41F" w14:textId="77777777">
        <w:tc>
          <w:tcPr>
            <w:tcW w:w="504" w:type="dxa"/>
          </w:tcPr>
          <w:p w14:paraId="629731F7" w14:textId="77777777" w:rsidR="00A428CB" w:rsidRDefault="00C80D20">
            <w:r>
              <w:rPr>
                <w:b/>
                <w:sz w:val="16"/>
              </w:rPr>
              <w:t>7</w:t>
            </w:r>
          </w:p>
        </w:tc>
        <w:tc>
          <w:tcPr>
            <w:tcW w:w="2736" w:type="dxa"/>
          </w:tcPr>
          <w:p w14:paraId="5D64BD3A" w14:textId="77777777" w:rsidR="00A428CB" w:rsidRDefault="00C80D20">
            <w:r>
              <w:rPr>
                <w:sz w:val="16"/>
              </w:rPr>
              <w:t xml:space="preserve">Chliova, M., Brinckmann, J. and Rosenbusch, N. (2015) 'Is microfinance a panacea? A meta-analytic investigation of its impact in developing countries', Journal of Business Venturing, 30(3), pp. 467–487.</w:t>
            </w:r>
          </w:p>
        </w:tc>
        <w:tc>
          <w:tcPr>
            <w:tcW w:w="1080" w:type="dxa"/>
          </w:tcPr>
          <w:p w14:paraId="7CBC3481" w14:textId="77777777" w:rsidR="00A428CB" w:rsidRDefault="00C80D20">
            <w:r>
              <w:rPr>
                <w:sz w:val="16"/>
              </w:rPr>
              <w:t>Developing countries (multi-country)</w:t>
            </w:r>
          </w:p>
        </w:tc>
        <w:tc>
          <w:tcPr>
            <w:tcW w:w="1512" w:type="dxa"/>
          </w:tcPr>
          <w:p w14:paraId="5B374248" w14:textId="77777777" w:rsidR="00A428CB" w:rsidRDefault="00C80D20">
            <w:r>
              <w:rPr>
                <w:sz w:val="16"/>
              </w:rPr>
              <w:t>Microfinance impact (meta-analysis)</w:t>
            </w:r>
          </w:p>
        </w:tc>
        <w:tc>
          <w:tcPr>
            <w:tcW w:w="1512" w:type="dxa"/>
          </w:tcPr>
          <w:p w14:paraId="71F6A316" w14:textId="77777777" w:rsidR="00A428CB" w:rsidRDefault="00C80D20">
            <w:r>
              <w:rPr>
                <w:sz w:val="16"/>
              </w:rPr>
              <w:t>Institutional contingency perspective</w:t>
            </w:r>
          </w:p>
        </w:tc>
        <w:tc>
          <w:tcPr>
            <w:tcW w:w="1224" w:type="dxa"/>
          </w:tcPr>
          <w:p w14:paraId="1DDB8884" w14:textId="77777777" w:rsidR="00A428CB" w:rsidRDefault="00C80D20">
            <w:r>
              <w:rPr>
                <w:sz w:val="16"/>
              </w:rPr>
              <w:t>Meta-analysis</w:t>
            </w:r>
          </w:p>
        </w:tc>
        <w:tc>
          <w:tcPr>
            <w:tcW w:w="2088" w:type="dxa"/>
          </w:tcPr>
          <w:p w14:paraId="0A10FDCF" w14:textId="77777777" w:rsidR="00A428CB" w:rsidRDefault="00C80D20">
            <w:r>
              <w:rPr>
                <w:sz w:val="16"/>
              </w:rPr>
              <w:t>Microfinance's impact on venture performance is inconsistent and moderated by institutional/design factors.</w:t>
            </w:r>
          </w:p>
        </w:tc>
        <w:tc>
          <w:tcPr>
            <w:tcW w:w="2088" w:type="dxa"/>
          </w:tcPr>
          <w:p w14:paraId="48E5971C" w14:textId="77777777" w:rsidR="00A428CB" w:rsidRDefault="00C80D20">
            <w:r>
              <w:rPr>
                <w:sz w:val="16"/>
              </w:rPr>
              <w:t>Calls for research into which complementary conditions make microfinance effective.</w:t>
            </w:r>
          </w:p>
        </w:tc>
        <w:tc>
          <w:tcPr>
            <w:tcW w:w="1872" w:type="dxa"/>
          </w:tcPr>
          <w:p w14:paraId="2AE2EDC2" w14:textId="77777777" w:rsidR="00A428CB" w:rsidRDefault="00C80D20">
            <w:r>
              <w:rPr>
                <w:sz w:val="16"/>
              </w:rPr>
              <w:t xml:space="preserve">Evidence that credit alone is not a 'panacea', motivating the combined microcredit+BDS focus.</w:t>
            </w:r>
          </w:p>
        </w:tc>
      </w:tr>
      <w:tr w:rsidR="00A428CB" w14:paraId="59972DB5" w14:textId="77777777">
        <w:tc>
          <w:tcPr>
            <w:tcW w:w="504" w:type="dxa"/>
          </w:tcPr>
          <w:p w14:paraId="35875F64" w14:textId="77777777" w:rsidR="00A428CB" w:rsidRDefault="00C80D20">
            <w:r>
              <w:rPr>
                <w:b/>
                <w:sz w:val="16"/>
              </w:rPr>
              <w:lastRenderedPageBreak/>
              <w:t>8</w:t>
            </w:r>
          </w:p>
        </w:tc>
        <w:tc>
          <w:tcPr>
            <w:tcW w:w="2736" w:type="dxa"/>
          </w:tcPr>
          <w:p w14:paraId="256348E9" w14:textId="77777777" w:rsidR="00A428CB" w:rsidRDefault="00C80D20">
            <w:r>
              <w:rPr>
                <w:sz w:val="16"/>
              </w:rPr>
              <w:t xml:space="preserve">Cho, Y., Robalino, D. and Watson, S. (2016) 'Supporting self-employment and micro-enterprises in developing countries', World Development, 86, pp. 1–15.</w:t>
            </w:r>
          </w:p>
        </w:tc>
        <w:tc>
          <w:tcPr>
            <w:tcW w:w="1080" w:type="dxa"/>
          </w:tcPr>
          <w:p w14:paraId="6CF0D45B" w14:textId="77777777" w:rsidR="00A428CB" w:rsidRDefault="00C80D20">
            <w:r>
              <w:rPr>
                <w:sz w:val="16"/>
              </w:rPr>
              <w:t>Developing countries</w:t>
            </w:r>
          </w:p>
        </w:tc>
        <w:tc>
          <w:tcPr>
            <w:tcW w:w="1512" w:type="dxa"/>
          </w:tcPr>
          <w:p w14:paraId="6E0F8C5C" w14:textId="77777777" w:rsidR="00A428CB" w:rsidRDefault="00C80D20">
            <w:r>
              <w:rPr>
                <w:sz w:val="16"/>
              </w:rPr>
              <w:t>Self-employment and BDS</w:t>
            </w:r>
          </w:p>
        </w:tc>
        <w:tc>
          <w:tcPr>
            <w:tcW w:w="1512" w:type="dxa"/>
          </w:tcPr>
          <w:p w14:paraId="65889570" w14:textId="77777777" w:rsidR="00A428CB" w:rsidRDefault="00C80D20">
            <w:r>
              <w:rPr>
                <w:sz w:val="16"/>
              </w:rPr>
              <w:t>Livelihoods / self-employment policy perspective</w:t>
            </w:r>
          </w:p>
        </w:tc>
        <w:tc>
          <w:tcPr>
            <w:tcW w:w="1224" w:type="dxa"/>
          </w:tcPr>
          <w:p w14:paraId="43D9D8CE" w14:textId="77777777" w:rsidR="00A428CB" w:rsidRDefault="00C80D20">
            <w:r>
              <w:rPr>
                <w:sz w:val="16"/>
              </w:rPr>
              <w:t>Policy review/synthesis</w:t>
            </w:r>
          </w:p>
        </w:tc>
        <w:tc>
          <w:tcPr>
            <w:tcW w:w="2088" w:type="dxa"/>
          </w:tcPr>
          <w:p w14:paraId="175F3EFD" w14:textId="77777777" w:rsidR="00A428CB" w:rsidRDefault="00C80D20">
            <w:r>
              <w:rPr>
                <w:sz w:val="16"/>
              </w:rPr>
              <w:t>Self-employment reduces poverty but capital, skills, infrastructure and market barriers limit survival; BDS addresses these barriers.</w:t>
            </w:r>
          </w:p>
        </w:tc>
        <w:tc>
          <w:tcPr>
            <w:tcW w:w="2088" w:type="dxa"/>
          </w:tcPr>
          <w:p w14:paraId="3C0035D2" w14:textId="77777777" w:rsidR="00A428CB" w:rsidRDefault="00C80D20">
            <w:r>
              <w:rPr>
                <w:sz w:val="16"/>
              </w:rPr>
              <w:t>Limited evidence on how BDS should be sequenced or combined with credit.</w:t>
            </w:r>
          </w:p>
        </w:tc>
        <w:tc>
          <w:tcPr>
            <w:tcW w:w="1872" w:type="dxa"/>
          </w:tcPr>
          <w:p w14:paraId="6F1D7ED2" w14:textId="77777777" w:rsidR="00A428CB" w:rsidRDefault="00C80D20">
            <w:r>
              <w:rPr>
                <w:sz w:val="16"/>
              </w:rPr>
              <w:t>Source of the study's working definition of BDS and barriers rural entrepreneurs face.</w:t>
            </w:r>
          </w:p>
        </w:tc>
      </w:tr>
      <w:tr w:rsidR="00A428CB" w14:paraId="2AD031C6" w14:textId="77777777">
        <w:tc>
          <w:tcPr>
            <w:tcW w:w="504" w:type="dxa"/>
          </w:tcPr>
          <w:p w14:paraId="17C1567E" w14:textId="77777777" w:rsidR="00A428CB" w:rsidRDefault="00C80D20">
            <w:r>
              <w:rPr>
                <w:b/>
                <w:sz w:val="16"/>
              </w:rPr>
              <w:t>9</w:t>
            </w:r>
          </w:p>
        </w:tc>
        <w:tc>
          <w:tcPr>
            <w:tcW w:w="2736" w:type="dxa"/>
          </w:tcPr>
          <w:p w14:paraId="6F1FDC2A" w14:textId="77777777" w:rsidR="00A428CB" w:rsidRDefault="00C80D20">
            <w:r>
              <w:rPr>
                <w:sz w:val="16"/>
              </w:rPr>
              <w:t xml:space="preserve">Dalla Pellegrina, L., Di Maio, G., Landoni, P. and Rusinà, E. (2021) 'Money management and entrepreneurial training in microfinance: impact on beneficiaries and institutions', Economia Politica, 38(3), pp. 1049–1078.</w:t>
            </w:r>
          </w:p>
        </w:tc>
        <w:tc>
          <w:tcPr>
            <w:tcW w:w="1080" w:type="dxa"/>
          </w:tcPr>
          <w:p w14:paraId="344E2088" w14:textId="77777777" w:rsidR="00A428CB" w:rsidRDefault="00C80D20">
            <w:r>
              <w:rPr>
                <w:sz w:val="16"/>
              </w:rPr>
              <w:t>Not specified in the review</w:t>
            </w:r>
          </w:p>
        </w:tc>
        <w:tc>
          <w:tcPr>
            <w:tcW w:w="1512" w:type="dxa"/>
          </w:tcPr>
          <w:p w14:paraId="3442E330" w14:textId="77777777" w:rsidR="00A428CB" w:rsidRDefault="00C80D20">
            <w:r>
              <w:rPr>
                <w:sz w:val="16"/>
              </w:rPr>
              <w:t>Money management and entrepreneurial training in microfinance</w:t>
            </w:r>
          </w:p>
        </w:tc>
        <w:tc>
          <w:tcPr>
            <w:tcW w:w="1512" w:type="dxa"/>
          </w:tcPr>
          <w:p w14:paraId="051283DB" w14:textId="77777777" w:rsidR="00A428CB" w:rsidRDefault="00C80D20">
            <w:r>
              <w:rPr>
                <w:sz w:val="16"/>
              </w:rPr>
              <w:t>Human Capital Theory</w:t>
            </w:r>
          </w:p>
        </w:tc>
        <w:tc>
          <w:tcPr>
            <w:tcW w:w="1224" w:type="dxa"/>
          </w:tcPr>
          <w:p w14:paraId="32590CC0" w14:textId="77777777" w:rsidR="00A428CB" w:rsidRDefault="00C80D20">
            <w:r>
              <w:rPr>
                <w:sz w:val="16"/>
              </w:rPr>
              <w:t>Quantitative impact evaluation</w:t>
            </w:r>
          </w:p>
        </w:tc>
        <w:tc>
          <w:tcPr>
            <w:tcW w:w="2088" w:type="dxa"/>
          </w:tcPr>
          <w:p w14:paraId="1D4AF154" w14:textId="77777777" w:rsidR="00A428CB" w:rsidRDefault="00C80D20">
            <w:r>
              <w:rPr>
                <w:sz w:val="16"/>
              </w:rPr>
              <w:t>Training alongside microcredit improves outcomes for both beneficiaries and the lending institution.</w:t>
            </w:r>
          </w:p>
        </w:tc>
        <w:tc>
          <w:tcPr>
            <w:tcW w:w="2088" w:type="dxa"/>
          </w:tcPr>
          <w:p w14:paraId="5F18D33E" w14:textId="77777777" w:rsidR="00A428CB" w:rsidRDefault="00C80D20">
            <w:r>
              <w:rPr>
                <w:sz w:val="16"/>
              </w:rPr>
              <w:t>Differential impact of specific training components not fully disentangled.</w:t>
            </w:r>
          </w:p>
        </w:tc>
        <w:tc>
          <w:tcPr>
            <w:tcW w:w="1872" w:type="dxa"/>
          </w:tcPr>
          <w:p w14:paraId="566CE669" w14:textId="77777777" w:rsidR="00A428CB" w:rsidRDefault="00C80D20">
            <w:r>
              <w:rPr>
                <w:sz w:val="16"/>
              </w:rPr>
              <w:t>Reinforces that training complements credit and benefits institutions as well as borrowers.</w:t>
            </w:r>
          </w:p>
        </w:tc>
      </w:tr>
      <w:tr w:rsidR="00A428CB" w14:paraId="2CB23A54" w14:textId="77777777">
        <w:tc>
          <w:tcPr>
            <w:tcW w:w="504" w:type="dxa"/>
          </w:tcPr>
          <w:p w14:paraId="1012346D" w14:textId="77777777" w:rsidR="00A428CB" w:rsidRDefault="00C80D20">
            <w:r>
              <w:rPr>
                <w:b/>
                <w:sz w:val="16"/>
              </w:rPr>
              <w:t>10</w:t>
            </w:r>
          </w:p>
        </w:tc>
        <w:tc>
          <w:tcPr>
            <w:tcW w:w="2736" w:type="dxa"/>
          </w:tcPr>
          <w:p w14:paraId="2571F59E" w14:textId="77777777" w:rsidR="00A428CB" w:rsidRDefault="00C80D20">
            <w:r>
              <w:rPr>
                <w:sz w:val="16"/>
              </w:rPr>
              <w:t>Debnath, D., Rahman, M. and Islam, S. (2019) 'Microcredit, household decision making, and women's empowerment in rural Bangladesh', Development in Practice, 29(4), pp. 488–500.</w:t>
            </w:r>
          </w:p>
        </w:tc>
        <w:tc>
          <w:tcPr>
            <w:tcW w:w="1080" w:type="dxa"/>
          </w:tcPr>
          <w:p w14:paraId="1FE874D5" w14:textId="77777777" w:rsidR="00A428CB" w:rsidRDefault="00C80D20">
            <w:r>
              <w:rPr>
                <w:sz w:val="16"/>
              </w:rPr>
              <w:t>Bangladesh</w:t>
            </w:r>
          </w:p>
        </w:tc>
        <w:tc>
          <w:tcPr>
            <w:tcW w:w="1512" w:type="dxa"/>
          </w:tcPr>
          <w:p w14:paraId="33D6DF54" w14:textId="77777777" w:rsidR="00A428CB" w:rsidRDefault="00C80D20">
            <w:r>
              <w:rPr>
                <w:sz w:val="16"/>
              </w:rPr>
              <w:t>Microcredit and women's empowerment</w:t>
            </w:r>
          </w:p>
        </w:tc>
        <w:tc>
          <w:tcPr>
            <w:tcW w:w="1512" w:type="dxa"/>
          </w:tcPr>
          <w:p w14:paraId="55426C16" w14:textId="77777777" w:rsidR="00A428CB" w:rsidRDefault="00C80D20">
            <w:r>
              <w:rPr>
                <w:sz w:val="16"/>
              </w:rPr>
              <w:t>Women's Empowerment Framework</w:t>
            </w:r>
          </w:p>
        </w:tc>
        <w:tc>
          <w:tcPr>
            <w:tcW w:w="1224" w:type="dxa"/>
          </w:tcPr>
          <w:p w14:paraId="70396846" w14:textId="77777777" w:rsidR="00A428CB" w:rsidRDefault="00C80D20">
            <w:r>
              <w:rPr>
                <w:sz w:val="16"/>
              </w:rPr>
              <w:t>Quantitative survey</w:t>
            </w:r>
          </w:p>
        </w:tc>
        <w:tc>
          <w:tcPr>
            <w:tcW w:w="2088" w:type="dxa"/>
          </w:tcPr>
          <w:p w14:paraId="65622EED" w14:textId="77777777" w:rsidR="00A428CB" w:rsidRDefault="00C80D20">
            <w:r>
              <w:rPr>
                <w:sz w:val="16"/>
              </w:rPr>
              <w:t>Microcredit improves household decision-making and legal awareness but has limited effect on income control, mobility or ownership.</w:t>
            </w:r>
          </w:p>
        </w:tc>
        <w:tc>
          <w:tcPr>
            <w:tcW w:w="2088" w:type="dxa"/>
          </w:tcPr>
          <w:p w14:paraId="02AF30B7" w14:textId="77777777" w:rsidR="00A428CB" w:rsidRDefault="00C80D20">
            <w:r>
              <w:rPr>
                <w:sz w:val="16"/>
              </w:rPr>
              <w:t>Few studies test whether BDS combined with microcredit enhances women's empowerment.</w:t>
            </w:r>
          </w:p>
        </w:tc>
        <w:tc>
          <w:tcPr>
            <w:tcW w:w="1872" w:type="dxa"/>
          </w:tcPr>
          <w:p w14:paraId="15EC7E33" w14:textId="77777777" w:rsidR="00A428CB" w:rsidRDefault="00C80D20">
            <w:r>
              <w:rPr>
                <w:sz w:val="16"/>
              </w:rPr>
              <w:t>Central evidence that credit interacts with, rather than overrides, household and social structures.</w:t>
            </w:r>
          </w:p>
        </w:tc>
      </w:tr>
      <w:tr w:rsidR="00A428CB" w14:paraId="2E2C2E85" w14:textId="77777777">
        <w:tc>
          <w:tcPr>
            <w:tcW w:w="504" w:type="dxa"/>
          </w:tcPr>
          <w:p w14:paraId="4C748427" w14:textId="77777777" w:rsidR="00A428CB" w:rsidRDefault="00C80D20">
            <w:r>
              <w:rPr>
                <w:b/>
                <w:sz w:val="16"/>
              </w:rPr>
              <w:t>11</w:t>
            </w:r>
          </w:p>
        </w:tc>
        <w:tc>
          <w:tcPr>
            <w:tcW w:w="2736" w:type="dxa"/>
          </w:tcPr>
          <w:p w14:paraId="2CFEABA1" w14:textId="77777777" w:rsidR="00A428CB" w:rsidRDefault="00C80D20">
            <w:r>
              <w:rPr>
                <w:sz w:val="16"/>
              </w:rPr>
              <w:t xml:space="preserve">Duvendack, M. and Mader, P. (2019) 'Impact of financial inclusion in low- and middle-income countries: A systematic review of reviews', Campbell Systematic Reviews, 15(1–2), e1012.</w:t>
            </w:r>
          </w:p>
        </w:tc>
        <w:tc>
          <w:tcPr>
            <w:tcW w:w="1080" w:type="dxa"/>
          </w:tcPr>
          <w:p w14:paraId="410B02B3" w14:textId="77777777" w:rsidR="00A428CB" w:rsidRDefault="00C80D20">
            <w:r>
              <w:rPr>
                <w:sz w:val="16"/>
              </w:rPr>
              <w:t>Low- and middle-income countries (global)</w:t>
            </w:r>
          </w:p>
        </w:tc>
        <w:tc>
          <w:tcPr>
            <w:tcW w:w="1512" w:type="dxa"/>
          </w:tcPr>
          <w:p w14:paraId="5E73643E" w14:textId="77777777" w:rsidR="00A428CB" w:rsidRDefault="00C80D20">
            <w:r>
              <w:rPr>
                <w:sz w:val="16"/>
              </w:rPr>
              <w:t>Financial inclusion evidence synthesis</w:t>
            </w:r>
          </w:p>
        </w:tc>
        <w:tc>
          <w:tcPr>
            <w:tcW w:w="1512" w:type="dxa"/>
          </w:tcPr>
          <w:p w14:paraId="0BD988DA" w14:textId="77777777" w:rsidR="00A428CB" w:rsidRDefault="00C80D20">
            <w:r>
              <w:rPr>
                <w:sz w:val="16"/>
              </w:rPr>
              <w:t>Financial inclusion / evidence-synthesis perspective</w:t>
            </w:r>
          </w:p>
        </w:tc>
        <w:tc>
          <w:tcPr>
            <w:tcW w:w="1224" w:type="dxa"/>
          </w:tcPr>
          <w:p w14:paraId="3363BD02" w14:textId="77777777" w:rsidR="00A428CB" w:rsidRDefault="00C80D20">
            <w:r>
              <w:rPr>
                <w:sz w:val="16"/>
              </w:rPr>
              <w:t>Systematic review of reviews</w:t>
            </w:r>
          </w:p>
        </w:tc>
        <w:tc>
          <w:tcPr>
            <w:tcW w:w="2088" w:type="dxa"/>
          </w:tcPr>
          <w:p w14:paraId="1456B6D8" w14:textId="77777777" w:rsidR="00A428CB" w:rsidRDefault="00C80D20">
            <w:r>
              <w:rPr>
                <w:sz w:val="16"/>
              </w:rPr>
              <w:t>Robust evidence for transformative impacts of financial inclusion is limited and context-dependent.</w:t>
            </w:r>
          </w:p>
        </w:tc>
        <w:tc>
          <w:tcPr>
            <w:tcW w:w="2088" w:type="dxa"/>
          </w:tcPr>
          <w:p w14:paraId="5DB12A06" w14:textId="77777777" w:rsidR="00A428CB" w:rsidRDefault="00C80D20">
            <w:r>
              <w:rPr>
                <w:sz w:val="16"/>
              </w:rPr>
              <w:t>Primary evidence concentrated in narrow, mainly Anglophone contexts.</w:t>
            </w:r>
          </w:p>
        </w:tc>
        <w:tc>
          <w:tcPr>
            <w:tcW w:w="1872" w:type="dxa"/>
          </w:tcPr>
          <w:p w14:paraId="70A612CD" w14:textId="77777777" w:rsidR="00A428CB" w:rsidRDefault="00C80D20">
            <w:r>
              <w:rPr>
                <w:sz w:val="16"/>
              </w:rPr>
              <w:t>Used to triangulate this study's English-language evidence base and acknowledge language limitations (Section 2.11).</w:t>
            </w:r>
          </w:p>
        </w:tc>
      </w:tr>
      <w:tr w:rsidR="00A428CB" w14:paraId="3EB506C1" w14:textId="77777777">
        <w:tc>
          <w:tcPr>
            <w:tcW w:w="504" w:type="dxa"/>
          </w:tcPr>
          <w:p w14:paraId="70017B75" w14:textId="77777777" w:rsidR="00A428CB" w:rsidRDefault="00C80D20">
            <w:r>
              <w:rPr>
                <w:b/>
                <w:sz w:val="16"/>
              </w:rPr>
              <w:t>12</w:t>
            </w:r>
          </w:p>
        </w:tc>
        <w:tc>
          <w:tcPr>
            <w:tcW w:w="2736" w:type="dxa"/>
          </w:tcPr>
          <w:p w14:paraId="03EA1ADD" w14:textId="77777777" w:rsidR="00A428CB" w:rsidRDefault="00C80D20">
            <w:r>
              <w:rPr>
                <w:sz w:val="16"/>
              </w:rPr>
              <w:t>Fu, J. and Krauss, A. (2024) 'Preparing fertile ground: how does the quality of business environments affect MSE growth?', Small Business Economics, 63(1), pp. 51–78.</w:t>
            </w:r>
          </w:p>
        </w:tc>
        <w:tc>
          <w:tcPr>
            <w:tcW w:w="1080" w:type="dxa"/>
          </w:tcPr>
          <w:p w14:paraId="47153E5E" w14:textId="77777777" w:rsidR="00A428CB" w:rsidRDefault="00C80D20">
            <w:r>
              <w:rPr>
                <w:sz w:val="16"/>
              </w:rPr>
              <w:t>Developing countries (cross-country)</w:t>
            </w:r>
          </w:p>
        </w:tc>
        <w:tc>
          <w:tcPr>
            <w:tcW w:w="1512" w:type="dxa"/>
          </w:tcPr>
          <w:p w14:paraId="15066AD3" w14:textId="77777777" w:rsidR="00A428CB" w:rsidRDefault="00C80D20">
            <w:r>
              <w:rPr>
                <w:sz w:val="16"/>
              </w:rPr>
              <w:t>Business environment quality and MSE growth</w:t>
            </w:r>
          </w:p>
        </w:tc>
        <w:tc>
          <w:tcPr>
            <w:tcW w:w="1512" w:type="dxa"/>
          </w:tcPr>
          <w:p w14:paraId="323CEFDA" w14:textId="77777777" w:rsidR="00A428CB" w:rsidRDefault="00C80D20">
            <w:r>
              <w:rPr>
                <w:sz w:val="16"/>
              </w:rPr>
              <w:t>Market/institutional environment perspective</w:t>
            </w:r>
          </w:p>
        </w:tc>
        <w:tc>
          <w:tcPr>
            <w:tcW w:w="1224" w:type="dxa"/>
          </w:tcPr>
          <w:p w14:paraId="66CA57CF" w14:textId="77777777" w:rsidR="00A428CB" w:rsidRDefault="00C80D20">
            <w:r>
              <w:rPr>
                <w:sz w:val="16"/>
              </w:rPr>
              <w:t>Quantitative analysis</w:t>
            </w:r>
          </w:p>
        </w:tc>
        <w:tc>
          <w:tcPr>
            <w:tcW w:w="2088" w:type="dxa"/>
          </w:tcPr>
          <w:p w14:paraId="7B978353" w14:textId="77777777" w:rsidR="00A428CB" w:rsidRDefault="00C80D20">
            <w:r>
              <w:rPr>
                <w:sz w:val="16"/>
              </w:rPr>
              <w:t>MSEs in stronger, more active local markets are more likely to benefit from credit access and grow.</w:t>
            </w:r>
          </w:p>
        </w:tc>
        <w:tc>
          <w:tcPr>
            <w:tcW w:w="2088" w:type="dxa"/>
          </w:tcPr>
          <w:p w14:paraId="7E961344" w14:textId="77777777" w:rsidR="00A428CB" w:rsidRDefault="00C80D20">
            <w:r>
              <w:rPr>
                <w:sz w:val="16"/>
              </w:rPr>
              <w:t>Rural-specific market conditions and their interaction with BDS are not directly examined.</w:t>
            </w:r>
          </w:p>
        </w:tc>
        <w:tc>
          <w:tcPr>
            <w:tcW w:w="1872" w:type="dxa"/>
          </w:tcPr>
          <w:p w14:paraId="5E6E0B51" w14:textId="77777777" w:rsidR="00A428CB" w:rsidRDefault="00C80D20">
            <w:r>
              <w:rPr>
                <w:sz w:val="16"/>
              </w:rPr>
              <w:t>Supports the argument that positive credit outcomes depend on favourable market conditions, not credit alone.</w:t>
            </w:r>
          </w:p>
        </w:tc>
      </w:tr>
      <w:tr w:rsidR="00A428CB" w14:paraId="34CADB75" w14:textId="77777777">
        <w:tc>
          <w:tcPr>
            <w:tcW w:w="504" w:type="dxa"/>
          </w:tcPr>
          <w:p w14:paraId="41D0FC45" w14:textId="77777777" w:rsidR="00A428CB" w:rsidRDefault="00C80D20">
            <w:r>
              <w:rPr>
                <w:b/>
                <w:sz w:val="16"/>
              </w:rPr>
              <w:t>13</w:t>
            </w:r>
          </w:p>
        </w:tc>
        <w:tc>
          <w:tcPr>
            <w:tcW w:w="2736" w:type="dxa"/>
          </w:tcPr>
          <w:p w14:paraId="096ABAF6" w14:textId="77777777" w:rsidR="00A428CB" w:rsidRDefault="00C80D20">
            <w:r>
              <w:rPr>
                <w:sz w:val="16"/>
              </w:rPr>
              <w:t xml:space="preserve">Goldszmidt, R., Rotondaro, R. and Silva, L. (2022) 'The long-term impact of microcredit on low-income microenterprises', World Development, 151, p. 105750.</w:t>
            </w:r>
          </w:p>
        </w:tc>
        <w:tc>
          <w:tcPr>
            <w:tcW w:w="1080" w:type="dxa"/>
          </w:tcPr>
          <w:p w14:paraId="5E932550" w14:textId="77777777" w:rsidR="00A428CB" w:rsidRDefault="00C80D20">
            <w:r>
              <w:rPr>
                <w:sz w:val="16"/>
              </w:rPr>
              <w:t>Developing countries</w:t>
            </w:r>
          </w:p>
        </w:tc>
        <w:tc>
          <w:tcPr>
            <w:tcW w:w="1512" w:type="dxa"/>
          </w:tcPr>
          <w:p w14:paraId="4E0B65DF" w14:textId="77777777" w:rsidR="00A428CB" w:rsidRDefault="00C80D20">
            <w:r>
              <w:rPr>
                <w:sz w:val="16"/>
              </w:rPr>
              <w:t>Long-term impact of microcredit on poverty</w:t>
            </w:r>
          </w:p>
        </w:tc>
        <w:tc>
          <w:tcPr>
            <w:tcW w:w="1512" w:type="dxa"/>
          </w:tcPr>
          <w:p w14:paraId="265006DD" w14:textId="77777777" w:rsidR="00A428CB" w:rsidRDefault="00C80D20">
            <w:r>
              <w:rPr>
                <w:sz w:val="16"/>
              </w:rPr>
              <w:t>Development Economics</w:t>
            </w:r>
          </w:p>
        </w:tc>
        <w:tc>
          <w:tcPr>
            <w:tcW w:w="1224" w:type="dxa"/>
          </w:tcPr>
          <w:p w14:paraId="67240082" w14:textId="77777777" w:rsidR="00A428CB" w:rsidRDefault="00C80D20">
            <w:r>
              <w:rPr>
                <w:sz w:val="16"/>
              </w:rPr>
              <w:t>Systematic review / meta-analysis</w:t>
            </w:r>
          </w:p>
        </w:tc>
        <w:tc>
          <w:tcPr>
            <w:tcW w:w="2088" w:type="dxa"/>
          </w:tcPr>
          <w:p w14:paraId="6B346C37" w14:textId="77777777" w:rsidR="00A428CB" w:rsidRDefault="00C80D20">
            <w:r>
              <w:rPr>
                <w:sz w:val="16"/>
              </w:rPr>
              <w:t>Microcredit increases short-term investment/spending but rarely produces sustained income growth or formalisation.</w:t>
            </w:r>
          </w:p>
        </w:tc>
        <w:tc>
          <w:tcPr>
            <w:tcW w:w="2088" w:type="dxa"/>
          </w:tcPr>
          <w:p w14:paraId="552876E3" w14:textId="77777777" w:rsidR="00A428CB" w:rsidRDefault="00C80D20">
            <w:r>
              <w:rPr>
                <w:sz w:val="16"/>
              </w:rPr>
              <w:t>More research needed on conditions under which microcredit + BDS sustains poverty reduction.</w:t>
            </w:r>
          </w:p>
        </w:tc>
        <w:tc>
          <w:tcPr>
            <w:tcW w:w="1872" w:type="dxa"/>
          </w:tcPr>
          <w:p w14:paraId="0C65B484" w14:textId="77777777" w:rsidR="00A428CB" w:rsidRDefault="00C80D20">
            <w:r>
              <w:rPr>
                <w:sz w:val="16"/>
              </w:rPr>
              <w:t>Key evidence for the household-level sustainability metric (Section 1.4) and debate over microcredit's limits.</w:t>
            </w:r>
          </w:p>
        </w:tc>
      </w:tr>
      <w:tr w:rsidR="00A428CB" w14:paraId="5B0D28AE" w14:textId="77777777">
        <w:tc>
          <w:tcPr>
            <w:tcW w:w="504" w:type="dxa"/>
          </w:tcPr>
          <w:p w14:paraId="6551F77C" w14:textId="77777777" w:rsidR="00A428CB" w:rsidRDefault="00C80D20">
            <w:r>
              <w:rPr>
                <w:b/>
                <w:sz w:val="16"/>
              </w:rPr>
              <w:t>14</w:t>
            </w:r>
          </w:p>
        </w:tc>
        <w:tc>
          <w:tcPr>
            <w:tcW w:w="2736" w:type="dxa"/>
          </w:tcPr>
          <w:p w14:paraId="1490440A" w14:textId="77777777" w:rsidR="00A428CB" w:rsidRDefault="00C80D20">
            <w:r>
              <w:rPr>
                <w:sz w:val="16"/>
              </w:rPr>
              <w:t>Gyimah, P., Owusu-Afriyie, R. and Lussier, R.N. (2024) 'Advancing Rural Entrepreneurship: Does Microfinancing Matter?', Journal of Developmental Entrepreneurship, 29(1), p. 117667.</w:t>
            </w:r>
          </w:p>
        </w:tc>
        <w:tc>
          <w:tcPr>
            <w:tcW w:w="1080" w:type="dxa"/>
          </w:tcPr>
          <w:p w14:paraId="7D8EEE00" w14:textId="77777777" w:rsidR="00A428CB" w:rsidRDefault="00C80D20">
            <w:r>
              <w:rPr>
                <w:sz w:val="16"/>
              </w:rPr>
              <w:t>Sub-Saharan Africa (rural)</w:t>
            </w:r>
          </w:p>
        </w:tc>
        <w:tc>
          <w:tcPr>
            <w:tcW w:w="1512" w:type="dxa"/>
          </w:tcPr>
          <w:p w14:paraId="6F4D62F1" w14:textId="77777777" w:rsidR="00A428CB" w:rsidRDefault="00C80D20">
            <w:r>
              <w:rPr>
                <w:sz w:val="16"/>
              </w:rPr>
              <w:t>Microfinancing and rural entrepreneurship</w:t>
            </w:r>
          </w:p>
        </w:tc>
        <w:tc>
          <w:tcPr>
            <w:tcW w:w="1512" w:type="dxa"/>
          </w:tcPr>
          <w:p w14:paraId="06D9BBF4" w14:textId="77777777" w:rsidR="00A428CB" w:rsidRDefault="00C80D20">
            <w:r>
              <w:rPr>
                <w:sz w:val="16"/>
              </w:rPr>
              <w:t>Financial Inclusion Theory</w:t>
            </w:r>
          </w:p>
        </w:tc>
        <w:tc>
          <w:tcPr>
            <w:tcW w:w="1224" w:type="dxa"/>
          </w:tcPr>
          <w:p w14:paraId="6A0C319E" w14:textId="77777777" w:rsidR="00A428CB" w:rsidRDefault="00C80D20">
            <w:r>
              <w:rPr>
                <w:sz w:val="16"/>
              </w:rPr>
              <w:t>Quantitative study</w:t>
            </w:r>
          </w:p>
        </w:tc>
        <w:tc>
          <w:tcPr>
            <w:tcW w:w="2088" w:type="dxa"/>
          </w:tcPr>
          <w:p w14:paraId="70D85A27" w14:textId="77777777" w:rsidR="00A428CB" w:rsidRDefault="00C80D20">
            <w:r>
              <w:rPr>
                <w:sz w:val="16"/>
              </w:rPr>
              <w:t>Microfinancing significantly advances rural entrepreneurship and business outcomes.</w:t>
            </w:r>
          </w:p>
        </w:tc>
        <w:tc>
          <w:tcPr>
            <w:tcW w:w="2088" w:type="dxa"/>
          </w:tcPr>
          <w:p w14:paraId="37078F9E" w14:textId="77777777" w:rsidR="00A428CB" w:rsidRDefault="00C80D20">
            <w:r>
              <w:rPr>
                <w:sz w:val="16"/>
              </w:rPr>
              <w:t>Examines microfinance's effect in isolation from BDS.</w:t>
            </w:r>
          </w:p>
        </w:tc>
        <w:tc>
          <w:tcPr>
            <w:tcW w:w="1872" w:type="dxa"/>
          </w:tcPr>
          <w:p w14:paraId="381D6735" w14:textId="77777777" w:rsidR="00A428CB" w:rsidRDefault="00C80D20">
            <w:r>
              <w:rPr>
                <w:sz w:val="16"/>
              </w:rPr>
              <w:t>Illustrates the single-service focus of much existing research (microfinance alone).</w:t>
            </w:r>
          </w:p>
        </w:tc>
      </w:tr>
      <w:tr w:rsidR="00A428CB" w14:paraId="0B06707A" w14:textId="77777777">
        <w:tc>
          <w:tcPr>
            <w:tcW w:w="504" w:type="dxa"/>
          </w:tcPr>
          <w:p w14:paraId="22DE7F8B" w14:textId="77777777" w:rsidR="00A428CB" w:rsidRDefault="00C80D20">
            <w:r>
              <w:rPr>
                <w:b/>
                <w:sz w:val="16"/>
              </w:rPr>
              <w:t>15</w:t>
            </w:r>
          </w:p>
        </w:tc>
        <w:tc>
          <w:tcPr>
            <w:tcW w:w="2736" w:type="dxa"/>
          </w:tcPr>
          <w:p w14:paraId="4CCFB34A" w14:textId="77777777" w:rsidR="00A428CB" w:rsidRDefault="00C80D20">
            <w:r>
              <w:rPr>
                <w:sz w:val="16"/>
              </w:rPr>
              <w:t xml:space="preserve">Hani, N., Al-Habib, M. and Saffar, A. (2024) 'Integrated microfinance and business support for rural enterprise sustainability', Journal of Rural Studies, 105, p. 103120.</w:t>
            </w:r>
          </w:p>
        </w:tc>
        <w:tc>
          <w:tcPr>
            <w:tcW w:w="1080" w:type="dxa"/>
          </w:tcPr>
          <w:p w14:paraId="571DF5C6" w14:textId="77777777" w:rsidR="00A428CB" w:rsidRDefault="00C80D20">
            <w:r>
              <w:rPr>
                <w:sz w:val="16"/>
              </w:rPr>
              <w:t>Rural developing-region (not further specified)</w:t>
            </w:r>
          </w:p>
        </w:tc>
        <w:tc>
          <w:tcPr>
            <w:tcW w:w="1512" w:type="dxa"/>
          </w:tcPr>
          <w:p w14:paraId="336A893E" w14:textId="77777777" w:rsidR="00A428CB" w:rsidRDefault="00C80D20">
            <w:r>
              <w:rPr>
                <w:sz w:val="16"/>
              </w:rPr>
              <w:t>Integrated microfinance and business support</w:t>
            </w:r>
          </w:p>
        </w:tc>
        <w:tc>
          <w:tcPr>
            <w:tcW w:w="1512" w:type="dxa"/>
          </w:tcPr>
          <w:p w14:paraId="191FE0F9" w14:textId="77777777" w:rsidR="00A428CB" w:rsidRDefault="00C80D20">
            <w:r>
              <w:rPr>
                <w:sz w:val="16"/>
              </w:rPr>
              <w:t>Integrated microfinance-plus / financial inclusion perspective</w:t>
            </w:r>
          </w:p>
        </w:tc>
        <w:tc>
          <w:tcPr>
            <w:tcW w:w="1224" w:type="dxa"/>
          </w:tcPr>
          <w:p w14:paraId="770674F0" w14:textId="77777777" w:rsidR="00A428CB" w:rsidRDefault="00C80D20">
            <w:r>
              <w:rPr>
                <w:sz w:val="16"/>
              </w:rPr>
              <w:t>Empirical study</w:t>
            </w:r>
          </w:p>
        </w:tc>
        <w:tc>
          <w:tcPr>
            <w:tcW w:w="2088" w:type="dxa"/>
          </w:tcPr>
          <w:p w14:paraId="4DC11C23" w14:textId="77777777" w:rsidR="00A428CB" w:rsidRDefault="00C80D20">
            <w:r>
              <w:rPr>
                <w:sz w:val="16"/>
              </w:rPr>
              <w:t>Microfinance combined with business support improves rural enterprise sustainability more than either alone.</w:t>
            </w:r>
          </w:p>
        </w:tc>
        <w:tc>
          <w:tcPr>
            <w:tcW w:w="2088" w:type="dxa"/>
          </w:tcPr>
          <w:p w14:paraId="04615BC9" w14:textId="77777777" w:rsidR="00A428CB" w:rsidRDefault="00C80D20">
            <w:r>
              <w:rPr>
                <w:sz w:val="16"/>
              </w:rPr>
              <w:t>Evidence on specific mechanisms and long-term durability remains limited.</w:t>
            </w:r>
          </w:p>
        </w:tc>
        <w:tc>
          <w:tcPr>
            <w:tcW w:w="1872" w:type="dxa"/>
          </w:tcPr>
          <w:p w14:paraId="260AE52B" w14:textId="77777777" w:rsidR="00A428CB" w:rsidRDefault="00C80D20">
            <w:r>
              <w:rPr>
                <w:sz w:val="16"/>
              </w:rPr>
              <w:t xml:space="preserve">Direct empirical support for the study's central 'microfinance-plus' thesis.</w:t>
            </w:r>
          </w:p>
        </w:tc>
      </w:tr>
      <w:tr w:rsidR="00A428CB" w14:paraId="57AD46DC" w14:textId="77777777">
        <w:tc>
          <w:tcPr>
            <w:tcW w:w="504" w:type="dxa"/>
          </w:tcPr>
          <w:p w14:paraId="1115A13C" w14:textId="77777777" w:rsidR="00A428CB" w:rsidRDefault="00C80D20">
            <w:r>
              <w:rPr>
                <w:b/>
                <w:sz w:val="16"/>
              </w:rPr>
              <w:t>16</w:t>
            </w:r>
          </w:p>
        </w:tc>
        <w:tc>
          <w:tcPr>
            <w:tcW w:w="2736" w:type="dxa"/>
          </w:tcPr>
          <w:p w14:paraId="05D73505" w14:textId="77777777" w:rsidR="00A428CB" w:rsidRDefault="00C80D20">
            <w:r>
              <w:rPr>
                <w:sz w:val="16"/>
              </w:rPr>
              <w:t xml:space="preserve">Hartarska, V., Parmeter, C.F. and Mersland, R. (2025) 'Combined financial and non-financial support in microfinance: Evidence on long-term enterprise sustainability', Journal of Banking &amp; Finance, 158, p. 107012.</w:t>
            </w:r>
          </w:p>
        </w:tc>
        <w:tc>
          <w:tcPr>
            <w:tcW w:w="1080" w:type="dxa"/>
          </w:tcPr>
          <w:p w14:paraId="2C19B977" w14:textId="77777777" w:rsidR="00A428CB" w:rsidRDefault="00C80D20">
            <w:r>
              <w:rPr>
                <w:sz w:val="16"/>
              </w:rPr>
              <w:t>Cross-country MFI panel</w:t>
            </w:r>
          </w:p>
        </w:tc>
        <w:tc>
          <w:tcPr>
            <w:tcW w:w="1512" w:type="dxa"/>
          </w:tcPr>
          <w:p w14:paraId="71ECC9FE" w14:textId="77777777" w:rsidR="00A428CB" w:rsidRDefault="00C80D20">
            <w:r>
              <w:rPr>
                <w:sz w:val="16"/>
              </w:rPr>
              <w:t>Combined financial/non-financial support and sustainability</w:t>
            </w:r>
          </w:p>
        </w:tc>
        <w:tc>
          <w:tcPr>
            <w:tcW w:w="1512" w:type="dxa"/>
          </w:tcPr>
          <w:p w14:paraId="240E0538" w14:textId="77777777" w:rsidR="00A428CB" w:rsidRDefault="00C80D20">
            <w:r>
              <w:rPr>
                <w:sz w:val="16"/>
              </w:rPr>
              <w:t>Institutional / credit-plus perspective</w:t>
            </w:r>
          </w:p>
        </w:tc>
        <w:tc>
          <w:tcPr>
            <w:tcW w:w="1224" w:type="dxa"/>
          </w:tcPr>
          <w:p w14:paraId="48EAF735" w14:textId="77777777" w:rsidR="00A428CB" w:rsidRDefault="00C80D20">
            <w:r>
              <w:rPr>
                <w:sz w:val="16"/>
              </w:rPr>
              <w:t>Quantitative panel analysis</w:t>
            </w:r>
          </w:p>
        </w:tc>
        <w:tc>
          <w:tcPr>
            <w:tcW w:w="2088" w:type="dxa"/>
          </w:tcPr>
          <w:p w14:paraId="791A7921" w14:textId="77777777" w:rsidR="00A428CB" w:rsidRDefault="00C80D20">
            <w:r>
              <w:rPr>
                <w:sz w:val="16"/>
              </w:rPr>
              <w:t>Enterprises receiving both financial and non-financial MFI support show better long-term sustainability.</w:t>
            </w:r>
          </w:p>
        </w:tc>
        <w:tc>
          <w:tcPr>
            <w:tcW w:w="2088" w:type="dxa"/>
          </w:tcPr>
          <w:p w14:paraId="07A5CEC5" w14:textId="77777777" w:rsidR="00A428CB" w:rsidRDefault="00C80D20">
            <w:r>
              <w:rPr>
                <w:sz w:val="16"/>
              </w:rPr>
              <w:t xml:space="preserve">One of only a small number of studies taking an integrated 'microfinance-plus' approach.</w:t>
            </w:r>
          </w:p>
        </w:tc>
        <w:tc>
          <w:tcPr>
            <w:tcW w:w="1872" w:type="dxa"/>
          </w:tcPr>
          <w:p w14:paraId="7EF9FEB4" w14:textId="77777777" w:rsidR="00A428CB" w:rsidRDefault="00C80D20">
            <w:r>
              <w:rPr>
                <w:sz w:val="16"/>
              </w:rPr>
              <w:t>Key recent study establishing the specific research gap this study addresses.</w:t>
            </w:r>
          </w:p>
        </w:tc>
      </w:tr>
      <w:tr w:rsidR="00A428CB" w14:paraId="11653926" w14:textId="77777777">
        <w:tc>
          <w:tcPr>
            <w:tcW w:w="504" w:type="dxa"/>
          </w:tcPr>
          <w:p w14:paraId="2D844F59" w14:textId="77777777" w:rsidR="00A428CB" w:rsidRDefault="00C80D20">
            <w:r>
              <w:rPr>
                <w:b/>
                <w:sz w:val="16"/>
              </w:rPr>
              <w:lastRenderedPageBreak/>
              <w:t>17</w:t>
            </w:r>
          </w:p>
        </w:tc>
        <w:tc>
          <w:tcPr>
            <w:tcW w:w="2736" w:type="dxa"/>
          </w:tcPr>
          <w:p w14:paraId="47E4D29D" w14:textId="77777777" w:rsidR="00A428CB" w:rsidRDefault="00C80D20">
            <w:r>
              <w:rPr>
                <w:sz w:val="16"/>
              </w:rPr>
              <w:t>Karlan, D. and Valdivia, M. (2011) 'Teaching entrepreneurship: Impact of business training on microcredit clients and institutions', Review of Economics and Statistics, 93(2), pp. 510–527.</w:t>
            </w:r>
          </w:p>
        </w:tc>
        <w:tc>
          <w:tcPr>
            <w:tcW w:w="1080" w:type="dxa"/>
          </w:tcPr>
          <w:p w14:paraId="30709D3D" w14:textId="77777777" w:rsidR="00A428CB" w:rsidRDefault="00C80D20">
            <w:r>
              <w:rPr>
                <w:sz w:val="16"/>
              </w:rPr>
              <w:t>Peru</w:t>
            </w:r>
          </w:p>
        </w:tc>
        <w:tc>
          <w:tcPr>
            <w:tcW w:w="1512" w:type="dxa"/>
          </w:tcPr>
          <w:p w14:paraId="6B4CFC95" w14:textId="77777777" w:rsidR="00A428CB" w:rsidRDefault="00C80D20">
            <w:r>
              <w:rPr>
                <w:sz w:val="16"/>
              </w:rPr>
              <w:t>Business training bundled with group microfinance</w:t>
            </w:r>
          </w:p>
        </w:tc>
        <w:tc>
          <w:tcPr>
            <w:tcW w:w="1512" w:type="dxa"/>
          </w:tcPr>
          <w:p w14:paraId="0382CEA7" w14:textId="77777777" w:rsidR="00A428CB" w:rsidRDefault="00C80D20">
            <w:r>
              <w:rPr>
                <w:sz w:val="16"/>
              </w:rPr>
              <w:t>Human Capital Theory</w:t>
            </w:r>
          </w:p>
        </w:tc>
        <w:tc>
          <w:tcPr>
            <w:tcW w:w="1224" w:type="dxa"/>
          </w:tcPr>
          <w:p w14:paraId="4C3E8D25" w14:textId="77777777" w:rsidR="00A428CB" w:rsidRDefault="00C80D20">
            <w:r>
              <w:rPr>
                <w:sz w:val="16"/>
              </w:rPr>
              <w:t>Randomised controlled trial</w:t>
            </w:r>
          </w:p>
        </w:tc>
        <w:tc>
          <w:tcPr>
            <w:tcW w:w="2088" w:type="dxa"/>
          </w:tcPr>
          <w:p w14:paraId="16B9B24A" w14:textId="77777777" w:rsidR="00A428CB" w:rsidRDefault="00C80D20">
            <w:r>
              <w:rPr>
                <w:sz w:val="16"/>
              </w:rPr>
              <w:t>Adding business training to group lending improved knowledge/practices, with modest effects on revenues/profits.</w:t>
            </w:r>
          </w:p>
        </w:tc>
        <w:tc>
          <w:tcPr>
            <w:tcW w:w="2088" w:type="dxa"/>
          </w:tcPr>
          <w:p w14:paraId="6CF97F4C" w14:textId="77777777" w:rsidR="00A428CB" w:rsidRDefault="00C80D20">
            <w:r>
              <w:rPr>
                <w:sz w:val="16"/>
              </w:rPr>
              <w:t>Limited evidence on long-run, rural-specific business growth from bundling training with credit.</w:t>
            </w:r>
          </w:p>
        </w:tc>
        <w:tc>
          <w:tcPr>
            <w:tcW w:w="1872" w:type="dxa"/>
          </w:tcPr>
          <w:p w14:paraId="3A956C36" w14:textId="77777777" w:rsidR="00A428CB" w:rsidRDefault="00C80D20">
            <w:r>
              <w:rPr>
                <w:sz w:val="16"/>
              </w:rPr>
              <w:t xml:space="preserve">Foundational RCT underpinning the study's 'credit-plus' conceptual framework.</w:t>
            </w:r>
          </w:p>
        </w:tc>
      </w:tr>
      <w:tr w:rsidR="00A428CB" w14:paraId="504E7A2B" w14:textId="77777777">
        <w:tc>
          <w:tcPr>
            <w:tcW w:w="504" w:type="dxa"/>
          </w:tcPr>
          <w:p w14:paraId="734E1F00" w14:textId="77777777" w:rsidR="00A428CB" w:rsidRDefault="00C80D20">
            <w:r>
              <w:rPr>
                <w:b/>
                <w:sz w:val="16"/>
              </w:rPr>
              <w:t>18</w:t>
            </w:r>
          </w:p>
        </w:tc>
        <w:tc>
          <w:tcPr>
            <w:tcW w:w="2736" w:type="dxa"/>
          </w:tcPr>
          <w:p w14:paraId="170825AF" w14:textId="77777777" w:rsidR="00A428CB" w:rsidRDefault="00C80D20">
            <w:r>
              <w:rPr>
                <w:sz w:val="16"/>
              </w:rPr>
              <w:t>Kazungu, I. (2023) 'Business Development Services and Participation of Rural-Based Micro Enterprises in Export Markets: Exploring the Heterogeneity of the Tanzanian Handicrafts Industry', SAGE Open, 13(4), pp. 1–14.</w:t>
            </w:r>
          </w:p>
        </w:tc>
        <w:tc>
          <w:tcPr>
            <w:tcW w:w="1080" w:type="dxa"/>
          </w:tcPr>
          <w:p w14:paraId="2E9A6698" w14:textId="77777777" w:rsidR="00A428CB" w:rsidRDefault="00C80D20">
            <w:r>
              <w:rPr>
                <w:sz w:val="16"/>
              </w:rPr>
              <w:t>Tanzania</w:t>
            </w:r>
          </w:p>
        </w:tc>
        <w:tc>
          <w:tcPr>
            <w:tcW w:w="1512" w:type="dxa"/>
          </w:tcPr>
          <w:p w14:paraId="745E9BA6" w14:textId="77777777" w:rsidR="00A428CB" w:rsidRDefault="00C80D20">
            <w:r>
              <w:rPr>
                <w:sz w:val="16"/>
              </w:rPr>
              <w:t>BDS and export market participation</w:t>
            </w:r>
          </w:p>
        </w:tc>
        <w:tc>
          <w:tcPr>
            <w:tcW w:w="1512" w:type="dxa"/>
          </w:tcPr>
          <w:p w14:paraId="6C86259D" w14:textId="77777777" w:rsidR="00A428CB" w:rsidRDefault="00C80D20">
            <w:r>
              <w:rPr>
                <w:sz w:val="16"/>
              </w:rPr>
              <w:t>Institutional Theory</w:t>
            </w:r>
          </w:p>
        </w:tc>
        <w:tc>
          <w:tcPr>
            <w:tcW w:w="1224" w:type="dxa"/>
          </w:tcPr>
          <w:p w14:paraId="715DF10B" w14:textId="77777777" w:rsidR="00A428CB" w:rsidRDefault="00C80D20">
            <w:r>
              <w:rPr>
                <w:sz w:val="16"/>
              </w:rPr>
              <w:t>Empirical survey-based study</w:t>
            </w:r>
          </w:p>
        </w:tc>
        <w:tc>
          <w:tcPr>
            <w:tcW w:w="2088" w:type="dxa"/>
          </w:tcPr>
          <w:p w14:paraId="3BF51A53" w14:textId="77777777" w:rsidR="00A428CB" w:rsidRDefault="00C80D20">
            <w:r>
              <w:rPr>
                <w:sz w:val="16"/>
              </w:rPr>
              <w:t>BDS access shapes export participation heterogeneously; general programmes often fail to reach marginalised groups.</w:t>
            </w:r>
          </w:p>
        </w:tc>
        <w:tc>
          <w:tcPr>
            <w:tcW w:w="2088" w:type="dxa"/>
          </w:tcPr>
          <w:p w14:paraId="44FFA836" w14:textId="77777777" w:rsidR="00A428CB" w:rsidRDefault="00C80D20">
            <w:r>
              <w:rPr>
                <w:sz w:val="16"/>
              </w:rPr>
              <w:t>Limited evidence on designing BDS delivery that reaches marginalised, remote rural entrepreneurs.</w:t>
            </w:r>
          </w:p>
        </w:tc>
        <w:tc>
          <w:tcPr>
            <w:tcW w:w="1872" w:type="dxa"/>
          </w:tcPr>
          <w:p w14:paraId="1EE4F317" w14:textId="77777777" w:rsidR="00A428CB" w:rsidRDefault="00C80D20">
            <w:r>
              <w:rPr>
                <w:sz w:val="16"/>
              </w:rPr>
              <w:t>Informs the study's discussion of BDS implementation challenges and urban bias (Section 3.3).</w:t>
            </w:r>
          </w:p>
        </w:tc>
      </w:tr>
      <w:tr w:rsidR="00A428CB" w14:paraId="2C57AD4B" w14:textId="77777777">
        <w:tc>
          <w:tcPr>
            <w:tcW w:w="504" w:type="dxa"/>
          </w:tcPr>
          <w:p w14:paraId="6DB1A207" w14:textId="77777777" w:rsidR="00A428CB" w:rsidRDefault="00C80D20">
            <w:r>
              <w:rPr>
                <w:b/>
                <w:sz w:val="16"/>
              </w:rPr>
              <w:t>19</w:t>
            </w:r>
          </w:p>
        </w:tc>
        <w:tc>
          <w:tcPr>
            <w:tcW w:w="2736" w:type="dxa"/>
          </w:tcPr>
          <w:p w14:paraId="52A1E1A6" w14:textId="77777777" w:rsidR="00A428CB" w:rsidRDefault="00C80D20">
            <w:r>
              <w:rPr>
                <w:sz w:val="16"/>
              </w:rPr>
              <w:t>Khan, S. and Khan, M.A. (2016) 'Microcredit and rural women entrepreneurship: A pathway to economic independence', Journal of Rural and Community Development, 11(2), pp. 45–60.</w:t>
            </w:r>
          </w:p>
        </w:tc>
        <w:tc>
          <w:tcPr>
            <w:tcW w:w="1080" w:type="dxa"/>
          </w:tcPr>
          <w:p w14:paraId="275A87EE" w14:textId="77777777" w:rsidR="00A428CB" w:rsidRDefault="00C80D20">
            <w:r>
              <w:rPr>
                <w:sz w:val="16"/>
              </w:rPr>
              <w:t>Rural South Asia (not further specified)</w:t>
            </w:r>
          </w:p>
        </w:tc>
        <w:tc>
          <w:tcPr>
            <w:tcW w:w="1512" w:type="dxa"/>
          </w:tcPr>
          <w:p w14:paraId="571D7B25" w14:textId="77777777" w:rsidR="00A428CB" w:rsidRDefault="00C80D20">
            <w:r>
              <w:rPr>
                <w:sz w:val="16"/>
              </w:rPr>
              <w:t>Microcredit and rural women's economic independence</w:t>
            </w:r>
          </w:p>
        </w:tc>
        <w:tc>
          <w:tcPr>
            <w:tcW w:w="1512" w:type="dxa"/>
          </w:tcPr>
          <w:p w14:paraId="210A116F" w14:textId="77777777" w:rsidR="00A428CB" w:rsidRDefault="00C80D20">
            <w:r>
              <w:rPr>
                <w:sz w:val="16"/>
              </w:rPr>
              <w:t>Empowerment / economic independence perspective</w:t>
            </w:r>
          </w:p>
        </w:tc>
        <w:tc>
          <w:tcPr>
            <w:tcW w:w="1224" w:type="dxa"/>
          </w:tcPr>
          <w:p w14:paraId="1A4BA4BF" w14:textId="77777777" w:rsidR="00A428CB" w:rsidRDefault="00C80D20">
            <w:r>
              <w:rPr>
                <w:sz w:val="16"/>
              </w:rPr>
              <w:t>Empirical study</w:t>
            </w:r>
          </w:p>
        </w:tc>
        <w:tc>
          <w:tcPr>
            <w:tcW w:w="2088" w:type="dxa"/>
          </w:tcPr>
          <w:p w14:paraId="62FBE98F" w14:textId="77777777" w:rsidR="00A428CB" w:rsidRDefault="00C80D20">
            <w:r>
              <w:rPr>
                <w:sz w:val="16"/>
              </w:rPr>
              <w:t>Microcredit helps translate business ideas into lasting ventures and supports women's economic independence.</w:t>
            </w:r>
          </w:p>
        </w:tc>
        <w:tc>
          <w:tcPr>
            <w:tcW w:w="2088" w:type="dxa"/>
          </w:tcPr>
          <w:p w14:paraId="753BF94C" w14:textId="77777777" w:rsidR="00A428CB" w:rsidRDefault="00C80D20">
            <w:r>
              <w:rPr>
                <w:sz w:val="16"/>
              </w:rPr>
              <w:t>Limited attention to venture sustainability beyond the initial loan period.</w:t>
            </w:r>
          </w:p>
        </w:tc>
        <w:tc>
          <w:tcPr>
            <w:tcW w:w="1872" w:type="dxa"/>
          </w:tcPr>
          <w:p w14:paraId="18D7DD76" w14:textId="77777777" w:rsidR="00A428CB" w:rsidRDefault="00C80D20">
            <w:r>
              <w:rPr>
                <w:sz w:val="16"/>
              </w:rPr>
              <w:t>Supports the positive strand of literature on microcredit enabling rural entrepreneurship.</w:t>
            </w:r>
          </w:p>
        </w:tc>
      </w:tr>
      <w:tr w:rsidR="00A428CB" w14:paraId="6706341B" w14:textId="77777777">
        <w:tc>
          <w:tcPr>
            <w:tcW w:w="504" w:type="dxa"/>
          </w:tcPr>
          <w:p w14:paraId="3A9FDD47" w14:textId="77777777" w:rsidR="00A428CB" w:rsidRDefault="00C80D20">
            <w:r>
              <w:rPr>
                <w:b/>
                <w:sz w:val="16"/>
              </w:rPr>
              <w:t>20</w:t>
            </w:r>
          </w:p>
        </w:tc>
        <w:tc>
          <w:tcPr>
            <w:tcW w:w="2736" w:type="dxa"/>
          </w:tcPr>
          <w:p w14:paraId="21F8CE21" w14:textId="77777777" w:rsidR="00A428CB" w:rsidRDefault="00C80D20">
            <w:r>
              <w:rPr>
                <w:sz w:val="16"/>
              </w:rPr>
              <w:t xml:space="preserve">Lensink, R., Mersland, R., Vu, N.T.H. and Zamore, S. (2018) 'Do business training programs improve business outcomes for microfinance clients? Results from a meta-analysis', Journal of Development Studies, 54(8), pp. 1323–1341.</w:t>
            </w:r>
          </w:p>
        </w:tc>
        <w:tc>
          <w:tcPr>
            <w:tcW w:w="1080" w:type="dxa"/>
          </w:tcPr>
          <w:p w14:paraId="61087997" w14:textId="77777777" w:rsidR="00A428CB" w:rsidRDefault="00C80D20">
            <w:r>
              <w:rPr>
                <w:sz w:val="16"/>
              </w:rPr>
              <w:t>Global (multi-country meta-analysis)</w:t>
            </w:r>
          </w:p>
        </w:tc>
        <w:tc>
          <w:tcPr>
            <w:tcW w:w="1512" w:type="dxa"/>
          </w:tcPr>
          <w:p w14:paraId="1D2D7923" w14:textId="77777777" w:rsidR="00A428CB" w:rsidRDefault="00C80D20">
            <w:r>
              <w:rPr>
                <w:sz w:val="16"/>
              </w:rPr>
              <w:t>Business training and microfinance client outcomes</w:t>
            </w:r>
          </w:p>
        </w:tc>
        <w:tc>
          <w:tcPr>
            <w:tcW w:w="1512" w:type="dxa"/>
          </w:tcPr>
          <w:p w14:paraId="748D010A" w14:textId="77777777" w:rsidR="00A428CB" w:rsidRDefault="00C80D20">
            <w:r>
              <w:rPr>
                <w:sz w:val="16"/>
              </w:rPr>
              <w:t>Human Capital Theory</w:t>
            </w:r>
          </w:p>
        </w:tc>
        <w:tc>
          <w:tcPr>
            <w:tcW w:w="1224" w:type="dxa"/>
          </w:tcPr>
          <w:p w14:paraId="606DC7DB" w14:textId="77777777" w:rsidR="00A428CB" w:rsidRDefault="00C80D20">
            <w:r>
              <w:rPr>
                <w:sz w:val="16"/>
              </w:rPr>
              <w:t>Meta-analysis</w:t>
            </w:r>
          </w:p>
        </w:tc>
        <w:tc>
          <w:tcPr>
            <w:tcW w:w="2088" w:type="dxa"/>
          </w:tcPr>
          <w:p w14:paraId="6E98F3B3" w14:textId="77777777" w:rsidR="00A428CB" w:rsidRDefault="00C80D20">
            <w:r>
              <w:rPr>
                <w:sz w:val="16"/>
              </w:rPr>
              <w:t>Combining financial services with training can improve practices, skills and business sustainability, though effects vary.</w:t>
            </w:r>
          </w:p>
        </w:tc>
        <w:tc>
          <w:tcPr>
            <w:tcW w:w="2088" w:type="dxa"/>
          </w:tcPr>
          <w:p w14:paraId="7CC9FD61" w14:textId="77777777" w:rsidR="00A428CB" w:rsidRDefault="00C80D20">
            <w:r>
              <w:rPr>
                <w:sz w:val="16"/>
              </w:rPr>
              <w:t>Rural-specific and long-run evidence remains limited within pooled studies.</w:t>
            </w:r>
          </w:p>
        </w:tc>
        <w:tc>
          <w:tcPr>
            <w:tcW w:w="1872" w:type="dxa"/>
          </w:tcPr>
          <w:p w14:paraId="6C0A6D0B" w14:textId="77777777" w:rsidR="00A428CB" w:rsidRDefault="00C80D20">
            <w:r>
              <w:rPr>
                <w:sz w:val="16"/>
              </w:rPr>
              <w:t>Central meta-analytic evidence for the conceptual model of combined support.</w:t>
            </w:r>
          </w:p>
        </w:tc>
      </w:tr>
      <w:tr w:rsidR="00A428CB" w14:paraId="060ABB10" w14:textId="77777777">
        <w:tc>
          <w:tcPr>
            <w:tcW w:w="504" w:type="dxa"/>
          </w:tcPr>
          <w:p w14:paraId="7409EC69" w14:textId="77777777" w:rsidR="00A428CB" w:rsidRDefault="00C80D20">
            <w:r>
              <w:rPr>
                <w:b/>
                <w:sz w:val="16"/>
              </w:rPr>
              <w:t>21</w:t>
            </w:r>
          </w:p>
        </w:tc>
        <w:tc>
          <w:tcPr>
            <w:tcW w:w="2736" w:type="dxa"/>
          </w:tcPr>
          <w:p w14:paraId="3BBF7AF8" w14:textId="77777777" w:rsidR="00A428CB" w:rsidRDefault="00C80D20">
            <w:r>
              <w:rPr>
                <w:sz w:val="16"/>
              </w:rPr>
              <w:t xml:space="preserve">Lwesya, F. and Mwakalobo, A.B.S. (2023) 'Frontiers in microfinance research for small and medium enterprises (SMEs) and microfinance institutions (MFIs): a bibliometric analysis', Future Business Journal, 9(1), p. 32.</w:t>
            </w:r>
          </w:p>
        </w:tc>
        <w:tc>
          <w:tcPr>
            <w:tcW w:w="1080" w:type="dxa"/>
          </w:tcPr>
          <w:p w14:paraId="3BDD5BA1" w14:textId="77777777" w:rsidR="00A428CB" w:rsidRDefault="00C80D20">
            <w:r>
              <w:rPr>
                <w:sz w:val="16"/>
              </w:rPr>
              <w:t>Global (bibliometric, not country-specific)</w:t>
            </w:r>
          </w:p>
        </w:tc>
        <w:tc>
          <w:tcPr>
            <w:tcW w:w="1512" w:type="dxa"/>
          </w:tcPr>
          <w:p w14:paraId="3610F9AB" w14:textId="77777777" w:rsidR="00A428CB" w:rsidRDefault="00C80D20">
            <w:r>
              <w:rPr>
                <w:sz w:val="16"/>
              </w:rPr>
              <w:t>Bibliometric mapping of microfinance/SME research</w:t>
            </w:r>
          </w:p>
        </w:tc>
        <w:tc>
          <w:tcPr>
            <w:tcW w:w="1512" w:type="dxa"/>
          </w:tcPr>
          <w:p w14:paraId="4446E837" w14:textId="77777777" w:rsidR="00A428CB" w:rsidRDefault="00C80D20">
            <w:r>
              <w:rPr>
                <w:sz w:val="16"/>
              </w:rPr>
              <w:t>Scientometric/bibliometric perspective</w:t>
            </w:r>
          </w:p>
        </w:tc>
        <w:tc>
          <w:tcPr>
            <w:tcW w:w="1224" w:type="dxa"/>
          </w:tcPr>
          <w:p w14:paraId="6F4770AD" w14:textId="77777777" w:rsidR="00A428CB" w:rsidRDefault="00C80D20">
            <w:r>
              <w:rPr>
                <w:sz w:val="16"/>
              </w:rPr>
              <w:t>Bibliometric analysis</w:t>
            </w:r>
          </w:p>
        </w:tc>
        <w:tc>
          <w:tcPr>
            <w:tcW w:w="2088" w:type="dxa"/>
          </w:tcPr>
          <w:p w14:paraId="22BA8FDD" w14:textId="77777777" w:rsidR="00A428CB" w:rsidRDefault="00C80D20">
            <w:r>
              <w:rPr>
                <w:sz w:val="16"/>
              </w:rPr>
              <w:t>Maps the intellectual structure and thematic frontiers of microfinance and SME/MFI research.</w:t>
            </w:r>
          </w:p>
        </w:tc>
        <w:tc>
          <w:tcPr>
            <w:tcW w:w="2088" w:type="dxa"/>
          </w:tcPr>
          <w:p w14:paraId="6A2DE43B" w14:textId="77777777" w:rsidR="00A428CB" w:rsidRDefault="00C80D20">
            <w:r>
              <w:rPr>
                <w:sz w:val="16"/>
              </w:rPr>
              <w:t>Identifies under-researched intersections, including integrated financial/non-financial models.</w:t>
            </w:r>
          </w:p>
        </w:tc>
        <w:tc>
          <w:tcPr>
            <w:tcW w:w="1872" w:type="dxa"/>
          </w:tcPr>
          <w:p w14:paraId="7D998831" w14:textId="77777777" w:rsidR="00A428CB" w:rsidRDefault="00C80D20">
            <w:r>
              <w:rPr>
                <w:sz w:val="16"/>
              </w:rPr>
              <w:t>Supports the systematic mapping rationale and corroborates the identified research gap.</w:t>
            </w:r>
          </w:p>
        </w:tc>
      </w:tr>
      <w:tr w:rsidR="00A428CB" w14:paraId="4B89980F" w14:textId="77777777">
        <w:tc>
          <w:tcPr>
            <w:tcW w:w="504" w:type="dxa"/>
          </w:tcPr>
          <w:p w14:paraId="64B700A5" w14:textId="77777777" w:rsidR="00A428CB" w:rsidRDefault="00C80D20">
            <w:r>
              <w:rPr>
                <w:b/>
                <w:sz w:val="16"/>
              </w:rPr>
              <w:t>22</w:t>
            </w:r>
          </w:p>
        </w:tc>
        <w:tc>
          <w:tcPr>
            <w:tcW w:w="2736" w:type="dxa"/>
          </w:tcPr>
          <w:p w14:paraId="5BA09DBF" w14:textId="77777777" w:rsidR="00A428CB" w:rsidRDefault="00C80D20">
            <w:r>
              <w:rPr>
                <w:sz w:val="16"/>
              </w:rPr>
              <w:t xml:space="preserve">McKague, K., Wong, J. and Siddiquee, N. (2017) 'Social franchising as rural entrepreneurial ecosystem development', The International Journal of Entrepreneurship and Innovation, 18(1), pp. 47–56.</w:t>
            </w:r>
          </w:p>
        </w:tc>
        <w:tc>
          <w:tcPr>
            <w:tcW w:w="1080" w:type="dxa"/>
          </w:tcPr>
          <w:p w14:paraId="3BD08021" w14:textId="77777777" w:rsidR="00A428CB" w:rsidRDefault="00C80D20">
            <w:r>
              <w:rPr>
                <w:sz w:val="16"/>
              </w:rPr>
              <w:t>Developing countries (rural)</w:t>
            </w:r>
          </w:p>
        </w:tc>
        <w:tc>
          <w:tcPr>
            <w:tcW w:w="1512" w:type="dxa"/>
          </w:tcPr>
          <w:p w14:paraId="48D0405D" w14:textId="77777777" w:rsidR="00A428CB" w:rsidRDefault="00C80D20">
            <w:r>
              <w:rPr>
                <w:sz w:val="16"/>
              </w:rPr>
              <w:t xml:space="preserve">Social microfranchising and rural entrepreneurship</w:t>
            </w:r>
          </w:p>
        </w:tc>
        <w:tc>
          <w:tcPr>
            <w:tcW w:w="1512" w:type="dxa"/>
          </w:tcPr>
          <w:p w14:paraId="78420979" w14:textId="77777777" w:rsidR="00A428CB" w:rsidRDefault="00C80D20">
            <w:r>
              <w:rPr>
                <w:sz w:val="16"/>
              </w:rPr>
              <w:t>Institutional Theory</w:t>
            </w:r>
          </w:p>
        </w:tc>
        <w:tc>
          <w:tcPr>
            <w:tcW w:w="1224" w:type="dxa"/>
          </w:tcPr>
          <w:p w14:paraId="1872510F" w14:textId="77777777" w:rsidR="00A428CB" w:rsidRDefault="00C80D20">
            <w:r>
              <w:rPr>
                <w:sz w:val="16"/>
              </w:rPr>
              <w:t>Case study</w:t>
            </w:r>
          </w:p>
        </w:tc>
        <w:tc>
          <w:tcPr>
            <w:tcW w:w="2088" w:type="dxa"/>
          </w:tcPr>
          <w:p w14:paraId="749C67B7" w14:textId="77777777" w:rsidR="00A428CB" w:rsidRDefault="00C80D20">
            <w:r>
              <w:rPr>
                <w:sz w:val="16"/>
              </w:rPr>
              <w:t xml:space="preserve">Social microfranchising combines finance, business support and market linkages, filling institutional gaps for rural enterprises.</w:t>
            </w:r>
          </w:p>
        </w:tc>
        <w:tc>
          <w:tcPr>
            <w:tcW w:w="2088" w:type="dxa"/>
          </w:tcPr>
          <w:p w14:paraId="2F43CB52" w14:textId="77777777" w:rsidR="00A428CB" w:rsidRDefault="00C80D20">
            <w:r>
              <w:rPr>
                <w:sz w:val="16"/>
              </w:rPr>
              <w:t>Limited longitudinal evidence on sustainability of integrated BDS-and-finance models.</w:t>
            </w:r>
          </w:p>
        </w:tc>
        <w:tc>
          <w:tcPr>
            <w:tcW w:w="1872" w:type="dxa"/>
          </w:tcPr>
          <w:p w14:paraId="56DBDBBC" w14:textId="77777777" w:rsidR="00A428CB" w:rsidRDefault="00C80D20">
            <w:r>
              <w:rPr>
                <w:sz w:val="16"/>
              </w:rPr>
              <w:t>Provides a concrete institutional model illustrating how combined support addresses institutional barriers.</w:t>
            </w:r>
          </w:p>
        </w:tc>
      </w:tr>
      <w:tr w:rsidR="00A428CB" w14:paraId="7650FE95" w14:textId="77777777">
        <w:tc>
          <w:tcPr>
            <w:tcW w:w="504" w:type="dxa"/>
          </w:tcPr>
          <w:p w14:paraId="789B4C57" w14:textId="77777777" w:rsidR="00A428CB" w:rsidRDefault="00C80D20">
            <w:r>
              <w:rPr>
                <w:b/>
                <w:sz w:val="16"/>
              </w:rPr>
              <w:t>23</w:t>
            </w:r>
          </w:p>
        </w:tc>
        <w:tc>
          <w:tcPr>
            <w:tcW w:w="2736" w:type="dxa"/>
          </w:tcPr>
          <w:p w14:paraId="78CC9E16" w14:textId="77777777" w:rsidR="00A428CB" w:rsidRDefault="00C80D20">
            <w:r>
              <w:rPr>
                <w:sz w:val="16"/>
              </w:rPr>
              <w:t xml:space="preserve">Musah, I. (2025) 'Microcredit as a catalyst for microbusiness growth: a myth or reality; a case of Asante-Akim Central Municipality, Ghana', Future Business Journal, 11(1), p. 426.</w:t>
            </w:r>
          </w:p>
        </w:tc>
        <w:tc>
          <w:tcPr>
            <w:tcW w:w="1080" w:type="dxa"/>
          </w:tcPr>
          <w:p w14:paraId="5CD9B531" w14:textId="77777777" w:rsidR="00A428CB" w:rsidRDefault="00C80D20">
            <w:r>
              <w:rPr>
                <w:sz w:val="16"/>
              </w:rPr>
              <w:t>Ghana</w:t>
            </w:r>
          </w:p>
        </w:tc>
        <w:tc>
          <w:tcPr>
            <w:tcW w:w="1512" w:type="dxa"/>
          </w:tcPr>
          <w:p w14:paraId="2708F4BD" w14:textId="77777777" w:rsidR="00A428CB" w:rsidRDefault="00C80D20">
            <w:r>
              <w:rPr>
                <w:sz w:val="16"/>
              </w:rPr>
              <w:t>Microcredit and microbusiness growth/debt</w:t>
            </w:r>
          </w:p>
        </w:tc>
        <w:tc>
          <w:tcPr>
            <w:tcW w:w="1512" w:type="dxa"/>
          </w:tcPr>
          <w:p w14:paraId="1DA1CBA2" w14:textId="77777777" w:rsidR="00A428CB" w:rsidRDefault="00C80D20">
            <w:r>
              <w:rPr>
                <w:sz w:val="16"/>
              </w:rPr>
              <w:t>Critical/institutional perspective on microcredit</w:t>
            </w:r>
          </w:p>
        </w:tc>
        <w:tc>
          <w:tcPr>
            <w:tcW w:w="1224" w:type="dxa"/>
          </w:tcPr>
          <w:p w14:paraId="630DB894" w14:textId="77777777" w:rsidR="00A428CB" w:rsidRDefault="00C80D20">
            <w:r>
              <w:rPr>
                <w:sz w:val="16"/>
              </w:rPr>
              <w:t>Case study</w:t>
            </w:r>
          </w:p>
        </w:tc>
        <w:tc>
          <w:tcPr>
            <w:tcW w:w="2088" w:type="dxa"/>
          </w:tcPr>
          <w:p w14:paraId="206EDE7C" w14:textId="77777777" w:rsidR="00A428CB" w:rsidRDefault="00C80D20">
            <w:r>
              <w:rPr>
                <w:sz w:val="16"/>
              </w:rPr>
              <w:t>High interest rates, fixed repayments and unstable conditions mean repayments often reduce investment funds, sometimes trapping borrowers in debt.</w:t>
            </w:r>
          </w:p>
        </w:tc>
        <w:tc>
          <w:tcPr>
            <w:tcW w:w="2088" w:type="dxa"/>
          </w:tcPr>
          <w:p w14:paraId="5859F0EB" w14:textId="77777777" w:rsidR="00A428CB" w:rsidRDefault="00C80D20">
            <w:r>
              <w:rPr>
                <w:sz w:val="16"/>
              </w:rPr>
              <w:t>Limited micro-level evidence distinguishing when microcredit succeeds versus fails.</w:t>
            </w:r>
          </w:p>
        </w:tc>
        <w:tc>
          <w:tcPr>
            <w:tcW w:w="1872" w:type="dxa"/>
          </w:tcPr>
          <w:p w14:paraId="0D7C5837" w14:textId="77777777" w:rsidR="00A428CB" w:rsidRDefault="00C80D20">
            <w:r>
              <w:rPr>
                <w:sz w:val="16"/>
              </w:rPr>
              <w:t>Key evidence for the debt-trap side of the debate on microcredit's effectiveness.</w:t>
            </w:r>
          </w:p>
        </w:tc>
      </w:tr>
      <w:tr w:rsidR="00A428CB" w14:paraId="23C176C3" w14:textId="77777777">
        <w:tc>
          <w:tcPr>
            <w:tcW w:w="504" w:type="dxa"/>
          </w:tcPr>
          <w:p w14:paraId="1C439AB5" w14:textId="77777777" w:rsidR="00A428CB" w:rsidRDefault="00C80D20">
            <w:r>
              <w:rPr>
                <w:b/>
                <w:sz w:val="16"/>
              </w:rPr>
              <w:t>24</w:t>
            </w:r>
          </w:p>
        </w:tc>
        <w:tc>
          <w:tcPr>
            <w:tcW w:w="2736" w:type="dxa"/>
          </w:tcPr>
          <w:p w14:paraId="6892DFE7" w14:textId="77777777" w:rsidR="00A428CB" w:rsidRDefault="00C80D20">
            <w:r>
              <w:rPr>
                <w:sz w:val="16"/>
              </w:rPr>
              <w:t xml:space="preserve">Ogujiuba, K.K., Mncayi, P. and Stiegler, N. (2023) 'Financial inclusion and micro-enterprise growth in developing nations: Assessing interactive effects of non-financial support', African Development Review, 35(2), pp. 180–194.</w:t>
            </w:r>
          </w:p>
        </w:tc>
        <w:tc>
          <w:tcPr>
            <w:tcW w:w="1080" w:type="dxa"/>
          </w:tcPr>
          <w:p w14:paraId="65A48C10" w14:textId="77777777" w:rsidR="00A428CB" w:rsidRDefault="00C80D20">
            <w:r>
              <w:rPr>
                <w:sz w:val="16"/>
              </w:rPr>
              <w:t>Developing African nations</w:t>
            </w:r>
          </w:p>
        </w:tc>
        <w:tc>
          <w:tcPr>
            <w:tcW w:w="1512" w:type="dxa"/>
          </w:tcPr>
          <w:p w14:paraId="749E3845" w14:textId="77777777" w:rsidR="00A428CB" w:rsidRDefault="00C80D20">
            <w:r>
              <w:rPr>
                <w:sz w:val="16"/>
              </w:rPr>
              <w:t>Financial inclusion and non-financial support interaction</w:t>
            </w:r>
          </w:p>
        </w:tc>
        <w:tc>
          <w:tcPr>
            <w:tcW w:w="1512" w:type="dxa"/>
          </w:tcPr>
          <w:p w14:paraId="74E1B5EF" w14:textId="77777777" w:rsidR="00A428CB" w:rsidRDefault="00C80D20">
            <w:r>
              <w:rPr>
                <w:sz w:val="16"/>
              </w:rPr>
              <w:t>Financial Inclusion Theory</w:t>
            </w:r>
          </w:p>
        </w:tc>
        <w:tc>
          <w:tcPr>
            <w:tcW w:w="1224" w:type="dxa"/>
          </w:tcPr>
          <w:p w14:paraId="120D903B" w14:textId="77777777" w:rsidR="00A428CB" w:rsidRDefault="00C80D20">
            <w:r>
              <w:rPr>
                <w:sz w:val="16"/>
              </w:rPr>
              <w:t>Quantitative study</w:t>
            </w:r>
          </w:p>
        </w:tc>
        <w:tc>
          <w:tcPr>
            <w:tcW w:w="2088" w:type="dxa"/>
          </w:tcPr>
          <w:p w14:paraId="2D62EB65" w14:textId="77777777" w:rsidR="00A428CB" w:rsidRDefault="00C80D20">
            <w:r>
              <w:rPr>
                <w:sz w:val="16"/>
              </w:rPr>
              <w:t>Financial inclusion promotes micro-enterprise growth, strengthened by the presence of non-financial support.</w:t>
            </w:r>
          </w:p>
        </w:tc>
        <w:tc>
          <w:tcPr>
            <w:tcW w:w="2088" w:type="dxa"/>
          </w:tcPr>
          <w:p w14:paraId="46ED51DD" w14:textId="77777777" w:rsidR="00A428CB" w:rsidRDefault="00C80D20">
            <w:r>
              <w:rPr>
                <w:sz w:val="16"/>
              </w:rPr>
              <w:t>Interactive effects of non-financial support not yet widely tested across rural contexts.</w:t>
            </w:r>
          </w:p>
        </w:tc>
        <w:tc>
          <w:tcPr>
            <w:tcW w:w="1872" w:type="dxa"/>
          </w:tcPr>
          <w:p w14:paraId="196A72C4" w14:textId="77777777" w:rsidR="00A428CB" w:rsidRDefault="00C80D20">
            <w:r>
              <w:rPr>
                <w:sz w:val="16"/>
              </w:rPr>
              <w:t>Directly supports the argument that financial and non-financial support interact to strengthen outcomes.</w:t>
            </w:r>
          </w:p>
        </w:tc>
      </w:tr>
      <w:tr w:rsidR="00A428CB" w14:paraId="00D020B9" w14:textId="77777777">
        <w:tc>
          <w:tcPr>
            <w:tcW w:w="504" w:type="dxa"/>
          </w:tcPr>
          <w:p w14:paraId="4FF5DB19" w14:textId="77777777" w:rsidR="00A428CB" w:rsidRDefault="00C80D20">
            <w:r>
              <w:rPr>
                <w:b/>
                <w:sz w:val="16"/>
              </w:rPr>
              <w:t>25</w:t>
            </w:r>
          </w:p>
        </w:tc>
        <w:tc>
          <w:tcPr>
            <w:tcW w:w="2736" w:type="dxa"/>
          </w:tcPr>
          <w:p w14:paraId="25E33A21" w14:textId="77777777" w:rsidR="00A428CB" w:rsidRDefault="00C80D20">
            <w:r>
              <w:rPr>
                <w:sz w:val="16"/>
              </w:rPr>
              <w:t xml:space="preserve">Ozili, P.K. (2022) 'Financial inclusion and sustainable development: an </w:t>
              <w:lastRenderedPageBreak/>
              <w:t>empirical association', Journal of Money and Business, 2(2), pp. 180–198.</w:t>
            </w:r>
          </w:p>
        </w:tc>
        <w:tc>
          <w:tcPr>
            <w:tcW w:w="1080" w:type="dxa"/>
          </w:tcPr>
          <w:p w14:paraId="1939DAFC" w14:textId="77777777" w:rsidR="00A428CB" w:rsidRDefault="00C80D20">
            <w:r>
              <w:rPr>
                <w:sz w:val="16"/>
              </w:rPr>
              <w:lastRenderedPageBreak/>
              <w:t>Global/conceptual</w:t>
            </w:r>
          </w:p>
        </w:tc>
        <w:tc>
          <w:tcPr>
            <w:tcW w:w="1512" w:type="dxa"/>
          </w:tcPr>
          <w:p w14:paraId="5B92A49A" w14:textId="77777777" w:rsidR="00A428CB" w:rsidRDefault="00C80D20">
            <w:r>
              <w:rPr>
                <w:sz w:val="16"/>
              </w:rPr>
              <w:t xml:space="preserve">Financial inclusion theory and </w:t>
              <w:lastRenderedPageBreak/>
              <w:t>sustainable development</w:t>
            </w:r>
          </w:p>
        </w:tc>
        <w:tc>
          <w:tcPr>
            <w:tcW w:w="1512" w:type="dxa"/>
          </w:tcPr>
          <w:p w14:paraId="23C1847C" w14:textId="77777777" w:rsidR="00A428CB" w:rsidRDefault="00C80D20">
            <w:r>
              <w:rPr>
                <w:sz w:val="16"/>
              </w:rPr>
              <w:lastRenderedPageBreak/>
              <w:t>Financial Inclusion Theory</w:t>
            </w:r>
          </w:p>
        </w:tc>
        <w:tc>
          <w:tcPr>
            <w:tcW w:w="1224" w:type="dxa"/>
          </w:tcPr>
          <w:p w14:paraId="52044909" w14:textId="77777777" w:rsidR="00A428CB" w:rsidRDefault="00C80D20">
            <w:r>
              <w:rPr>
                <w:sz w:val="16"/>
              </w:rPr>
              <w:t xml:space="preserve">Conceptual/empirical </w:t>
              <w:lastRenderedPageBreak/>
              <w:t>association study</w:t>
            </w:r>
          </w:p>
        </w:tc>
        <w:tc>
          <w:tcPr>
            <w:tcW w:w="2088" w:type="dxa"/>
          </w:tcPr>
          <w:p w14:paraId="0972BCC2" w14:textId="77777777" w:rsidR="00A428CB" w:rsidRDefault="00C80D20">
            <w:r>
              <w:rPr>
                <w:sz w:val="16"/>
              </w:rPr>
              <w:lastRenderedPageBreak/>
              <w:t xml:space="preserve">Fair access to financial services supports </w:t>
              <w:lastRenderedPageBreak/>
              <w:t>development; access alone does not guarantee good outcomes.</w:t>
            </w:r>
          </w:p>
        </w:tc>
        <w:tc>
          <w:tcPr>
            <w:tcW w:w="2088" w:type="dxa"/>
          </w:tcPr>
          <w:p w14:paraId="11C013D4" w14:textId="77777777" w:rsidR="00A428CB" w:rsidRDefault="00C80D20">
            <w:r>
              <w:rPr>
                <w:sz w:val="16"/>
              </w:rPr>
              <w:lastRenderedPageBreak/>
              <w:t xml:space="preserve">Limited application of the theory to combined </w:t>
              <w:lastRenderedPageBreak/>
              <w:t>financial-and-capability-building interventions.</w:t>
            </w:r>
          </w:p>
        </w:tc>
        <w:tc>
          <w:tcPr>
            <w:tcW w:w="1872" w:type="dxa"/>
          </w:tcPr>
          <w:p w14:paraId="10C56C15" w14:textId="77777777" w:rsidR="00A428CB" w:rsidRDefault="00C80D20">
            <w:r>
              <w:rPr>
                <w:sz w:val="16"/>
              </w:rPr>
              <w:lastRenderedPageBreak/>
              <w:t xml:space="preserve">Provides the study's primary theoretical </w:t>
              <w:lastRenderedPageBreak/>
              <w:t>foundation (Section 3.6.1).</w:t>
            </w:r>
          </w:p>
        </w:tc>
      </w:tr>
      <w:tr w:rsidR="00A428CB" w14:paraId="2381D119" w14:textId="77777777">
        <w:tc>
          <w:tcPr>
            <w:tcW w:w="504" w:type="dxa"/>
          </w:tcPr>
          <w:p w14:paraId="4B840A6F" w14:textId="77777777" w:rsidR="00A428CB" w:rsidRDefault="00C80D20">
            <w:r>
              <w:rPr>
                <w:b/>
                <w:sz w:val="16"/>
              </w:rPr>
              <w:lastRenderedPageBreak/>
              <w:t>26</w:t>
            </w:r>
          </w:p>
        </w:tc>
        <w:tc>
          <w:tcPr>
            <w:tcW w:w="2736" w:type="dxa"/>
          </w:tcPr>
          <w:p w14:paraId="23912B21" w14:textId="77777777" w:rsidR="00A428CB" w:rsidRDefault="00C80D20">
            <w:r>
              <w:rPr>
                <w:sz w:val="16"/>
              </w:rPr>
              <w:t xml:space="preserve">Page, M.J., McKenzie, J.E., Bossuyt, P.M., Boutron, I., Hoffmann, T.C., Mulrow, C.D., Shamseer, L., Tetzlaff, J.M., Akl, E.A., Brennan, S.E. and Chou, R. (2021) 'The PRISMA 2020 statement: an updated guideline for reporting systematic reviews', BMJ, 372, p. n71.</w:t>
            </w:r>
          </w:p>
        </w:tc>
        <w:tc>
          <w:tcPr>
            <w:tcW w:w="1080" w:type="dxa"/>
          </w:tcPr>
          <w:p w14:paraId="13305806" w14:textId="77777777" w:rsidR="00A428CB" w:rsidRDefault="00C80D20">
            <w:r>
              <w:rPr>
                <w:sz w:val="16"/>
              </w:rPr>
              <w:t>Not applicable (international guideline)</w:t>
            </w:r>
          </w:p>
        </w:tc>
        <w:tc>
          <w:tcPr>
            <w:tcW w:w="1512" w:type="dxa"/>
          </w:tcPr>
          <w:p w14:paraId="40AD9926" w14:textId="77777777" w:rsidR="00A428CB" w:rsidRDefault="00C80D20">
            <w:r>
              <w:rPr>
                <w:sz w:val="16"/>
              </w:rPr>
              <w:t>Systematic review reporting methodology</w:t>
            </w:r>
          </w:p>
        </w:tc>
        <w:tc>
          <w:tcPr>
            <w:tcW w:w="1512" w:type="dxa"/>
          </w:tcPr>
          <w:p w14:paraId="5ED91EC5" w14:textId="77777777" w:rsidR="00A428CB" w:rsidRDefault="00C80D20">
            <w:r>
              <w:rPr>
                <w:sz w:val="16"/>
              </w:rPr>
              <w:t>Not applicable (methodological standard)</w:t>
            </w:r>
          </w:p>
        </w:tc>
        <w:tc>
          <w:tcPr>
            <w:tcW w:w="1224" w:type="dxa"/>
          </w:tcPr>
          <w:p w14:paraId="4A7E4ED9" w14:textId="77777777" w:rsidR="00A428CB" w:rsidRDefault="00C80D20">
            <w:r>
              <w:rPr>
                <w:sz w:val="16"/>
              </w:rPr>
              <w:t>Methodological guideline development</w:t>
            </w:r>
          </w:p>
        </w:tc>
        <w:tc>
          <w:tcPr>
            <w:tcW w:w="2088" w:type="dxa"/>
          </w:tcPr>
          <w:p w14:paraId="6AA3A828" w14:textId="77777777" w:rsidR="00A428CB" w:rsidRDefault="00C80D20">
            <w:r>
              <w:rPr>
                <w:sz w:val="16"/>
              </w:rPr>
              <w:t>Sets out a standardised process for identifying, screening and reporting studies in systematic reviews.</w:t>
            </w:r>
          </w:p>
        </w:tc>
        <w:tc>
          <w:tcPr>
            <w:tcW w:w="2088" w:type="dxa"/>
          </w:tcPr>
          <w:p w14:paraId="2376F1C1" w14:textId="77777777" w:rsidR="00A428CB" w:rsidRDefault="00C80D20">
            <w:r>
              <w:rPr>
                <w:sz w:val="16"/>
              </w:rPr>
              <w:t>Not applicable — a reporting standard rather than an empirical study.</w:t>
            </w:r>
          </w:p>
        </w:tc>
        <w:tc>
          <w:tcPr>
            <w:tcW w:w="1872" w:type="dxa"/>
          </w:tcPr>
          <w:p w14:paraId="2525502F" w14:textId="77777777" w:rsidR="00A428CB" w:rsidRDefault="00C80D20">
            <w:r>
              <w:rPr>
                <w:sz w:val="16"/>
              </w:rPr>
              <w:t>Provides the PRISMA methodology followed for search, screening and the flow diagram (Sections 2.3–2.7).</w:t>
            </w:r>
          </w:p>
        </w:tc>
      </w:tr>
      <w:tr w:rsidR="00A428CB" w14:paraId="477AABE1" w14:textId="77777777">
        <w:tc>
          <w:tcPr>
            <w:tcW w:w="504" w:type="dxa"/>
          </w:tcPr>
          <w:p w14:paraId="463F847F" w14:textId="77777777" w:rsidR="00A428CB" w:rsidRDefault="00C80D20">
            <w:r>
              <w:rPr>
                <w:b/>
                <w:sz w:val="16"/>
              </w:rPr>
              <w:t>27</w:t>
            </w:r>
          </w:p>
        </w:tc>
        <w:tc>
          <w:tcPr>
            <w:tcW w:w="2736" w:type="dxa"/>
          </w:tcPr>
          <w:p w14:paraId="0DCAE2DE" w14:textId="77777777" w:rsidR="00A428CB" w:rsidRDefault="00C80D20">
            <w:r>
              <w:rPr>
                <w:sz w:val="16"/>
              </w:rPr>
              <w:t>Pangriya, R. (2023) 'An Explorative Study on Problems and Challenges of Rural Entrepreneurs in Hilly Rural Areas', Asia-Pacific Journal of Management Research and Innovation, 18(3–4), pp. 163–175.</w:t>
            </w:r>
          </w:p>
        </w:tc>
        <w:tc>
          <w:tcPr>
            <w:tcW w:w="1080" w:type="dxa"/>
          </w:tcPr>
          <w:p w14:paraId="3B6E1340" w14:textId="77777777" w:rsidR="00A428CB" w:rsidRDefault="00C80D20">
            <w:r>
              <w:rPr>
                <w:sz w:val="16"/>
              </w:rPr>
              <w:t>India (hilly rural areas)</w:t>
            </w:r>
          </w:p>
        </w:tc>
        <w:tc>
          <w:tcPr>
            <w:tcW w:w="1512" w:type="dxa"/>
          </w:tcPr>
          <w:p w14:paraId="08E5455C" w14:textId="77777777" w:rsidR="00A428CB" w:rsidRDefault="00C80D20">
            <w:r>
              <w:rPr>
                <w:sz w:val="16"/>
              </w:rPr>
              <w:t>Rural entrepreneurship challenges in hilly areas</w:t>
            </w:r>
          </w:p>
        </w:tc>
        <w:tc>
          <w:tcPr>
            <w:tcW w:w="1512" w:type="dxa"/>
          </w:tcPr>
          <w:p w14:paraId="5EA29C5B" w14:textId="77777777" w:rsidR="00A428CB" w:rsidRDefault="00C80D20">
            <w:r>
              <w:rPr>
                <w:sz w:val="16"/>
              </w:rPr>
              <w:t>Institutional/contextual-constraints perspective</w:t>
            </w:r>
          </w:p>
        </w:tc>
        <w:tc>
          <w:tcPr>
            <w:tcW w:w="1224" w:type="dxa"/>
          </w:tcPr>
          <w:p w14:paraId="1F554945" w14:textId="77777777" w:rsidR="00A428CB" w:rsidRDefault="00C80D20">
            <w:r>
              <w:rPr>
                <w:sz w:val="16"/>
              </w:rPr>
              <w:t>Qualitative/exploratory study</w:t>
            </w:r>
          </w:p>
        </w:tc>
        <w:tc>
          <w:tcPr>
            <w:tcW w:w="2088" w:type="dxa"/>
          </w:tcPr>
          <w:p w14:paraId="25E8995C" w14:textId="77777777" w:rsidR="00A428CB" w:rsidRDefault="00C80D20">
            <w:r>
              <w:rPr>
                <w:sz w:val="16"/>
              </w:rPr>
              <w:t>Rural entrepreneurs in hilly/mountainous areas face infrastructure and transport barriers that reduce the value of classroom-based training.</w:t>
            </w:r>
          </w:p>
        </w:tc>
        <w:tc>
          <w:tcPr>
            <w:tcW w:w="2088" w:type="dxa"/>
          </w:tcPr>
          <w:p w14:paraId="67502839" w14:textId="77777777" w:rsidR="00A428CB" w:rsidRDefault="00C80D20">
            <w:r>
              <w:rPr>
                <w:sz w:val="16"/>
              </w:rPr>
              <w:t>Urban-style BDS delivery models are often unsuitable for remote, mountainous rural areas.</w:t>
            </w:r>
          </w:p>
        </w:tc>
        <w:tc>
          <w:tcPr>
            <w:tcW w:w="1872" w:type="dxa"/>
          </w:tcPr>
          <w:p w14:paraId="09240FB1" w14:textId="77777777" w:rsidR="00A428CB" w:rsidRDefault="00C80D20">
            <w:r>
              <w:rPr>
                <w:sz w:val="16"/>
              </w:rPr>
              <w:t>Supports the critique of urban bias in BDS delivery models (Section 3.3).</w:t>
            </w:r>
          </w:p>
        </w:tc>
      </w:tr>
      <w:tr w:rsidR="00A428CB" w14:paraId="20B4E163" w14:textId="77777777">
        <w:tc>
          <w:tcPr>
            <w:tcW w:w="504" w:type="dxa"/>
          </w:tcPr>
          <w:p w14:paraId="4820A184" w14:textId="77777777" w:rsidR="00A428CB" w:rsidRDefault="00C80D20">
            <w:r>
              <w:rPr>
                <w:b/>
                <w:sz w:val="16"/>
              </w:rPr>
              <w:t>28</w:t>
            </w:r>
          </w:p>
        </w:tc>
        <w:tc>
          <w:tcPr>
            <w:tcW w:w="2736" w:type="dxa"/>
          </w:tcPr>
          <w:p w14:paraId="26E1296F" w14:textId="77777777" w:rsidR="00A428CB" w:rsidRDefault="00C80D20">
            <w:r>
              <w:rPr>
                <w:sz w:val="16"/>
              </w:rPr>
              <w:t>Parray, S.A., Bhat, M.A. and Rather, A.A. (2024) 'Microfinance, business development services and rural entrepreneurship: A systematic review', International Journal of Social Economics, 51(3), pp. 341–358.</w:t>
            </w:r>
          </w:p>
        </w:tc>
        <w:tc>
          <w:tcPr>
            <w:tcW w:w="1080" w:type="dxa"/>
          </w:tcPr>
          <w:p w14:paraId="26FF510E" w14:textId="77777777" w:rsidR="00A428CB" w:rsidRDefault="00C80D20">
            <w:r>
              <w:rPr>
                <w:sz w:val="16"/>
              </w:rPr>
              <w:t>Developing countries (multi-country SLR)</w:t>
            </w:r>
          </w:p>
        </w:tc>
        <w:tc>
          <w:tcPr>
            <w:tcW w:w="1512" w:type="dxa"/>
          </w:tcPr>
          <w:p w14:paraId="2BD555BC" w14:textId="77777777" w:rsidR="00A428CB" w:rsidRDefault="00C80D20">
            <w:r>
              <w:rPr>
                <w:sz w:val="16"/>
              </w:rPr>
              <w:t>Microfinance, BDS and rural entrepreneurship (SLR)</w:t>
            </w:r>
          </w:p>
        </w:tc>
        <w:tc>
          <w:tcPr>
            <w:tcW w:w="1512" w:type="dxa"/>
          </w:tcPr>
          <w:p w14:paraId="3246EA5C" w14:textId="77777777" w:rsidR="00A428CB" w:rsidRDefault="00C80D20">
            <w:r>
              <w:rPr>
                <w:sz w:val="16"/>
              </w:rPr>
              <w:t>Financial Inclusion Theory combined with capability/BDS perspective</w:t>
            </w:r>
          </w:p>
        </w:tc>
        <w:tc>
          <w:tcPr>
            <w:tcW w:w="1224" w:type="dxa"/>
          </w:tcPr>
          <w:p w14:paraId="659995D3" w14:textId="77777777" w:rsidR="00A428CB" w:rsidRDefault="00C80D20">
            <w:r>
              <w:rPr>
                <w:sz w:val="16"/>
              </w:rPr>
              <w:t>Systematic literature review</w:t>
            </w:r>
          </w:p>
        </w:tc>
        <w:tc>
          <w:tcPr>
            <w:tcW w:w="2088" w:type="dxa"/>
          </w:tcPr>
          <w:p w14:paraId="5015A7A7" w14:textId="77777777" w:rsidR="00A428CB" w:rsidRDefault="00C80D20">
            <w:r>
              <w:rPr>
                <w:sz w:val="16"/>
              </w:rPr>
              <w:t>Microfinance balancing financial and non-financial support contributes to genuine empowerment and rural socio-economic development.</w:t>
            </w:r>
          </w:p>
        </w:tc>
        <w:tc>
          <w:tcPr>
            <w:tcW w:w="2088" w:type="dxa"/>
          </w:tcPr>
          <w:p w14:paraId="69CD9000" w14:textId="77777777" w:rsidR="00A428CB" w:rsidRDefault="00C80D20">
            <w:r>
              <w:rPr>
                <w:sz w:val="16"/>
              </w:rPr>
              <w:t>Notes the continuing need for more integrated synthesis specific to rural entrepreneurship.</w:t>
            </w:r>
          </w:p>
        </w:tc>
        <w:tc>
          <w:tcPr>
            <w:tcW w:w="1872" w:type="dxa"/>
          </w:tcPr>
          <w:p w14:paraId="0E1A4424" w14:textId="77777777" w:rsidR="00A428CB" w:rsidRDefault="00C80D20">
            <w:r>
              <w:rPr>
                <w:sz w:val="16"/>
              </w:rPr>
              <w:t>Closest prior systematic review; direct comparator and precedent for this review's scope.</w:t>
            </w:r>
          </w:p>
        </w:tc>
      </w:tr>
      <w:tr w:rsidR="00A428CB" w14:paraId="6D08A2C9" w14:textId="77777777">
        <w:tc>
          <w:tcPr>
            <w:tcW w:w="504" w:type="dxa"/>
          </w:tcPr>
          <w:p w14:paraId="5637514E" w14:textId="77777777" w:rsidR="00A428CB" w:rsidRDefault="00C80D20">
            <w:r>
              <w:rPr>
                <w:b/>
                <w:sz w:val="16"/>
              </w:rPr>
              <w:t>29</w:t>
            </w:r>
          </w:p>
        </w:tc>
        <w:tc>
          <w:tcPr>
            <w:tcW w:w="2736" w:type="dxa"/>
          </w:tcPr>
          <w:p w14:paraId="2336FBF9" w14:textId="77777777" w:rsidR="00A428CB" w:rsidRDefault="00C80D20">
            <w:r>
              <w:rPr>
                <w:sz w:val="16"/>
              </w:rPr>
              <w:t xml:space="preserve">Prathap, B.N. and Sreelakshmi, C.C. (2021) 'Microcredit and rural women empowerment: Evidence from South India', Journal of Social and Economic Development, 23(2), pp. 210–228.</w:t>
            </w:r>
          </w:p>
        </w:tc>
        <w:tc>
          <w:tcPr>
            <w:tcW w:w="1080" w:type="dxa"/>
          </w:tcPr>
          <w:p w14:paraId="0F6D42BF" w14:textId="77777777" w:rsidR="00A428CB" w:rsidRDefault="00C80D20">
            <w:r>
              <w:rPr>
                <w:sz w:val="16"/>
              </w:rPr>
              <w:t>South India</w:t>
            </w:r>
          </w:p>
        </w:tc>
        <w:tc>
          <w:tcPr>
            <w:tcW w:w="1512" w:type="dxa"/>
          </w:tcPr>
          <w:p w14:paraId="6DA65135" w14:textId="77777777" w:rsidR="00A428CB" w:rsidRDefault="00C80D20">
            <w:r>
              <w:rPr>
                <w:sz w:val="16"/>
              </w:rPr>
              <w:t>Microcredit and rural women's empowerment</w:t>
            </w:r>
          </w:p>
        </w:tc>
        <w:tc>
          <w:tcPr>
            <w:tcW w:w="1512" w:type="dxa"/>
          </w:tcPr>
          <w:p w14:paraId="20864475" w14:textId="77777777" w:rsidR="00A428CB" w:rsidRDefault="00C80D20">
            <w:r>
              <w:rPr>
                <w:sz w:val="16"/>
              </w:rPr>
              <w:t>Empowerment / economic independence perspective</w:t>
            </w:r>
          </w:p>
        </w:tc>
        <w:tc>
          <w:tcPr>
            <w:tcW w:w="1224" w:type="dxa"/>
          </w:tcPr>
          <w:p w14:paraId="59FD0D0D" w14:textId="77777777" w:rsidR="00A428CB" w:rsidRDefault="00C80D20">
            <w:r>
              <w:rPr>
                <w:sz w:val="16"/>
              </w:rPr>
              <w:t>Empirical study</w:t>
            </w:r>
          </w:p>
        </w:tc>
        <w:tc>
          <w:tcPr>
            <w:tcW w:w="2088" w:type="dxa"/>
          </w:tcPr>
          <w:p w14:paraId="5BEA8FAD" w14:textId="77777777" w:rsidR="00A428CB" w:rsidRDefault="00C80D20">
            <w:r>
              <w:rPr>
                <w:sz w:val="16"/>
              </w:rPr>
              <w:t>Under stable household conditions and clear business intent, microcredit supports economic independence, income and savings.</w:t>
            </w:r>
          </w:p>
        </w:tc>
        <w:tc>
          <w:tcPr>
            <w:tcW w:w="2088" w:type="dxa"/>
          </w:tcPr>
          <w:p w14:paraId="5096C586" w14:textId="77777777" w:rsidR="00A428CB" w:rsidRDefault="00C80D20">
            <w:r>
              <w:rPr>
                <w:sz w:val="16"/>
              </w:rPr>
              <w:t>Limited comparison across differing household vulnerability conditions within one design.</w:t>
            </w:r>
          </w:p>
        </w:tc>
        <w:tc>
          <w:tcPr>
            <w:tcW w:w="1872" w:type="dxa"/>
          </w:tcPr>
          <w:p w14:paraId="4324922D" w14:textId="77777777" w:rsidR="00A428CB" w:rsidRDefault="00C80D20">
            <w:r>
              <w:rPr>
                <w:sz w:val="16"/>
              </w:rPr>
              <w:t>Contrasting, stable-household case explaining divergence in microcredit's effects (Section 3.1).</w:t>
            </w:r>
          </w:p>
        </w:tc>
      </w:tr>
      <w:tr w:rsidR="00A428CB" w14:paraId="1905A12B" w14:textId="77777777">
        <w:tc>
          <w:tcPr>
            <w:tcW w:w="504" w:type="dxa"/>
          </w:tcPr>
          <w:p w14:paraId="7F59DC12" w14:textId="77777777" w:rsidR="00A428CB" w:rsidRDefault="00C80D20">
            <w:r>
              <w:rPr>
                <w:b/>
                <w:sz w:val="16"/>
              </w:rPr>
              <w:t>30</w:t>
            </w:r>
          </w:p>
        </w:tc>
        <w:tc>
          <w:tcPr>
            <w:tcW w:w="2736" w:type="dxa"/>
          </w:tcPr>
          <w:p w14:paraId="355CA3D6" w14:textId="77777777" w:rsidR="00A428CB" w:rsidRDefault="00C80D20">
            <w:r>
              <w:rPr>
                <w:sz w:val="16"/>
              </w:rPr>
              <w:t>Shepherd, D.A. and Williams, T.A. (2019) 'Spontaneous venture creation in the aftermath of adversity: Building resilience through entrepreneurship', Journal of Business Venturing, 34(2), pp. 290–312.</w:t>
            </w:r>
          </w:p>
        </w:tc>
        <w:tc>
          <w:tcPr>
            <w:tcW w:w="1080" w:type="dxa"/>
          </w:tcPr>
          <w:p w14:paraId="3E0627FA" w14:textId="77777777" w:rsidR="00A428CB" w:rsidRDefault="00C80D20">
            <w:r>
              <w:rPr>
                <w:sz w:val="16"/>
              </w:rPr>
              <w:t>Not country-specific (conceptual)</w:t>
            </w:r>
          </w:p>
        </w:tc>
        <w:tc>
          <w:tcPr>
            <w:tcW w:w="1512" w:type="dxa"/>
          </w:tcPr>
          <w:p w14:paraId="0D38767E" w14:textId="77777777" w:rsidR="00A428CB" w:rsidRDefault="00C80D20">
            <w:r>
              <w:rPr>
                <w:sz w:val="16"/>
              </w:rPr>
              <w:t>Entrepreneurship as a resilience response to adversity</w:t>
            </w:r>
          </w:p>
        </w:tc>
        <w:tc>
          <w:tcPr>
            <w:tcW w:w="1512" w:type="dxa"/>
          </w:tcPr>
          <w:p w14:paraId="4A267CFD" w14:textId="77777777" w:rsidR="00A428CB" w:rsidRDefault="00C80D20">
            <w:r>
              <w:rPr>
                <w:sz w:val="16"/>
              </w:rPr>
              <w:t>Resilience / entrepreneurship theory</w:t>
            </w:r>
          </w:p>
        </w:tc>
        <w:tc>
          <w:tcPr>
            <w:tcW w:w="1224" w:type="dxa"/>
          </w:tcPr>
          <w:p w14:paraId="4195DF1C" w14:textId="77777777" w:rsidR="00A428CB" w:rsidRDefault="00C80D20">
            <w:r>
              <w:rPr>
                <w:sz w:val="16"/>
              </w:rPr>
              <w:t>Conceptual paper</w:t>
            </w:r>
          </w:p>
        </w:tc>
        <w:tc>
          <w:tcPr>
            <w:tcW w:w="2088" w:type="dxa"/>
          </w:tcPr>
          <w:p w14:paraId="2D9D0FE9" w14:textId="77777777" w:rsidR="00A428CB" w:rsidRDefault="00C80D20">
            <w:r>
              <w:rPr>
                <w:sz w:val="16"/>
              </w:rPr>
              <w:t>Venture creation can emerge spontaneously after adversity, building resilience and positioning entrepreneurship as a coping mechanism.</w:t>
            </w:r>
          </w:p>
        </w:tc>
        <w:tc>
          <w:tcPr>
            <w:tcW w:w="2088" w:type="dxa"/>
          </w:tcPr>
          <w:p w14:paraId="7D783635" w14:textId="77777777" w:rsidR="00A428CB" w:rsidRDefault="00C80D20">
            <w:r>
              <w:rPr>
                <w:sz w:val="16"/>
              </w:rPr>
              <w:t>Not developed specifically for rural, developing-country microfinance contexts.</w:t>
            </w:r>
          </w:p>
        </w:tc>
        <w:tc>
          <w:tcPr>
            <w:tcW w:w="1872" w:type="dxa"/>
          </w:tcPr>
          <w:p w14:paraId="07C483EC" w14:textId="77777777" w:rsidR="00A428CB" w:rsidRDefault="00C80D20">
            <w:r>
              <w:rPr>
                <w:sz w:val="16"/>
              </w:rPr>
              <w:t>Theoretical grounding for viewing rural self-employment as a resilience response to poverty (Introduction).</w:t>
            </w:r>
          </w:p>
        </w:tc>
      </w:tr>
      <w:tr w:rsidR="00A428CB" w14:paraId="7062B030" w14:textId="77777777">
        <w:tc>
          <w:tcPr>
            <w:tcW w:w="504" w:type="dxa"/>
          </w:tcPr>
          <w:p w14:paraId="0804BD73" w14:textId="77777777" w:rsidR="00A428CB" w:rsidRDefault="00C80D20">
            <w:r>
              <w:rPr>
                <w:b/>
                <w:sz w:val="16"/>
              </w:rPr>
              <w:t>31</w:t>
            </w:r>
          </w:p>
        </w:tc>
        <w:tc>
          <w:tcPr>
            <w:tcW w:w="2736" w:type="dxa"/>
          </w:tcPr>
          <w:p w14:paraId="38E49B8D" w14:textId="77777777" w:rsidR="00A428CB" w:rsidRDefault="00C80D20">
            <w:r>
              <w:rPr>
                <w:sz w:val="16"/>
              </w:rPr>
              <w:t>Sievers, M. and Vandenberg, P. (2007) 'Synergies through linkages: Who benefits from linking finance and business development services?', Enterprise Development and Microfinance, 18(1), pp. 21–38.</w:t>
            </w:r>
          </w:p>
        </w:tc>
        <w:tc>
          <w:tcPr>
            <w:tcW w:w="1080" w:type="dxa"/>
          </w:tcPr>
          <w:p w14:paraId="35304199" w14:textId="77777777" w:rsidR="00A428CB" w:rsidRDefault="00C80D20">
            <w:r>
              <w:rPr>
                <w:sz w:val="16"/>
              </w:rPr>
              <w:t>Developing countries</w:t>
            </w:r>
          </w:p>
        </w:tc>
        <w:tc>
          <w:tcPr>
            <w:tcW w:w="1512" w:type="dxa"/>
          </w:tcPr>
          <w:p w14:paraId="1751481A" w14:textId="77777777" w:rsidR="00A428CB" w:rsidRDefault="00C80D20">
            <w:r>
              <w:rPr>
                <w:sz w:val="16"/>
              </w:rPr>
              <w:t>Linking finance and BDS</w:t>
            </w:r>
          </w:p>
        </w:tc>
        <w:tc>
          <w:tcPr>
            <w:tcW w:w="1512" w:type="dxa"/>
          </w:tcPr>
          <w:p w14:paraId="2447C5CB" w14:textId="77777777" w:rsidR="00A428CB" w:rsidRDefault="00C80D20">
            <w:r>
              <w:rPr>
                <w:sz w:val="16"/>
              </w:rPr>
              <w:t>Institutional/service-delivery perspective</w:t>
            </w:r>
          </w:p>
        </w:tc>
        <w:tc>
          <w:tcPr>
            <w:tcW w:w="1224" w:type="dxa"/>
          </w:tcPr>
          <w:p w14:paraId="707BC6FF" w14:textId="77777777" w:rsidR="00A428CB" w:rsidRDefault="00C80D20">
            <w:r>
              <w:rPr>
                <w:sz w:val="16"/>
              </w:rPr>
              <w:t>Conceptual/case-based analysis</w:t>
            </w:r>
          </w:p>
        </w:tc>
        <w:tc>
          <w:tcPr>
            <w:tcW w:w="2088" w:type="dxa"/>
          </w:tcPr>
          <w:p w14:paraId="578E2510" w14:textId="77777777" w:rsidR="00A428CB" w:rsidRDefault="00C80D20">
            <w:r>
              <w:rPr>
                <w:sz w:val="16"/>
              </w:rPr>
              <w:t>Linking finance and BDS creates synergies but delivering both together burdens providers; separate delivery fragments services.</w:t>
            </w:r>
          </w:p>
        </w:tc>
        <w:tc>
          <w:tcPr>
            <w:tcW w:w="2088" w:type="dxa"/>
          </w:tcPr>
          <w:p w14:paraId="0330BD8B" w14:textId="77777777" w:rsidR="00A428CB" w:rsidRDefault="00C80D20">
            <w:r>
              <w:rPr>
                <w:sz w:val="16"/>
              </w:rPr>
              <w:t>Limited practical guidance on integrating delivery without overburdening providers.</w:t>
            </w:r>
          </w:p>
        </w:tc>
        <w:tc>
          <w:tcPr>
            <w:tcW w:w="1872" w:type="dxa"/>
          </w:tcPr>
          <w:p w14:paraId="7FE43218" w14:textId="77777777" w:rsidR="00A428CB" w:rsidRDefault="00C80D20">
            <w:r>
              <w:rPr>
                <w:sz w:val="16"/>
              </w:rPr>
              <w:t>Foundational source for the discussion of practical integration difficulties (Section 3.3).</w:t>
            </w:r>
          </w:p>
        </w:tc>
      </w:tr>
      <w:tr w:rsidR="00A428CB" w14:paraId="44208C46" w14:textId="77777777">
        <w:tc>
          <w:tcPr>
            <w:tcW w:w="504" w:type="dxa"/>
          </w:tcPr>
          <w:p w14:paraId="150E20BE" w14:textId="77777777" w:rsidR="00A428CB" w:rsidRDefault="00C80D20">
            <w:r>
              <w:rPr>
                <w:b/>
                <w:sz w:val="16"/>
              </w:rPr>
              <w:t>32</w:t>
            </w:r>
          </w:p>
        </w:tc>
        <w:tc>
          <w:tcPr>
            <w:tcW w:w="2736" w:type="dxa"/>
          </w:tcPr>
          <w:p w14:paraId="5A0AE3E0" w14:textId="77777777" w:rsidR="00A428CB" w:rsidRDefault="00C80D20">
            <w:r>
              <w:rPr>
                <w:sz w:val="16"/>
              </w:rPr>
              <w:t>Tulika, T. and Ram, P. (2025) 'Integrated microfinance-plus interventions for rural business survival: An empirical assessment', Journal of Developmental Entrepreneurship, 30(1), p. 125004.</w:t>
            </w:r>
          </w:p>
        </w:tc>
        <w:tc>
          <w:tcPr>
            <w:tcW w:w="1080" w:type="dxa"/>
          </w:tcPr>
          <w:p w14:paraId="6ED4F3D2" w14:textId="77777777" w:rsidR="00A428CB" w:rsidRDefault="00C80D20">
            <w:r>
              <w:rPr>
                <w:sz w:val="16"/>
              </w:rPr>
              <w:t>Rural developing-country context (not further specified)</w:t>
            </w:r>
          </w:p>
        </w:tc>
        <w:tc>
          <w:tcPr>
            <w:tcW w:w="1512" w:type="dxa"/>
          </w:tcPr>
          <w:p w14:paraId="7A9AAB42" w14:textId="77777777" w:rsidR="00A428CB" w:rsidRDefault="00C80D20">
            <w:r>
              <w:rPr>
                <w:sz w:val="16"/>
              </w:rPr>
              <w:t>Integrated microfinance-plus interventions</w:t>
            </w:r>
          </w:p>
        </w:tc>
        <w:tc>
          <w:tcPr>
            <w:tcW w:w="1512" w:type="dxa"/>
          </w:tcPr>
          <w:p w14:paraId="1AA8F971" w14:textId="77777777" w:rsidR="00A428CB" w:rsidRDefault="00C80D20">
            <w:r>
              <w:rPr>
                <w:sz w:val="16"/>
              </w:rPr>
              <w:t>Integrated microfinance-plus perspective</w:t>
            </w:r>
          </w:p>
        </w:tc>
        <w:tc>
          <w:tcPr>
            <w:tcW w:w="1224" w:type="dxa"/>
          </w:tcPr>
          <w:p w14:paraId="5F761E45" w14:textId="77777777" w:rsidR="00A428CB" w:rsidRDefault="00C80D20">
            <w:r>
              <w:rPr>
                <w:sz w:val="16"/>
              </w:rPr>
              <w:t>Empirical assessment</w:t>
            </w:r>
          </w:p>
        </w:tc>
        <w:tc>
          <w:tcPr>
            <w:tcW w:w="2088" w:type="dxa"/>
          </w:tcPr>
          <w:p w14:paraId="51741C13" w14:textId="77777777" w:rsidR="00A428CB" w:rsidRDefault="00C80D20">
            <w:r>
              <w:rPr>
                <w:sz w:val="16"/>
              </w:rPr>
              <w:t>Integrated microfinance-plus interventions are associated with improved rural business survival compared with credit alone.</w:t>
            </w:r>
          </w:p>
        </w:tc>
        <w:tc>
          <w:tcPr>
            <w:tcW w:w="2088" w:type="dxa"/>
          </w:tcPr>
          <w:p w14:paraId="6E65EB07" w14:textId="77777777" w:rsidR="00A428CB" w:rsidRDefault="00C80D20">
            <w:r>
              <w:rPr>
                <w:sz w:val="16"/>
              </w:rPr>
              <w:t>One of only a small number of recent studies taking this integrated approach.</w:t>
            </w:r>
          </w:p>
        </w:tc>
        <w:tc>
          <w:tcPr>
            <w:tcW w:w="1872" w:type="dxa"/>
          </w:tcPr>
          <w:p w14:paraId="56F65B7C" w14:textId="77777777" w:rsidR="00A428CB" w:rsidRDefault="00C80D20">
            <w:r>
              <w:rPr>
                <w:sz w:val="16"/>
              </w:rPr>
              <w:t xml:space="preserve">One of the two most recent 'microfinance-plus' studies establishing this study's core gap.</w:t>
            </w:r>
          </w:p>
        </w:tc>
      </w:tr>
      <w:tr w:rsidR="00A428CB" w14:paraId="58266A07" w14:textId="77777777">
        <w:tc>
          <w:tcPr>
            <w:tcW w:w="504" w:type="dxa"/>
          </w:tcPr>
          <w:p w14:paraId="2FB2264F" w14:textId="77777777" w:rsidR="00A428CB" w:rsidRDefault="00C80D20">
            <w:r>
              <w:rPr>
                <w:b/>
                <w:sz w:val="16"/>
              </w:rPr>
              <w:t>33</w:t>
            </w:r>
          </w:p>
        </w:tc>
        <w:tc>
          <w:tcPr>
            <w:tcW w:w="2736" w:type="dxa"/>
          </w:tcPr>
          <w:p w14:paraId="6074661C" w14:textId="77777777" w:rsidR="00A428CB" w:rsidRDefault="00C80D20">
            <w:r>
              <w:rPr>
                <w:sz w:val="16"/>
              </w:rPr>
              <w:t>Wickramasinghe, V. and Fernando, D. (2017) 'Use of microcredit for household income and consumption smoothing by low-income communities', International Journal of Consumer Studies, 41(6), pp. 647–658.</w:t>
            </w:r>
          </w:p>
        </w:tc>
        <w:tc>
          <w:tcPr>
            <w:tcW w:w="1080" w:type="dxa"/>
          </w:tcPr>
          <w:p w14:paraId="6C7E2FF6" w14:textId="77777777" w:rsidR="00A428CB" w:rsidRDefault="00C80D20">
            <w:r>
              <w:rPr>
                <w:sz w:val="16"/>
              </w:rPr>
              <w:t>Low-income communities (Sri Lanka context)</w:t>
            </w:r>
          </w:p>
        </w:tc>
        <w:tc>
          <w:tcPr>
            <w:tcW w:w="1512" w:type="dxa"/>
          </w:tcPr>
          <w:p w14:paraId="4002F0DF" w14:textId="77777777" w:rsidR="00A428CB" w:rsidRDefault="00C80D20">
            <w:r>
              <w:rPr>
                <w:sz w:val="16"/>
              </w:rPr>
              <w:t>Microcredit use for consumption smoothing</w:t>
            </w:r>
          </w:p>
        </w:tc>
        <w:tc>
          <w:tcPr>
            <w:tcW w:w="1512" w:type="dxa"/>
          </w:tcPr>
          <w:p w14:paraId="4BDF6245" w14:textId="77777777" w:rsidR="00A428CB" w:rsidRDefault="00C80D20">
            <w:r>
              <w:rPr>
                <w:sz w:val="16"/>
              </w:rPr>
              <w:t>Household risk-management / livelihoods perspective</w:t>
            </w:r>
          </w:p>
        </w:tc>
        <w:tc>
          <w:tcPr>
            <w:tcW w:w="1224" w:type="dxa"/>
          </w:tcPr>
          <w:p w14:paraId="53C9C0F0" w14:textId="77777777" w:rsidR="00A428CB" w:rsidRDefault="00C80D20">
            <w:r>
              <w:rPr>
                <w:sz w:val="16"/>
              </w:rPr>
              <w:t>Empirical survey-based study</w:t>
            </w:r>
          </w:p>
        </w:tc>
        <w:tc>
          <w:tcPr>
            <w:tcW w:w="2088" w:type="dxa"/>
          </w:tcPr>
          <w:p w14:paraId="7DFBA926" w14:textId="77777777" w:rsidR="00A428CB" w:rsidRDefault="00C80D20">
            <w:r>
              <w:rPr>
                <w:sz w:val="16"/>
              </w:rPr>
              <w:t>Some low-income borrowers use microcredit to manage household risk and smooth consumption rather than invest in business.</w:t>
            </w:r>
          </w:p>
        </w:tc>
        <w:tc>
          <w:tcPr>
            <w:tcW w:w="2088" w:type="dxa"/>
          </w:tcPr>
          <w:p w14:paraId="3A952193" w14:textId="77777777" w:rsidR="00A428CB" w:rsidRDefault="00C80D20">
            <w:r>
              <w:rPr>
                <w:sz w:val="16"/>
              </w:rPr>
              <w:t>Limited evidence on whether pairing credit with BDS could redirect loans toward productive investment.</w:t>
            </w:r>
          </w:p>
        </w:tc>
        <w:tc>
          <w:tcPr>
            <w:tcW w:w="1872" w:type="dxa"/>
          </w:tcPr>
          <w:p w14:paraId="0635C72B" w14:textId="77777777" w:rsidR="00A428CB" w:rsidRDefault="00C80D20">
            <w:r>
              <w:rPr>
                <w:sz w:val="16"/>
              </w:rPr>
              <w:t>Central evidence that loan diversion reflects household vulnerability, not a flaw in microcredit itself.</w:t>
            </w:r>
          </w:p>
        </w:tc>
      </w:tr>
      <w:tr w:rsidR="00A428CB" w14:paraId="0767D699" w14:textId="77777777">
        <w:tc>
          <w:tcPr>
            <w:tcW w:w="504" w:type="dxa"/>
          </w:tcPr>
          <w:p w14:paraId="54BE6B3A" w14:textId="77777777" w:rsidR="00A428CB" w:rsidRDefault="00C80D20">
            <w:r>
              <w:rPr>
                <w:b/>
                <w:sz w:val="16"/>
              </w:rPr>
              <w:lastRenderedPageBreak/>
              <w:t>34</w:t>
            </w:r>
          </w:p>
        </w:tc>
        <w:tc>
          <w:tcPr>
            <w:tcW w:w="2736" w:type="dxa"/>
          </w:tcPr>
          <w:p w14:paraId="2824845C" w14:textId="77777777" w:rsidR="00A428CB" w:rsidRDefault="00C80D20">
            <w:r>
              <w:rPr>
                <w:sz w:val="16"/>
              </w:rPr>
              <w:t>Yin, Z., Zhang, L. and Xu, Y. (2023) 'Government subsidies, microcredit, and firm performance in rural markets', World Development, 162, p. 106120.</w:t>
            </w:r>
          </w:p>
        </w:tc>
        <w:tc>
          <w:tcPr>
            <w:tcW w:w="1080" w:type="dxa"/>
          </w:tcPr>
          <w:p w14:paraId="1BF693AB" w14:textId="77777777" w:rsidR="00A428CB" w:rsidRDefault="00C80D20">
            <w:r>
              <w:rPr>
                <w:sz w:val="16"/>
              </w:rPr>
              <w:t>Rural China</w:t>
            </w:r>
          </w:p>
        </w:tc>
        <w:tc>
          <w:tcPr>
            <w:tcW w:w="1512" w:type="dxa"/>
          </w:tcPr>
          <w:p w14:paraId="5D8BBD38" w14:textId="77777777" w:rsidR="00A428CB" w:rsidRDefault="00C80D20">
            <w:r>
              <w:rPr>
                <w:sz w:val="16"/>
              </w:rPr>
              <w:t>Government subsidies, microcredit and firm performance</w:t>
            </w:r>
          </w:p>
        </w:tc>
        <w:tc>
          <w:tcPr>
            <w:tcW w:w="1512" w:type="dxa"/>
          </w:tcPr>
          <w:p w14:paraId="54E6ECBA" w14:textId="77777777" w:rsidR="00A428CB" w:rsidRDefault="00C80D20">
            <w:r>
              <w:rPr>
                <w:sz w:val="16"/>
              </w:rPr>
              <w:t>Institutional / government-support perspective</w:t>
            </w:r>
          </w:p>
        </w:tc>
        <w:tc>
          <w:tcPr>
            <w:tcW w:w="1224" w:type="dxa"/>
          </w:tcPr>
          <w:p w14:paraId="3A147E2D" w14:textId="77777777" w:rsidR="00A428CB" w:rsidRDefault="00C80D20">
            <w:r>
              <w:rPr>
                <w:sz w:val="16"/>
              </w:rPr>
              <w:t>Quantitative study</w:t>
            </w:r>
          </w:p>
        </w:tc>
        <w:tc>
          <w:tcPr>
            <w:tcW w:w="2088" w:type="dxa"/>
          </w:tcPr>
          <w:p w14:paraId="3F395FB0" w14:textId="77777777" w:rsidR="00A428CB" w:rsidRDefault="00C80D20">
            <w:r>
              <w:rPr>
                <w:sz w:val="16"/>
              </w:rPr>
              <w:t>Microcredit can create jobs and improve business performance when loans are supported by government subsidies.</w:t>
            </w:r>
          </w:p>
        </w:tc>
        <w:tc>
          <w:tcPr>
            <w:tcW w:w="2088" w:type="dxa"/>
          </w:tcPr>
          <w:p w14:paraId="1718A687" w14:textId="77777777" w:rsidR="00A428CB" w:rsidRDefault="00C80D20">
            <w:r>
              <w:rPr>
                <w:sz w:val="16"/>
              </w:rPr>
              <w:t>Positive effects appear contingent on subsidy support; standalone effect unclear.</w:t>
            </w:r>
          </w:p>
        </w:tc>
        <w:tc>
          <w:tcPr>
            <w:tcW w:w="1872" w:type="dxa"/>
          </w:tcPr>
          <w:p w14:paraId="27B93660" w14:textId="77777777" w:rsidR="00A428CB" w:rsidRDefault="00C80D20">
            <w:r>
              <w:rPr>
                <w:sz w:val="16"/>
              </w:rPr>
              <w:t>Evidence for the more favourable side of the poverty/debt-trap debate, contextualised by institutional support (Section 3.2).</w:t>
            </w:r>
          </w:p>
        </w:tc>
      </w:tr>
    </w:tbl>
    <w:p w14:paraId="35A05744" w14:textId="77777777" w:rsidR="00C80D20" w:rsidRDefault="00C80D20"/>
    <w:sectPr w:rsidR="00C80D20">
      <w:pgSz w:w="16838" w:h="11906" w:orient="landscape"/>
      <w:pgMar w:top="720" w:right="576" w:bottom="720" w:left="576"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A47B34" w14:textId="77777777" w:rsidR="00BE33A8" w:rsidRDefault="00BE33A8">
      <w:r>
        <w:separator/>
      </w:r>
    </w:p>
  </w:endnote>
  <w:endnote w:type="continuationSeparator" w:id="0">
    <w:p w14:paraId="31C8F78D" w14:textId="77777777" w:rsidR="00BE33A8" w:rsidRDefault="00BE33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54397F" w14:textId="77777777" w:rsidR="00DD6F8B" w:rsidRDefault="00BE33A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17DE59" w14:textId="77777777" w:rsidR="00DD6F8B" w:rsidRDefault="00BE33A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73C98F" w14:textId="77777777" w:rsidR="00DD6F8B" w:rsidRDefault="00BE33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C6E3FD" w14:textId="77777777" w:rsidR="00BE33A8" w:rsidRDefault="00BE33A8">
      <w:r>
        <w:separator/>
      </w:r>
    </w:p>
  </w:footnote>
  <w:footnote w:type="continuationSeparator" w:id="0">
    <w:p w14:paraId="4DF6725D" w14:textId="77777777" w:rsidR="00BE33A8" w:rsidRDefault="00BE33A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D67111" w14:textId="77777777" w:rsidR="00DD6F8B" w:rsidRDefault="00BE33A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56A302" w14:textId="77777777" w:rsidR="00DD6F8B" w:rsidRDefault="00BE33A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DF3B42" w14:textId="77777777" w:rsidR="00DD6F8B" w:rsidRDefault="00BE33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0A2C2D"/>
    <w:multiLevelType w:val="hybridMultilevel"/>
    <w:tmpl w:val="BB505B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94059C"/>
    <w:multiLevelType w:val="hybridMultilevel"/>
    <w:tmpl w:val="7F963EA6"/>
    <w:lvl w:ilvl="0" w:tplc="0809000F">
      <w:start w:val="1"/>
      <w:numFmt w:val="decimal"/>
      <w:lvlText w:val="%1."/>
      <w:lvlJc w:val="left"/>
      <w:pPr>
        <w:ind w:left="770" w:hanging="360"/>
      </w:pPr>
    </w:lvl>
    <w:lvl w:ilvl="1" w:tplc="08090019">
      <w:start w:val="1"/>
      <w:numFmt w:val="lowerLetter"/>
      <w:lvlText w:val="%2."/>
      <w:lvlJc w:val="left"/>
      <w:pPr>
        <w:ind w:left="1490" w:hanging="360"/>
      </w:pPr>
    </w:lvl>
    <w:lvl w:ilvl="2" w:tplc="0809001B">
      <w:start w:val="1"/>
      <w:numFmt w:val="lowerRoman"/>
      <w:lvlText w:val="%3."/>
      <w:lvlJc w:val="right"/>
      <w:pPr>
        <w:ind w:left="2210" w:hanging="180"/>
      </w:pPr>
    </w:lvl>
    <w:lvl w:ilvl="3" w:tplc="0809000F">
      <w:start w:val="1"/>
      <w:numFmt w:val="decimal"/>
      <w:lvlText w:val="%4."/>
      <w:lvlJc w:val="left"/>
      <w:pPr>
        <w:ind w:left="2930" w:hanging="360"/>
      </w:pPr>
    </w:lvl>
    <w:lvl w:ilvl="4" w:tplc="08090019">
      <w:start w:val="1"/>
      <w:numFmt w:val="lowerLetter"/>
      <w:lvlText w:val="%5."/>
      <w:lvlJc w:val="left"/>
      <w:pPr>
        <w:ind w:left="3650" w:hanging="360"/>
      </w:pPr>
    </w:lvl>
    <w:lvl w:ilvl="5" w:tplc="0809001B">
      <w:start w:val="1"/>
      <w:numFmt w:val="lowerRoman"/>
      <w:lvlText w:val="%6."/>
      <w:lvlJc w:val="right"/>
      <w:pPr>
        <w:ind w:left="4370" w:hanging="180"/>
      </w:pPr>
    </w:lvl>
    <w:lvl w:ilvl="6" w:tplc="0809000F">
      <w:start w:val="1"/>
      <w:numFmt w:val="decimal"/>
      <w:lvlText w:val="%7."/>
      <w:lvlJc w:val="left"/>
      <w:pPr>
        <w:ind w:left="5090" w:hanging="360"/>
      </w:pPr>
    </w:lvl>
    <w:lvl w:ilvl="7" w:tplc="08090019">
      <w:start w:val="1"/>
      <w:numFmt w:val="lowerLetter"/>
      <w:lvlText w:val="%8."/>
      <w:lvlJc w:val="left"/>
      <w:pPr>
        <w:ind w:left="5810" w:hanging="360"/>
      </w:pPr>
    </w:lvl>
    <w:lvl w:ilvl="8" w:tplc="0809001B">
      <w:start w:val="1"/>
      <w:numFmt w:val="lowerRoman"/>
      <w:lvlText w:val="%9."/>
      <w:lvlJc w:val="right"/>
      <w:pPr>
        <w:ind w:left="6530" w:hanging="180"/>
      </w:pPr>
    </w:lvl>
  </w:abstractNum>
  <w:abstractNum w:abstractNumId="2" w15:restartNumberingAfterBreak="0">
    <w:nsid w:val="1B536C9F"/>
    <w:multiLevelType w:val="multilevel"/>
    <w:tmpl w:val="9E56B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510A46"/>
    <w:multiLevelType w:val="hybridMultilevel"/>
    <w:tmpl w:val="ADF8B69A"/>
    <w:lvl w:ilvl="0" w:tplc="08090001">
      <w:start w:val="1"/>
      <w:numFmt w:val="bullet"/>
      <w:lvlText w:val=""/>
      <w:lvlJc w:val="left"/>
      <w:pPr>
        <w:ind w:left="770" w:hanging="360"/>
      </w:pPr>
      <w:rPr>
        <w:rFonts w:ascii="Symbol" w:hAnsi="Symbol" w:hint="default"/>
      </w:rPr>
    </w:lvl>
    <w:lvl w:ilvl="1" w:tplc="08090003">
      <w:start w:val="1"/>
      <w:numFmt w:val="bullet"/>
      <w:lvlText w:val="o"/>
      <w:lvlJc w:val="left"/>
      <w:pPr>
        <w:ind w:left="1490" w:hanging="360"/>
      </w:pPr>
      <w:rPr>
        <w:rFonts w:ascii="Courier New" w:hAnsi="Courier New" w:cs="Courier New" w:hint="default"/>
      </w:rPr>
    </w:lvl>
    <w:lvl w:ilvl="2" w:tplc="08090005">
      <w:start w:val="1"/>
      <w:numFmt w:val="bullet"/>
      <w:lvlText w:val=""/>
      <w:lvlJc w:val="left"/>
      <w:pPr>
        <w:ind w:left="2210" w:hanging="360"/>
      </w:pPr>
      <w:rPr>
        <w:rFonts w:ascii="Wingdings" w:hAnsi="Wingdings" w:hint="default"/>
      </w:rPr>
    </w:lvl>
    <w:lvl w:ilvl="3" w:tplc="08090001">
      <w:start w:val="1"/>
      <w:numFmt w:val="bullet"/>
      <w:lvlText w:val=""/>
      <w:lvlJc w:val="left"/>
      <w:pPr>
        <w:ind w:left="2930" w:hanging="360"/>
      </w:pPr>
      <w:rPr>
        <w:rFonts w:ascii="Symbol" w:hAnsi="Symbol" w:hint="default"/>
      </w:rPr>
    </w:lvl>
    <w:lvl w:ilvl="4" w:tplc="08090003">
      <w:start w:val="1"/>
      <w:numFmt w:val="bullet"/>
      <w:lvlText w:val="o"/>
      <w:lvlJc w:val="left"/>
      <w:pPr>
        <w:ind w:left="3650" w:hanging="360"/>
      </w:pPr>
      <w:rPr>
        <w:rFonts w:ascii="Courier New" w:hAnsi="Courier New" w:cs="Courier New" w:hint="default"/>
      </w:rPr>
    </w:lvl>
    <w:lvl w:ilvl="5" w:tplc="08090005">
      <w:start w:val="1"/>
      <w:numFmt w:val="bullet"/>
      <w:lvlText w:val=""/>
      <w:lvlJc w:val="left"/>
      <w:pPr>
        <w:ind w:left="4370" w:hanging="360"/>
      </w:pPr>
      <w:rPr>
        <w:rFonts w:ascii="Wingdings" w:hAnsi="Wingdings" w:hint="default"/>
      </w:rPr>
    </w:lvl>
    <w:lvl w:ilvl="6" w:tplc="08090001">
      <w:start w:val="1"/>
      <w:numFmt w:val="bullet"/>
      <w:lvlText w:val=""/>
      <w:lvlJc w:val="left"/>
      <w:pPr>
        <w:ind w:left="5090" w:hanging="360"/>
      </w:pPr>
      <w:rPr>
        <w:rFonts w:ascii="Symbol" w:hAnsi="Symbol" w:hint="default"/>
      </w:rPr>
    </w:lvl>
    <w:lvl w:ilvl="7" w:tplc="08090003">
      <w:start w:val="1"/>
      <w:numFmt w:val="bullet"/>
      <w:lvlText w:val="o"/>
      <w:lvlJc w:val="left"/>
      <w:pPr>
        <w:ind w:left="5810" w:hanging="360"/>
      </w:pPr>
      <w:rPr>
        <w:rFonts w:ascii="Courier New" w:hAnsi="Courier New" w:cs="Courier New" w:hint="default"/>
      </w:rPr>
    </w:lvl>
    <w:lvl w:ilvl="8" w:tplc="08090005">
      <w:start w:val="1"/>
      <w:numFmt w:val="bullet"/>
      <w:lvlText w:val=""/>
      <w:lvlJc w:val="left"/>
      <w:pPr>
        <w:ind w:left="6530" w:hanging="360"/>
      </w:pPr>
      <w:rPr>
        <w:rFonts w:ascii="Wingdings" w:hAnsi="Wingdings" w:hint="default"/>
      </w:rPr>
    </w:lvl>
  </w:abstractNum>
  <w:abstractNum w:abstractNumId="4" w15:restartNumberingAfterBreak="0">
    <w:nsid w:val="36B04A32"/>
    <w:multiLevelType w:val="hybridMultilevel"/>
    <w:tmpl w:val="4016EF9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390C3746"/>
    <w:multiLevelType w:val="hybridMultilevel"/>
    <w:tmpl w:val="86944EA2"/>
    <w:lvl w:ilvl="0" w:tplc="F2B84160">
      <w:start w:val="1"/>
      <w:numFmt w:val="bullet"/>
      <w:lvlText w:val="●"/>
      <w:lvlJc w:val="left"/>
      <w:pPr>
        <w:ind w:left="720" w:hanging="360"/>
      </w:pPr>
    </w:lvl>
    <w:lvl w:ilvl="1" w:tplc="7A021EA2">
      <w:start w:val="1"/>
      <w:numFmt w:val="bullet"/>
      <w:lvlText w:val="○"/>
      <w:lvlJc w:val="left"/>
      <w:pPr>
        <w:ind w:left="1440" w:hanging="360"/>
      </w:pPr>
    </w:lvl>
    <w:lvl w:ilvl="2" w:tplc="AE8A6B88">
      <w:start w:val="1"/>
      <w:numFmt w:val="bullet"/>
      <w:lvlText w:val="■"/>
      <w:lvlJc w:val="left"/>
      <w:pPr>
        <w:ind w:left="2160" w:hanging="360"/>
      </w:pPr>
    </w:lvl>
    <w:lvl w:ilvl="3" w:tplc="9F1C9428">
      <w:start w:val="1"/>
      <w:numFmt w:val="bullet"/>
      <w:lvlText w:val="●"/>
      <w:lvlJc w:val="left"/>
      <w:pPr>
        <w:ind w:left="2880" w:hanging="360"/>
      </w:pPr>
    </w:lvl>
    <w:lvl w:ilvl="4" w:tplc="329C0962">
      <w:start w:val="1"/>
      <w:numFmt w:val="bullet"/>
      <w:lvlText w:val="○"/>
      <w:lvlJc w:val="left"/>
      <w:pPr>
        <w:ind w:left="3600" w:hanging="360"/>
      </w:pPr>
    </w:lvl>
    <w:lvl w:ilvl="5" w:tplc="5A200206">
      <w:start w:val="1"/>
      <w:numFmt w:val="bullet"/>
      <w:lvlText w:val="■"/>
      <w:lvlJc w:val="left"/>
      <w:pPr>
        <w:ind w:left="4320" w:hanging="360"/>
      </w:pPr>
    </w:lvl>
    <w:lvl w:ilvl="6" w:tplc="DAE05642">
      <w:start w:val="1"/>
      <w:numFmt w:val="bullet"/>
      <w:lvlText w:val="●"/>
      <w:lvlJc w:val="left"/>
      <w:pPr>
        <w:ind w:left="5040" w:hanging="360"/>
      </w:pPr>
    </w:lvl>
    <w:lvl w:ilvl="7" w:tplc="760668AA">
      <w:start w:val="1"/>
      <w:numFmt w:val="bullet"/>
      <w:lvlText w:val="●"/>
      <w:lvlJc w:val="left"/>
      <w:pPr>
        <w:ind w:left="5760" w:hanging="360"/>
      </w:pPr>
    </w:lvl>
    <w:lvl w:ilvl="8" w:tplc="A8EE25A4">
      <w:start w:val="1"/>
      <w:numFmt w:val="bullet"/>
      <w:lvlText w:val="●"/>
      <w:lvlJc w:val="left"/>
      <w:pPr>
        <w:ind w:left="6480" w:hanging="360"/>
      </w:pPr>
    </w:lvl>
  </w:abstractNum>
  <w:abstractNum w:abstractNumId="6" w15:restartNumberingAfterBreak="0">
    <w:nsid w:val="3F8C14E1"/>
    <w:multiLevelType w:val="hybridMultilevel"/>
    <w:tmpl w:val="523AE3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6E25CCF"/>
    <w:multiLevelType w:val="hybridMultilevel"/>
    <w:tmpl w:val="5A74ACC4"/>
    <w:lvl w:ilvl="0" w:tplc="57CEFCA4">
      <w:start w:val="1"/>
      <w:numFmt w:val="bullet"/>
      <w:lvlText w:val="•"/>
      <w:lvlJc w:val="left"/>
      <w:pPr>
        <w:ind w:left="504" w:hanging="288"/>
      </w:pPr>
    </w:lvl>
    <w:lvl w:ilvl="1" w:tplc="D2C43D6E">
      <w:numFmt w:val="decimal"/>
      <w:lvlText w:val=""/>
      <w:lvlJc w:val="left"/>
    </w:lvl>
    <w:lvl w:ilvl="2" w:tplc="FE4E7B56">
      <w:numFmt w:val="decimal"/>
      <w:lvlText w:val=""/>
      <w:lvlJc w:val="left"/>
    </w:lvl>
    <w:lvl w:ilvl="3" w:tplc="EE8C279C">
      <w:numFmt w:val="decimal"/>
      <w:lvlText w:val=""/>
      <w:lvlJc w:val="left"/>
    </w:lvl>
    <w:lvl w:ilvl="4" w:tplc="031ED010">
      <w:numFmt w:val="decimal"/>
      <w:lvlText w:val=""/>
      <w:lvlJc w:val="left"/>
    </w:lvl>
    <w:lvl w:ilvl="5" w:tplc="8F60FDBA">
      <w:numFmt w:val="decimal"/>
      <w:lvlText w:val=""/>
      <w:lvlJc w:val="left"/>
    </w:lvl>
    <w:lvl w:ilvl="6" w:tplc="5AE80FD2">
      <w:numFmt w:val="decimal"/>
      <w:lvlText w:val=""/>
      <w:lvlJc w:val="left"/>
    </w:lvl>
    <w:lvl w:ilvl="7" w:tplc="2CEA8704">
      <w:numFmt w:val="decimal"/>
      <w:lvlText w:val=""/>
      <w:lvlJc w:val="left"/>
    </w:lvl>
    <w:lvl w:ilvl="8" w:tplc="1D14E5E0">
      <w:numFmt w:val="decimal"/>
      <w:lvlText w:val=""/>
      <w:lvlJc w:val="left"/>
    </w:lvl>
  </w:abstractNum>
  <w:abstractNum w:abstractNumId="8" w15:restartNumberingAfterBreak="0">
    <w:nsid w:val="5D75133D"/>
    <w:multiLevelType w:val="hybridMultilevel"/>
    <w:tmpl w:val="C79C5842"/>
    <w:lvl w:ilvl="0" w:tplc="08090001">
      <w:start w:val="1"/>
      <w:numFmt w:val="bullet"/>
      <w:lvlText w:val=""/>
      <w:lvlJc w:val="left"/>
      <w:pPr>
        <w:ind w:left="770" w:hanging="360"/>
      </w:pPr>
      <w:rPr>
        <w:rFonts w:ascii="Symbol" w:hAnsi="Symbol" w:hint="default"/>
      </w:rPr>
    </w:lvl>
    <w:lvl w:ilvl="1" w:tplc="08090003">
      <w:start w:val="1"/>
      <w:numFmt w:val="bullet"/>
      <w:lvlText w:val="o"/>
      <w:lvlJc w:val="left"/>
      <w:pPr>
        <w:ind w:left="1490" w:hanging="360"/>
      </w:pPr>
      <w:rPr>
        <w:rFonts w:ascii="Courier New" w:hAnsi="Courier New" w:cs="Courier New" w:hint="default"/>
      </w:rPr>
    </w:lvl>
    <w:lvl w:ilvl="2" w:tplc="08090005">
      <w:start w:val="1"/>
      <w:numFmt w:val="bullet"/>
      <w:lvlText w:val=""/>
      <w:lvlJc w:val="left"/>
      <w:pPr>
        <w:ind w:left="2210" w:hanging="360"/>
      </w:pPr>
      <w:rPr>
        <w:rFonts w:ascii="Wingdings" w:hAnsi="Wingdings" w:hint="default"/>
      </w:rPr>
    </w:lvl>
    <w:lvl w:ilvl="3" w:tplc="08090001">
      <w:start w:val="1"/>
      <w:numFmt w:val="bullet"/>
      <w:lvlText w:val=""/>
      <w:lvlJc w:val="left"/>
      <w:pPr>
        <w:ind w:left="2930" w:hanging="360"/>
      </w:pPr>
      <w:rPr>
        <w:rFonts w:ascii="Symbol" w:hAnsi="Symbol" w:hint="default"/>
      </w:rPr>
    </w:lvl>
    <w:lvl w:ilvl="4" w:tplc="08090003">
      <w:start w:val="1"/>
      <w:numFmt w:val="bullet"/>
      <w:lvlText w:val="o"/>
      <w:lvlJc w:val="left"/>
      <w:pPr>
        <w:ind w:left="3650" w:hanging="360"/>
      </w:pPr>
      <w:rPr>
        <w:rFonts w:ascii="Courier New" w:hAnsi="Courier New" w:cs="Courier New" w:hint="default"/>
      </w:rPr>
    </w:lvl>
    <w:lvl w:ilvl="5" w:tplc="08090005">
      <w:start w:val="1"/>
      <w:numFmt w:val="bullet"/>
      <w:lvlText w:val=""/>
      <w:lvlJc w:val="left"/>
      <w:pPr>
        <w:ind w:left="4370" w:hanging="360"/>
      </w:pPr>
      <w:rPr>
        <w:rFonts w:ascii="Wingdings" w:hAnsi="Wingdings" w:hint="default"/>
      </w:rPr>
    </w:lvl>
    <w:lvl w:ilvl="6" w:tplc="08090001">
      <w:start w:val="1"/>
      <w:numFmt w:val="bullet"/>
      <w:lvlText w:val=""/>
      <w:lvlJc w:val="left"/>
      <w:pPr>
        <w:ind w:left="5090" w:hanging="360"/>
      </w:pPr>
      <w:rPr>
        <w:rFonts w:ascii="Symbol" w:hAnsi="Symbol" w:hint="default"/>
      </w:rPr>
    </w:lvl>
    <w:lvl w:ilvl="7" w:tplc="08090003">
      <w:start w:val="1"/>
      <w:numFmt w:val="bullet"/>
      <w:lvlText w:val="o"/>
      <w:lvlJc w:val="left"/>
      <w:pPr>
        <w:ind w:left="5810" w:hanging="360"/>
      </w:pPr>
      <w:rPr>
        <w:rFonts w:ascii="Courier New" w:hAnsi="Courier New" w:cs="Courier New" w:hint="default"/>
      </w:rPr>
    </w:lvl>
    <w:lvl w:ilvl="8" w:tplc="08090005">
      <w:start w:val="1"/>
      <w:numFmt w:val="bullet"/>
      <w:lvlText w:val=""/>
      <w:lvlJc w:val="left"/>
      <w:pPr>
        <w:ind w:left="6530" w:hanging="360"/>
      </w:pPr>
      <w:rPr>
        <w:rFonts w:ascii="Wingdings" w:hAnsi="Wingdings" w:hint="default"/>
      </w:rPr>
    </w:lvl>
  </w:abstractNum>
  <w:abstractNum w:abstractNumId="9" w15:restartNumberingAfterBreak="0">
    <w:nsid w:val="66AE7250"/>
    <w:multiLevelType w:val="hybridMultilevel"/>
    <w:tmpl w:val="57E4195C"/>
    <w:lvl w:ilvl="0" w:tplc="1F6A854C">
      <w:start w:val="1"/>
      <w:numFmt w:val="bullet"/>
      <w:lvlText w:val="●"/>
      <w:lvlJc w:val="left"/>
      <w:pPr>
        <w:ind w:left="720" w:hanging="360"/>
      </w:pPr>
    </w:lvl>
    <w:lvl w:ilvl="1" w:tplc="4B906B14">
      <w:start w:val="1"/>
      <w:numFmt w:val="bullet"/>
      <w:lvlText w:val="○"/>
      <w:lvlJc w:val="left"/>
      <w:pPr>
        <w:ind w:left="1440" w:hanging="360"/>
      </w:pPr>
    </w:lvl>
    <w:lvl w:ilvl="2" w:tplc="4476B4DA">
      <w:start w:val="1"/>
      <w:numFmt w:val="bullet"/>
      <w:lvlText w:val="■"/>
      <w:lvlJc w:val="left"/>
      <w:pPr>
        <w:ind w:left="2160" w:hanging="360"/>
      </w:pPr>
    </w:lvl>
    <w:lvl w:ilvl="3" w:tplc="8910C1A8">
      <w:start w:val="1"/>
      <w:numFmt w:val="bullet"/>
      <w:lvlText w:val="●"/>
      <w:lvlJc w:val="left"/>
      <w:pPr>
        <w:ind w:left="2880" w:hanging="360"/>
      </w:pPr>
    </w:lvl>
    <w:lvl w:ilvl="4" w:tplc="CF02F626">
      <w:start w:val="1"/>
      <w:numFmt w:val="bullet"/>
      <w:lvlText w:val="○"/>
      <w:lvlJc w:val="left"/>
      <w:pPr>
        <w:ind w:left="3600" w:hanging="360"/>
      </w:pPr>
    </w:lvl>
    <w:lvl w:ilvl="5" w:tplc="9D86B564">
      <w:start w:val="1"/>
      <w:numFmt w:val="bullet"/>
      <w:lvlText w:val="■"/>
      <w:lvlJc w:val="left"/>
      <w:pPr>
        <w:ind w:left="4320" w:hanging="360"/>
      </w:pPr>
    </w:lvl>
    <w:lvl w:ilvl="6" w:tplc="2D52EA26">
      <w:start w:val="1"/>
      <w:numFmt w:val="bullet"/>
      <w:lvlText w:val="●"/>
      <w:lvlJc w:val="left"/>
      <w:pPr>
        <w:ind w:left="5040" w:hanging="360"/>
      </w:pPr>
    </w:lvl>
    <w:lvl w:ilvl="7" w:tplc="6E2E6A14">
      <w:start w:val="1"/>
      <w:numFmt w:val="bullet"/>
      <w:lvlText w:val="●"/>
      <w:lvlJc w:val="left"/>
      <w:pPr>
        <w:ind w:left="5760" w:hanging="360"/>
      </w:pPr>
    </w:lvl>
    <w:lvl w:ilvl="8" w:tplc="E976EAE4">
      <w:start w:val="1"/>
      <w:numFmt w:val="bullet"/>
      <w:lvlText w:val="●"/>
      <w:lvlJc w:val="left"/>
      <w:pPr>
        <w:ind w:left="6480" w:hanging="360"/>
      </w:pPr>
    </w:lvl>
  </w:abstractNum>
  <w:abstractNum w:abstractNumId="10" w15:restartNumberingAfterBreak="0">
    <w:nsid w:val="70DD0FA9"/>
    <w:multiLevelType w:val="multilevel"/>
    <w:tmpl w:val="D6122868"/>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9D366F4"/>
    <w:multiLevelType w:val="multilevel"/>
    <w:tmpl w:val="D85AA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lvlOverride w:ilvl="0">
      <w:startOverride w:val="1"/>
    </w:lvlOverride>
  </w:num>
  <w:num w:numId="2">
    <w:abstractNumId w:val="7"/>
    <w:lvlOverride w:ilvl="0">
      <w:startOverride w:val="1"/>
    </w:lvlOverride>
  </w:num>
  <w:num w:numId="3">
    <w:abstractNumId w:val="2"/>
  </w:num>
  <w:num w:numId="4">
    <w:abstractNumId w:val="10"/>
  </w:num>
  <w:num w:numId="5">
    <w:abstractNumId w:val="5"/>
    <w:lvlOverride w:ilvl="0">
      <w:startOverride w:val="1"/>
    </w:lvlOverride>
  </w:num>
  <w:num w:numId="6">
    <w:abstractNumId w:val="11"/>
  </w:num>
  <w:num w:numId="7">
    <w:abstractNumId w:val="6"/>
  </w:num>
  <w:num w:numId="8">
    <w:abstractNumId w:val="0"/>
  </w:num>
  <w:num w:numId="9">
    <w:abstractNumId w:val="4"/>
  </w:num>
  <w:num w:numId="1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3"/>
    <w:lvlOverride w:ilvl="0"/>
    <w:lvlOverride w:ilvl="1"/>
    <w:lvlOverride w:ilvl="2"/>
    <w:lvlOverride w:ilvl="3"/>
    <w:lvlOverride w:ilvl="4"/>
    <w:lvlOverride w:ilvl="5"/>
    <w:lvlOverride w:ilvl="6"/>
    <w:lvlOverride w:ilvl="7"/>
    <w:lvlOverride w:ilvl="8"/>
  </w:num>
  <w:num w:numId="12">
    <w:abstractNumId w:val="8"/>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3979"/>
    <w:rsid w:val="00007291"/>
    <w:rsid w:val="0001265D"/>
    <w:rsid w:val="000370A9"/>
    <w:rsid w:val="00082D5E"/>
    <w:rsid w:val="00181311"/>
    <w:rsid w:val="001A6E28"/>
    <w:rsid w:val="002276A6"/>
    <w:rsid w:val="0023220B"/>
    <w:rsid w:val="00253979"/>
    <w:rsid w:val="002E7856"/>
    <w:rsid w:val="00307997"/>
    <w:rsid w:val="00352EE3"/>
    <w:rsid w:val="005204DF"/>
    <w:rsid w:val="00560D58"/>
    <w:rsid w:val="005C0D07"/>
    <w:rsid w:val="005C298D"/>
    <w:rsid w:val="00624BD6"/>
    <w:rsid w:val="00643676"/>
    <w:rsid w:val="00697701"/>
    <w:rsid w:val="006C4591"/>
    <w:rsid w:val="0077629D"/>
    <w:rsid w:val="00791097"/>
    <w:rsid w:val="007D294F"/>
    <w:rsid w:val="008A7F2C"/>
    <w:rsid w:val="00941F61"/>
    <w:rsid w:val="009A7427"/>
    <w:rsid w:val="00A428CB"/>
    <w:rsid w:val="00A61BCB"/>
    <w:rsid w:val="00B1441E"/>
    <w:rsid w:val="00B62E7D"/>
    <w:rsid w:val="00B75155"/>
    <w:rsid w:val="00B85ECE"/>
    <w:rsid w:val="00BD7565"/>
    <w:rsid w:val="00BE33A8"/>
    <w:rsid w:val="00BF648E"/>
    <w:rsid w:val="00C80D20"/>
    <w:rsid w:val="00E51EB4"/>
    <w:rsid w:val="00EF54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897492"/>
  <w15:docId w15:val="{8B7E9C39-D9CF-4E82-AB98-9A6DB9F22F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NormalWeb">
    <w:name w:val="Normal (Web)"/>
    <w:basedOn w:val="Normal"/>
    <w:uiPriority w:val="99"/>
    <w:unhideWhenUsed/>
    <w:rsid w:val="00624BD6"/>
    <w:pPr>
      <w:spacing w:before="100" w:beforeAutospacing="1" w:after="100" w:afterAutospacing="1"/>
    </w:pPr>
    <w:rPr>
      <w:sz w:val="24"/>
      <w:szCs w:val="24"/>
    </w:rPr>
  </w:style>
  <w:style w:type="character" w:styleId="HTMLCode">
    <w:name w:val="HTML Code"/>
    <w:basedOn w:val="DefaultParagraphFont"/>
    <w:uiPriority w:val="99"/>
    <w:semiHidden/>
    <w:unhideWhenUsed/>
    <w:rsid w:val="00624BD6"/>
    <w:rPr>
      <w:rFonts w:ascii="Courier New" w:eastAsia="Times New Roman" w:hAnsi="Courier New" w:cs="Courier New"/>
      <w:sz w:val="20"/>
      <w:szCs w:val="20"/>
    </w:rPr>
  </w:style>
  <w:style w:type="character" w:customStyle="1" w:styleId="citation-165">
    <w:name w:val="citation-165"/>
    <w:basedOn w:val="DefaultParagraphFont"/>
    <w:rsid w:val="00624BD6"/>
  </w:style>
  <w:style w:type="character" w:customStyle="1" w:styleId="citation-164">
    <w:name w:val="citation-164"/>
    <w:basedOn w:val="DefaultParagraphFont"/>
    <w:rsid w:val="00624BD6"/>
  </w:style>
  <w:style w:type="character" w:customStyle="1" w:styleId="citation-163">
    <w:name w:val="citation-163"/>
    <w:basedOn w:val="DefaultParagraphFont"/>
    <w:rsid w:val="00624BD6"/>
  </w:style>
  <w:style w:type="paragraph" w:styleId="Header">
    <w:name w:val="header"/>
    <w:basedOn w:val="Normal"/>
    <w:link w:val="HeaderChar"/>
    <w:uiPriority w:val="99"/>
    <w:unhideWhenUsed/>
    <w:rsid w:val="00791097"/>
    <w:pPr>
      <w:tabs>
        <w:tab w:val="center" w:pos="4513"/>
        <w:tab w:val="right" w:pos="9026"/>
      </w:tabs>
    </w:pPr>
  </w:style>
  <w:style w:type="character" w:customStyle="1" w:styleId="HeaderChar">
    <w:name w:val="Header Char"/>
    <w:basedOn w:val="DefaultParagraphFont"/>
    <w:link w:val="Header"/>
    <w:uiPriority w:val="99"/>
    <w:rsid w:val="00791097"/>
  </w:style>
  <w:style w:type="paragraph" w:styleId="Footer">
    <w:name w:val="footer"/>
    <w:basedOn w:val="Normal"/>
    <w:link w:val="FooterChar"/>
    <w:uiPriority w:val="99"/>
    <w:unhideWhenUsed/>
    <w:rsid w:val="00791097"/>
    <w:pPr>
      <w:tabs>
        <w:tab w:val="center" w:pos="4513"/>
        <w:tab w:val="right" w:pos="9026"/>
      </w:tabs>
    </w:pPr>
  </w:style>
  <w:style w:type="character" w:customStyle="1" w:styleId="FooterChar">
    <w:name w:val="Footer Char"/>
    <w:basedOn w:val="DefaultParagraphFont"/>
    <w:link w:val="Footer"/>
    <w:uiPriority w:val="99"/>
    <w:rsid w:val="00791097"/>
  </w:style>
  <w:style w:type="paragraph" w:styleId="NoSpacing">
    <w:name w:val="No Spacing"/>
    <w:uiPriority w:val="1"/>
    <w:qFormat/>
    <w:rsid w:val="009A7427"/>
    <w:rPr>
      <w:rFonts w:asciiTheme="minorHAnsi" w:eastAsiaTheme="minorHAnsi" w:hAnsi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526419">
      <w:bodyDiv w:val="1"/>
      <w:marLeft w:val="0"/>
      <w:marRight w:val="0"/>
      <w:marTop w:val="0"/>
      <w:marBottom w:val="0"/>
      <w:divBdr>
        <w:top w:val="none" w:sz="0" w:space="0" w:color="auto"/>
        <w:left w:val="none" w:sz="0" w:space="0" w:color="auto"/>
        <w:bottom w:val="none" w:sz="0" w:space="0" w:color="auto"/>
        <w:right w:val="none" w:sz="0" w:space="0" w:color="auto"/>
      </w:divBdr>
    </w:div>
    <w:div w:id="1026101190">
      <w:bodyDiv w:val="1"/>
      <w:marLeft w:val="0"/>
      <w:marRight w:val="0"/>
      <w:marTop w:val="0"/>
      <w:marBottom w:val="0"/>
      <w:divBdr>
        <w:top w:val="none" w:sz="0" w:space="0" w:color="auto"/>
        <w:left w:val="none" w:sz="0" w:space="0" w:color="auto"/>
        <w:bottom w:val="none" w:sz="0" w:space="0" w:color="auto"/>
        <w:right w:val="none" w:sz="0" w:space="0" w:color="auto"/>
      </w:divBdr>
    </w:div>
    <w:div w:id="1086225005">
      <w:bodyDiv w:val="1"/>
      <w:marLeft w:val="0"/>
      <w:marRight w:val="0"/>
      <w:marTop w:val="0"/>
      <w:marBottom w:val="0"/>
      <w:divBdr>
        <w:top w:val="none" w:sz="0" w:space="0" w:color="auto"/>
        <w:left w:val="none" w:sz="0" w:space="0" w:color="auto"/>
        <w:bottom w:val="none" w:sz="0" w:space="0" w:color="auto"/>
        <w:right w:val="none" w:sz="0" w:space="0" w:color="auto"/>
      </w:divBdr>
    </w:div>
    <w:div w:id="142772931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250</TotalTime>
  <Pages>38</Pages>
  <Words>12388</Words>
  <Characters>70615</Characters>
  <Application>Microsoft Office Word</Application>
  <DocSecurity>0</DocSecurity>
  <Lines>588</Lines>
  <Paragraphs>165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Un-named</dc:creator>
  <cp:lastModifiedBy>Farjana Akter Rimu (2519813)</cp:lastModifiedBy>
  <cp:revision>23</cp:revision>
  <dcterms:created xsi:type="dcterms:W3CDTF">2026-07-29T07:58:00Z</dcterms:created>
  <dcterms:modified xsi:type="dcterms:W3CDTF">2026-07-30T22:58:00Z</dcterms:modified>
</cp:coreProperties>
</file>