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2AE64E" w14:textId="44DAB07B" w:rsidR="0019389E" w:rsidRPr="00E8226E" w:rsidRDefault="0019389E" w:rsidP="00A918D9">
      <w:pPr>
        <w:jc w:val="both"/>
      </w:pPr>
      <w:r w:rsidRPr="00E8226E">
        <w:rPr>
          <w:noProof/>
        </w:rPr>
        <w:drawing>
          <wp:inline distT="0" distB="0" distL="0" distR="0" wp14:anchorId="2A0FC5FB" wp14:editId="66F6303F">
            <wp:extent cx="5715000" cy="1895475"/>
            <wp:effectExtent l="0" t="0" r="0" b="9525"/>
            <wp:docPr id="754019653" name="Picture 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019653" name="Picture 2" descr="A black background with white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a:ln>
                      <a:noFill/>
                    </a:ln>
                  </pic:spPr>
                </pic:pic>
              </a:graphicData>
            </a:graphic>
          </wp:inline>
        </w:drawing>
      </w:r>
    </w:p>
    <w:p w14:paraId="1AD21A0D" w14:textId="77777777" w:rsidR="0019389E" w:rsidRPr="00E8226E" w:rsidRDefault="0019389E" w:rsidP="0019389E"/>
    <w:p w14:paraId="093E24CA" w14:textId="77777777" w:rsidR="0019389E" w:rsidRPr="00E8226E" w:rsidRDefault="0019389E" w:rsidP="0019389E"/>
    <w:p w14:paraId="5039783D" w14:textId="77777777" w:rsidR="0019389E" w:rsidRPr="00E8226E" w:rsidRDefault="0019389E" w:rsidP="0019389E"/>
    <w:p w14:paraId="283EB221" w14:textId="77777777" w:rsidR="0019389E" w:rsidRPr="00E8226E" w:rsidRDefault="0019389E" w:rsidP="0019389E"/>
    <w:p w14:paraId="459435BF" w14:textId="77777777" w:rsidR="0019389E" w:rsidRPr="00E8226E" w:rsidRDefault="0019389E" w:rsidP="0019389E"/>
    <w:p w14:paraId="6BD565A4" w14:textId="14656056" w:rsidR="0019389E" w:rsidRPr="00E8226E" w:rsidRDefault="00DF2569" w:rsidP="00AB421F">
      <w:pPr>
        <w:spacing w:line="360" w:lineRule="auto"/>
        <w:jc w:val="center"/>
        <w:rPr>
          <w:rFonts w:ascii="Arial" w:hAnsi="Arial" w:cs="Arial"/>
          <w:sz w:val="36"/>
          <w:szCs w:val="36"/>
        </w:rPr>
      </w:pPr>
      <w:r w:rsidRPr="00E8226E">
        <w:rPr>
          <w:rFonts w:ascii="Arial" w:hAnsi="Arial" w:cs="Arial"/>
          <w:sz w:val="36"/>
          <w:szCs w:val="36"/>
        </w:rPr>
        <w:t>Constantin’s Photography Business Plan</w:t>
      </w:r>
    </w:p>
    <w:p w14:paraId="1A819845" w14:textId="77777777" w:rsidR="0019389E" w:rsidRPr="00E8226E" w:rsidRDefault="0019389E" w:rsidP="00AB421F">
      <w:pPr>
        <w:spacing w:line="360" w:lineRule="auto"/>
        <w:rPr>
          <w:rFonts w:ascii="Arial" w:hAnsi="Arial" w:cs="Arial"/>
          <w:sz w:val="24"/>
          <w:szCs w:val="24"/>
        </w:rPr>
      </w:pPr>
    </w:p>
    <w:p w14:paraId="46BA74B7" w14:textId="77777777" w:rsidR="0019389E" w:rsidRPr="00E8226E" w:rsidRDefault="0019389E" w:rsidP="00AB421F">
      <w:pPr>
        <w:spacing w:line="360" w:lineRule="auto"/>
        <w:rPr>
          <w:rFonts w:ascii="Arial" w:hAnsi="Arial" w:cs="Arial"/>
          <w:sz w:val="24"/>
          <w:szCs w:val="24"/>
        </w:rPr>
      </w:pPr>
    </w:p>
    <w:p w14:paraId="2E922430" w14:textId="77777777" w:rsidR="0019389E" w:rsidRPr="00E8226E" w:rsidRDefault="0019389E" w:rsidP="00AB421F">
      <w:pPr>
        <w:spacing w:line="360" w:lineRule="auto"/>
        <w:rPr>
          <w:rFonts w:ascii="Arial" w:hAnsi="Arial" w:cs="Arial"/>
          <w:sz w:val="24"/>
          <w:szCs w:val="24"/>
        </w:rPr>
      </w:pPr>
    </w:p>
    <w:p w14:paraId="39E6D466" w14:textId="77777777" w:rsidR="0019389E" w:rsidRPr="00E8226E" w:rsidRDefault="0019389E" w:rsidP="00AB421F">
      <w:pPr>
        <w:spacing w:line="360" w:lineRule="auto"/>
        <w:rPr>
          <w:rFonts w:ascii="Arial" w:hAnsi="Arial" w:cs="Arial"/>
          <w:sz w:val="24"/>
          <w:szCs w:val="24"/>
        </w:rPr>
      </w:pPr>
    </w:p>
    <w:p w14:paraId="30161879" w14:textId="77777777" w:rsidR="0019389E" w:rsidRPr="00E8226E" w:rsidRDefault="0019389E" w:rsidP="00AB421F">
      <w:pPr>
        <w:spacing w:line="360" w:lineRule="auto"/>
        <w:rPr>
          <w:rFonts w:ascii="Arial" w:hAnsi="Arial" w:cs="Arial"/>
          <w:sz w:val="24"/>
          <w:szCs w:val="24"/>
        </w:rPr>
      </w:pPr>
    </w:p>
    <w:p w14:paraId="5AB5B18C" w14:textId="77777777" w:rsidR="0019389E" w:rsidRPr="00E8226E" w:rsidRDefault="0019389E" w:rsidP="00AB421F">
      <w:pPr>
        <w:spacing w:line="360" w:lineRule="auto"/>
        <w:rPr>
          <w:rFonts w:ascii="Arial" w:hAnsi="Arial" w:cs="Arial"/>
          <w:sz w:val="24"/>
          <w:szCs w:val="24"/>
        </w:rPr>
      </w:pPr>
      <w:r w:rsidRPr="00E8226E">
        <w:rPr>
          <w:rFonts w:ascii="Arial" w:hAnsi="Arial" w:cs="Arial"/>
          <w:sz w:val="24"/>
          <w:szCs w:val="24"/>
        </w:rPr>
        <w:t xml:space="preserve">BA(Hons) Business Management </w:t>
      </w:r>
    </w:p>
    <w:p w14:paraId="07692EAA" w14:textId="08F68A49" w:rsidR="0019389E" w:rsidRPr="00E8226E" w:rsidRDefault="0019389E" w:rsidP="00AB421F">
      <w:pPr>
        <w:spacing w:line="360" w:lineRule="auto"/>
        <w:rPr>
          <w:rFonts w:ascii="Arial" w:hAnsi="Arial" w:cs="Arial"/>
          <w:sz w:val="24"/>
          <w:szCs w:val="24"/>
        </w:rPr>
      </w:pPr>
      <w:r w:rsidRPr="00E8226E">
        <w:rPr>
          <w:rFonts w:ascii="Arial" w:hAnsi="Arial" w:cs="Arial"/>
          <w:sz w:val="24"/>
          <w:szCs w:val="24"/>
        </w:rPr>
        <w:t>Student Name: Constantin Iftimie</w:t>
      </w:r>
    </w:p>
    <w:p w14:paraId="692FEB53" w14:textId="693D5F91" w:rsidR="0019389E" w:rsidRPr="00E8226E" w:rsidRDefault="0019389E" w:rsidP="00AB421F">
      <w:pPr>
        <w:spacing w:line="360" w:lineRule="auto"/>
        <w:rPr>
          <w:rFonts w:ascii="Arial" w:hAnsi="Arial" w:cs="Arial"/>
          <w:sz w:val="24"/>
          <w:szCs w:val="24"/>
        </w:rPr>
      </w:pPr>
      <w:r w:rsidRPr="00E8226E">
        <w:rPr>
          <w:rFonts w:ascii="Arial" w:hAnsi="Arial" w:cs="Arial"/>
          <w:sz w:val="24"/>
          <w:szCs w:val="24"/>
        </w:rPr>
        <w:t>Student Number: 2242919</w:t>
      </w:r>
    </w:p>
    <w:p w14:paraId="6E63B880" w14:textId="65185E32" w:rsidR="0019389E" w:rsidRPr="00E8226E" w:rsidRDefault="0019389E" w:rsidP="00AB421F">
      <w:pPr>
        <w:spacing w:line="360" w:lineRule="auto"/>
        <w:rPr>
          <w:rFonts w:ascii="Arial" w:hAnsi="Arial" w:cs="Arial"/>
          <w:sz w:val="24"/>
          <w:szCs w:val="24"/>
        </w:rPr>
      </w:pPr>
      <w:r w:rsidRPr="00E8226E">
        <w:rPr>
          <w:rFonts w:ascii="Arial" w:hAnsi="Arial" w:cs="Arial"/>
          <w:sz w:val="24"/>
          <w:szCs w:val="24"/>
        </w:rPr>
        <w:t xml:space="preserve">Course Name: </w:t>
      </w:r>
      <w:r w:rsidR="00A11DAE" w:rsidRPr="00E8226E">
        <w:rPr>
          <w:rFonts w:ascii="Arial" w:hAnsi="Arial" w:cs="Arial"/>
          <w:sz w:val="24"/>
          <w:szCs w:val="24"/>
        </w:rPr>
        <w:t>Entrepreneurship</w:t>
      </w:r>
      <w:r w:rsidR="003E4C90" w:rsidRPr="00E8226E">
        <w:rPr>
          <w:rFonts w:ascii="Arial" w:hAnsi="Arial" w:cs="Arial"/>
          <w:sz w:val="24"/>
          <w:szCs w:val="24"/>
        </w:rPr>
        <w:t xml:space="preserve"> LCBB501</w:t>
      </w:r>
      <w:r w:rsidR="00A11DAE" w:rsidRPr="00E8226E">
        <w:rPr>
          <w:rFonts w:ascii="Arial" w:hAnsi="Arial" w:cs="Arial"/>
          <w:sz w:val="24"/>
          <w:szCs w:val="24"/>
        </w:rPr>
        <w:t>3</w:t>
      </w:r>
    </w:p>
    <w:p w14:paraId="0C855389" w14:textId="3791AB22" w:rsidR="00AB421F" w:rsidRPr="00E8226E" w:rsidRDefault="0019389E" w:rsidP="00AB421F">
      <w:pPr>
        <w:spacing w:line="360" w:lineRule="auto"/>
        <w:rPr>
          <w:rFonts w:ascii="Arial" w:hAnsi="Arial" w:cs="Arial"/>
          <w:sz w:val="24"/>
          <w:szCs w:val="24"/>
        </w:rPr>
      </w:pPr>
      <w:r w:rsidRPr="00E8226E">
        <w:rPr>
          <w:rFonts w:ascii="Arial" w:hAnsi="Arial" w:cs="Arial"/>
          <w:sz w:val="24"/>
          <w:szCs w:val="24"/>
        </w:rPr>
        <w:t xml:space="preserve">Lecturer Name: </w:t>
      </w:r>
      <w:r w:rsidR="00A11DAE" w:rsidRPr="00E8226E">
        <w:rPr>
          <w:rFonts w:ascii="Arial" w:hAnsi="Arial" w:cs="Arial"/>
          <w:sz w:val="24"/>
          <w:szCs w:val="24"/>
        </w:rPr>
        <w:t>Dr Amer Kareem</w:t>
      </w:r>
    </w:p>
    <w:p w14:paraId="130591E7" w14:textId="77777777" w:rsidR="00AB421F" w:rsidRPr="00E8226E" w:rsidRDefault="00AB421F" w:rsidP="00AB421F">
      <w:pPr>
        <w:spacing w:line="360" w:lineRule="auto"/>
        <w:rPr>
          <w:rFonts w:ascii="Arial" w:hAnsi="Arial" w:cs="Arial"/>
          <w:sz w:val="24"/>
          <w:szCs w:val="24"/>
        </w:rPr>
      </w:pPr>
    </w:p>
    <w:p w14:paraId="4C4961BF" w14:textId="59F9A77D" w:rsidR="0019389E" w:rsidRPr="00E8226E" w:rsidRDefault="0019389E" w:rsidP="00AB421F">
      <w:pPr>
        <w:spacing w:line="360" w:lineRule="auto"/>
        <w:jc w:val="center"/>
        <w:rPr>
          <w:rFonts w:ascii="Arial" w:hAnsi="Arial" w:cs="Arial"/>
          <w:sz w:val="24"/>
          <w:szCs w:val="24"/>
        </w:rPr>
      </w:pPr>
      <w:r w:rsidRPr="00E8226E">
        <w:rPr>
          <w:rFonts w:ascii="Arial" w:hAnsi="Arial" w:cs="Arial"/>
          <w:sz w:val="24"/>
          <w:szCs w:val="24"/>
        </w:rPr>
        <w:t xml:space="preserve">Session: </w:t>
      </w:r>
      <w:r w:rsidR="00A11DAE" w:rsidRPr="00E8226E">
        <w:rPr>
          <w:rFonts w:ascii="Arial" w:hAnsi="Arial" w:cs="Arial"/>
          <w:sz w:val="24"/>
          <w:szCs w:val="24"/>
        </w:rPr>
        <w:t>November</w:t>
      </w:r>
      <w:r w:rsidRPr="00E8226E">
        <w:rPr>
          <w:rFonts w:ascii="Arial" w:hAnsi="Arial" w:cs="Arial"/>
          <w:sz w:val="24"/>
          <w:szCs w:val="24"/>
        </w:rPr>
        <w:t xml:space="preserve"> 2025 Term</w:t>
      </w:r>
      <w:r w:rsidR="003E4C90" w:rsidRPr="00E8226E">
        <w:rPr>
          <w:rFonts w:ascii="Arial" w:hAnsi="Arial" w:cs="Arial"/>
          <w:sz w:val="24"/>
          <w:szCs w:val="24"/>
        </w:rPr>
        <w:t xml:space="preserve"> </w:t>
      </w:r>
      <w:r w:rsidR="00A11DAE" w:rsidRPr="00E8226E">
        <w:rPr>
          <w:rFonts w:ascii="Arial" w:hAnsi="Arial" w:cs="Arial"/>
          <w:sz w:val="24"/>
          <w:szCs w:val="24"/>
        </w:rPr>
        <w:t>2</w:t>
      </w:r>
    </w:p>
    <w:p w14:paraId="3CBFD08A" w14:textId="77777777" w:rsidR="00DF2569" w:rsidRPr="00E8226E" w:rsidRDefault="00DF2569" w:rsidP="00DF2569">
      <w:pPr>
        <w:spacing w:line="360" w:lineRule="auto"/>
        <w:rPr>
          <w:rFonts w:ascii="Arial" w:hAnsi="Arial" w:cs="Arial"/>
          <w:sz w:val="24"/>
          <w:szCs w:val="24"/>
        </w:rPr>
      </w:pPr>
    </w:p>
    <w:p w14:paraId="6FE7D960" w14:textId="77777777" w:rsidR="00DF2569" w:rsidRPr="00E8226E" w:rsidRDefault="00DF2569" w:rsidP="00DF2569">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2036082747"/>
        <w:docPartObj>
          <w:docPartGallery w:val="Table of Contents"/>
          <w:docPartUnique/>
        </w:docPartObj>
      </w:sdtPr>
      <w:sdtEndPr>
        <w:rPr>
          <w:b/>
          <w:bCs/>
          <w:noProof/>
        </w:rPr>
      </w:sdtEndPr>
      <w:sdtContent>
        <w:p w14:paraId="668834CA" w14:textId="4995A006" w:rsidR="00897852" w:rsidRDefault="00897852">
          <w:pPr>
            <w:pStyle w:val="TOCHeading"/>
          </w:pPr>
          <w:r>
            <w:t>Contents</w:t>
          </w:r>
        </w:p>
        <w:p w14:paraId="29791D76" w14:textId="6154D7D6" w:rsidR="0065483F" w:rsidRDefault="0089785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15394603" w:history="1">
            <w:r w:rsidR="0065483F" w:rsidRPr="006526F6">
              <w:rPr>
                <w:rStyle w:val="Hyperlink"/>
                <w:noProof/>
              </w:rPr>
              <w:t>Element 1: Business Idea, Products/Services, Objectives and USP</w:t>
            </w:r>
            <w:r w:rsidR="0065483F">
              <w:rPr>
                <w:noProof/>
                <w:webHidden/>
              </w:rPr>
              <w:tab/>
            </w:r>
            <w:r w:rsidR="0065483F">
              <w:rPr>
                <w:noProof/>
                <w:webHidden/>
              </w:rPr>
              <w:fldChar w:fldCharType="begin"/>
            </w:r>
            <w:r w:rsidR="0065483F">
              <w:rPr>
                <w:noProof/>
                <w:webHidden/>
              </w:rPr>
              <w:instrText xml:space="preserve"> PAGEREF _Toc215394603 \h </w:instrText>
            </w:r>
            <w:r w:rsidR="0065483F">
              <w:rPr>
                <w:noProof/>
                <w:webHidden/>
              </w:rPr>
            </w:r>
            <w:r w:rsidR="0065483F">
              <w:rPr>
                <w:noProof/>
                <w:webHidden/>
              </w:rPr>
              <w:fldChar w:fldCharType="separate"/>
            </w:r>
            <w:r w:rsidR="0065483F">
              <w:rPr>
                <w:noProof/>
                <w:webHidden/>
              </w:rPr>
              <w:t>3</w:t>
            </w:r>
            <w:r w:rsidR="0065483F">
              <w:rPr>
                <w:noProof/>
                <w:webHidden/>
              </w:rPr>
              <w:fldChar w:fldCharType="end"/>
            </w:r>
          </w:hyperlink>
        </w:p>
        <w:p w14:paraId="266C01E6" w14:textId="1E6D4FBB" w:rsidR="0065483F" w:rsidRDefault="0065483F">
          <w:pPr>
            <w:pStyle w:val="TOC1"/>
            <w:tabs>
              <w:tab w:val="right" w:leader="dot" w:pos="9016"/>
            </w:tabs>
            <w:rPr>
              <w:rFonts w:eastAsiaTheme="minorEastAsia"/>
              <w:noProof/>
              <w:sz w:val="24"/>
              <w:szCs w:val="24"/>
              <w:lang w:eastAsia="en-GB"/>
            </w:rPr>
          </w:pPr>
          <w:hyperlink w:anchor="_Toc215394604" w:history="1">
            <w:r w:rsidRPr="006526F6">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_Toc215394604 \h </w:instrText>
            </w:r>
            <w:r>
              <w:rPr>
                <w:noProof/>
                <w:webHidden/>
              </w:rPr>
            </w:r>
            <w:r>
              <w:rPr>
                <w:noProof/>
                <w:webHidden/>
              </w:rPr>
              <w:fldChar w:fldCharType="separate"/>
            </w:r>
            <w:r>
              <w:rPr>
                <w:noProof/>
                <w:webHidden/>
              </w:rPr>
              <w:t>6</w:t>
            </w:r>
            <w:r>
              <w:rPr>
                <w:noProof/>
                <w:webHidden/>
              </w:rPr>
              <w:fldChar w:fldCharType="end"/>
            </w:r>
          </w:hyperlink>
        </w:p>
        <w:p w14:paraId="189199B7" w14:textId="0EABB0FD" w:rsidR="0065483F" w:rsidRDefault="0065483F">
          <w:pPr>
            <w:pStyle w:val="TOC2"/>
            <w:tabs>
              <w:tab w:val="right" w:leader="dot" w:pos="9016"/>
            </w:tabs>
            <w:rPr>
              <w:rFonts w:eastAsiaTheme="minorEastAsia"/>
              <w:noProof/>
              <w:sz w:val="24"/>
              <w:szCs w:val="24"/>
              <w:lang w:eastAsia="en-GB"/>
            </w:rPr>
          </w:pPr>
          <w:hyperlink w:anchor="_Toc215394605" w:history="1">
            <w:r w:rsidRPr="006526F6">
              <w:rPr>
                <w:rStyle w:val="Hyperlink"/>
                <w:noProof/>
              </w:rPr>
              <w:t>PESTEL</w:t>
            </w:r>
            <w:r>
              <w:rPr>
                <w:noProof/>
                <w:webHidden/>
              </w:rPr>
              <w:tab/>
            </w:r>
            <w:r>
              <w:rPr>
                <w:noProof/>
                <w:webHidden/>
              </w:rPr>
              <w:fldChar w:fldCharType="begin"/>
            </w:r>
            <w:r>
              <w:rPr>
                <w:noProof/>
                <w:webHidden/>
              </w:rPr>
              <w:instrText xml:space="preserve"> PAGEREF _Toc215394605 \h </w:instrText>
            </w:r>
            <w:r>
              <w:rPr>
                <w:noProof/>
                <w:webHidden/>
              </w:rPr>
            </w:r>
            <w:r>
              <w:rPr>
                <w:noProof/>
                <w:webHidden/>
              </w:rPr>
              <w:fldChar w:fldCharType="separate"/>
            </w:r>
            <w:r>
              <w:rPr>
                <w:noProof/>
                <w:webHidden/>
              </w:rPr>
              <w:t>6</w:t>
            </w:r>
            <w:r>
              <w:rPr>
                <w:noProof/>
                <w:webHidden/>
              </w:rPr>
              <w:fldChar w:fldCharType="end"/>
            </w:r>
          </w:hyperlink>
        </w:p>
        <w:p w14:paraId="24C2CE0F" w14:textId="17A08896" w:rsidR="0065483F" w:rsidRDefault="0065483F">
          <w:pPr>
            <w:pStyle w:val="TOC2"/>
            <w:tabs>
              <w:tab w:val="right" w:leader="dot" w:pos="9016"/>
            </w:tabs>
            <w:rPr>
              <w:rFonts w:eastAsiaTheme="minorEastAsia"/>
              <w:noProof/>
              <w:sz w:val="24"/>
              <w:szCs w:val="24"/>
              <w:lang w:eastAsia="en-GB"/>
            </w:rPr>
          </w:pPr>
          <w:hyperlink w:anchor="_Toc215394606" w:history="1">
            <w:r w:rsidRPr="006526F6">
              <w:rPr>
                <w:rStyle w:val="Hyperlink"/>
                <w:noProof/>
              </w:rPr>
              <w:t>SWOT</w:t>
            </w:r>
            <w:r>
              <w:rPr>
                <w:noProof/>
                <w:webHidden/>
              </w:rPr>
              <w:tab/>
            </w:r>
            <w:r>
              <w:rPr>
                <w:noProof/>
                <w:webHidden/>
              </w:rPr>
              <w:fldChar w:fldCharType="begin"/>
            </w:r>
            <w:r>
              <w:rPr>
                <w:noProof/>
                <w:webHidden/>
              </w:rPr>
              <w:instrText xml:space="preserve"> PAGEREF _Toc215394606 \h </w:instrText>
            </w:r>
            <w:r>
              <w:rPr>
                <w:noProof/>
                <w:webHidden/>
              </w:rPr>
            </w:r>
            <w:r>
              <w:rPr>
                <w:noProof/>
                <w:webHidden/>
              </w:rPr>
              <w:fldChar w:fldCharType="separate"/>
            </w:r>
            <w:r>
              <w:rPr>
                <w:noProof/>
                <w:webHidden/>
              </w:rPr>
              <w:t>8</w:t>
            </w:r>
            <w:r>
              <w:rPr>
                <w:noProof/>
                <w:webHidden/>
              </w:rPr>
              <w:fldChar w:fldCharType="end"/>
            </w:r>
          </w:hyperlink>
        </w:p>
        <w:p w14:paraId="6067E15A" w14:textId="39259C40" w:rsidR="0065483F" w:rsidRDefault="0065483F">
          <w:pPr>
            <w:pStyle w:val="TOC2"/>
            <w:tabs>
              <w:tab w:val="right" w:leader="dot" w:pos="9016"/>
            </w:tabs>
            <w:rPr>
              <w:rFonts w:eastAsiaTheme="minorEastAsia"/>
              <w:noProof/>
              <w:sz w:val="24"/>
              <w:szCs w:val="24"/>
              <w:lang w:eastAsia="en-GB"/>
            </w:rPr>
          </w:pPr>
          <w:hyperlink w:anchor="_Toc215394607" w:history="1">
            <w:r w:rsidRPr="006526F6">
              <w:rPr>
                <w:rStyle w:val="Hyperlink"/>
                <w:noProof/>
              </w:rPr>
              <w:t>Porter’s Five Forces</w:t>
            </w:r>
            <w:r>
              <w:rPr>
                <w:noProof/>
                <w:webHidden/>
              </w:rPr>
              <w:tab/>
            </w:r>
            <w:r>
              <w:rPr>
                <w:noProof/>
                <w:webHidden/>
              </w:rPr>
              <w:fldChar w:fldCharType="begin"/>
            </w:r>
            <w:r>
              <w:rPr>
                <w:noProof/>
                <w:webHidden/>
              </w:rPr>
              <w:instrText xml:space="preserve"> PAGEREF _Toc215394607 \h </w:instrText>
            </w:r>
            <w:r>
              <w:rPr>
                <w:noProof/>
                <w:webHidden/>
              </w:rPr>
            </w:r>
            <w:r>
              <w:rPr>
                <w:noProof/>
                <w:webHidden/>
              </w:rPr>
              <w:fldChar w:fldCharType="separate"/>
            </w:r>
            <w:r>
              <w:rPr>
                <w:noProof/>
                <w:webHidden/>
              </w:rPr>
              <w:t>8</w:t>
            </w:r>
            <w:r>
              <w:rPr>
                <w:noProof/>
                <w:webHidden/>
              </w:rPr>
              <w:fldChar w:fldCharType="end"/>
            </w:r>
          </w:hyperlink>
        </w:p>
        <w:p w14:paraId="0C3D139D" w14:textId="4B272A41" w:rsidR="0065483F" w:rsidRDefault="0065483F">
          <w:pPr>
            <w:pStyle w:val="TOC1"/>
            <w:tabs>
              <w:tab w:val="right" w:leader="dot" w:pos="9016"/>
            </w:tabs>
            <w:rPr>
              <w:rFonts w:eastAsiaTheme="minorEastAsia"/>
              <w:noProof/>
              <w:sz w:val="24"/>
              <w:szCs w:val="24"/>
              <w:lang w:eastAsia="en-GB"/>
            </w:rPr>
          </w:pPr>
          <w:hyperlink w:anchor="_Toc215394608" w:history="1">
            <w:r w:rsidRPr="006526F6">
              <w:rPr>
                <w:rStyle w:val="Hyperlink"/>
                <w:noProof/>
              </w:rPr>
              <w:t>Element 3: Market Segmentation, 4Ps of Marketing, and Online Marketing Strategies</w:t>
            </w:r>
            <w:r>
              <w:rPr>
                <w:noProof/>
                <w:webHidden/>
              </w:rPr>
              <w:tab/>
            </w:r>
            <w:r>
              <w:rPr>
                <w:noProof/>
                <w:webHidden/>
              </w:rPr>
              <w:fldChar w:fldCharType="begin"/>
            </w:r>
            <w:r>
              <w:rPr>
                <w:noProof/>
                <w:webHidden/>
              </w:rPr>
              <w:instrText xml:space="preserve"> PAGEREF _Toc215394608 \h </w:instrText>
            </w:r>
            <w:r>
              <w:rPr>
                <w:noProof/>
                <w:webHidden/>
              </w:rPr>
            </w:r>
            <w:r>
              <w:rPr>
                <w:noProof/>
                <w:webHidden/>
              </w:rPr>
              <w:fldChar w:fldCharType="separate"/>
            </w:r>
            <w:r>
              <w:rPr>
                <w:noProof/>
                <w:webHidden/>
              </w:rPr>
              <w:t>9</w:t>
            </w:r>
            <w:r>
              <w:rPr>
                <w:noProof/>
                <w:webHidden/>
              </w:rPr>
              <w:fldChar w:fldCharType="end"/>
            </w:r>
          </w:hyperlink>
        </w:p>
        <w:p w14:paraId="1E262050" w14:textId="1005F73A" w:rsidR="0065483F" w:rsidRDefault="0065483F">
          <w:pPr>
            <w:pStyle w:val="TOC2"/>
            <w:tabs>
              <w:tab w:val="right" w:leader="dot" w:pos="9016"/>
            </w:tabs>
            <w:rPr>
              <w:rFonts w:eastAsiaTheme="minorEastAsia"/>
              <w:noProof/>
              <w:sz w:val="24"/>
              <w:szCs w:val="24"/>
              <w:lang w:eastAsia="en-GB"/>
            </w:rPr>
          </w:pPr>
          <w:hyperlink w:anchor="_Toc215394609" w:history="1">
            <w:r w:rsidRPr="006526F6">
              <w:rPr>
                <w:rStyle w:val="Hyperlink"/>
                <w:noProof/>
              </w:rPr>
              <w:t>Segmentation and target customers</w:t>
            </w:r>
            <w:r>
              <w:rPr>
                <w:noProof/>
                <w:webHidden/>
              </w:rPr>
              <w:tab/>
            </w:r>
            <w:r>
              <w:rPr>
                <w:noProof/>
                <w:webHidden/>
              </w:rPr>
              <w:fldChar w:fldCharType="begin"/>
            </w:r>
            <w:r>
              <w:rPr>
                <w:noProof/>
                <w:webHidden/>
              </w:rPr>
              <w:instrText xml:space="preserve"> PAGEREF _Toc215394609 \h </w:instrText>
            </w:r>
            <w:r>
              <w:rPr>
                <w:noProof/>
                <w:webHidden/>
              </w:rPr>
            </w:r>
            <w:r>
              <w:rPr>
                <w:noProof/>
                <w:webHidden/>
              </w:rPr>
              <w:fldChar w:fldCharType="separate"/>
            </w:r>
            <w:r>
              <w:rPr>
                <w:noProof/>
                <w:webHidden/>
              </w:rPr>
              <w:t>9</w:t>
            </w:r>
            <w:r>
              <w:rPr>
                <w:noProof/>
                <w:webHidden/>
              </w:rPr>
              <w:fldChar w:fldCharType="end"/>
            </w:r>
          </w:hyperlink>
        </w:p>
        <w:p w14:paraId="37B27255" w14:textId="65F6B671" w:rsidR="0065483F" w:rsidRDefault="0065483F">
          <w:pPr>
            <w:pStyle w:val="TOC2"/>
            <w:tabs>
              <w:tab w:val="right" w:leader="dot" w:pos="9016"/>
            </w:tabs>
            <w:rPr>
              <w:rFonts w:eastAsiaTheme="minorEastAsia"/>
              <w:noProof/>
              <w:sz w:val="24"/>
              <w:szCs w:val="24"/>
              <w:lang w:eastAsia="en-GB"/>
            </w:rPr>
          </w:pPr>
          <w:hyperlink w:anchor="_Toc215394610" w:history="1">
            <w:r w:rsidRPr="006526F6">
              <w:rPr>
                <w:rStyle w:val="Hyperlink"/>
                <w:noProof/>
              </w:rPr>
              <w:t>4Ps of Marketing</w:t>
            </w:r>
            <w:r>
              <w:rPr>
                <w:noProof/>
                <w:webHidden/>
              </w:rPr>
              <w:tab/>
            </w:r>
            <w:r>
              <w:rPr>
                <w:noProof/>
                <w:webHidden/>
              </w:rPr>
              <w:fldChar w:fldCharType="begin"/>
            </w:r>
            <w:r>
              <w:rPr>
                <w:noProof/>
                <w:webHidden/>
              </w:rPr>
              <w:instrText xml:space="preserve"> PAGEREF _Toc215394610 \h </w:instrText>
            </w:r>
            <w:r>
              <w:rPr>
                <w:noProof/>
                <w:webHidden/>
              </w:rPr>
            </w:r>
            <w:r>
              <w:rPr>
                <w:noProof/>
                <w:webHidden/>
              </w:rPr>
              <w:fldChar w:fldCharType="separate"/>
            </w:r>
            <w:r>
              <w:rPr>
                <w:noProof/>
                <w:webHidden/>
              </w:rPr>
              <w:t>10</w:t>
            </w:r>
            <w:r>
              <w:rPr>
                <w:noProof/>
                <w:webHidden/>
              </w:rPr>
              <w:fldChar w:fldCharType="end"/>
            </w:r>
          </w:hyperlink>
        </w:p>
        <w:p w14:paraId="53D8F57A" w14:textId="5E9E00AB" w:rsidR="0065483F" w:rsidRDefault="0065483F">
          <w:pPr>
            <w:pStyle w:val="TOC1"/>
            <w:tabs>
              <w:tab w:val="right" w:leader="dot" w:pos="9016"/>
            </w:tabs>
            <w:rPr>
              <w:rFonts w:eastAsiaTheme="minorEastAsia"/>
              <w:noProof/>
              <w:sz w:val="24"/>
              <w:szCs w:val="24"/>
              <w:lang w:eastAsia="en-GB"/>
            </w:rPr>
          </w:pPr>
          <w:hyperlink w:anchor="_Toc215394611" w:history="1">
            <w:r w:rsidRPr="006526F6">
              <w:rPr>
                <w:rStyle w:val="Hyperlink"/>
                <w:noProof/>
              </w:rPr>
              <w:t>Element 4: Legal, Management, and Financial Planning</w:t>
            </w:r>
            <w:r>
              <w:rPr>
                <w:noProof/>
                <w:webHidden/>
              </w:rPr>
              <w:tab/>
            </w:r>
            <w:r>
              <w:rPr>
                <w:noProof/>
                <w:webHidden/>
              </w:rPr>
              <w:fldChar w:fldCharType="begin"/>
            </w:r>
            <w:r>
              <w:rPr>
                <w:noProof/>
                <w:webHidden/>
              </w:rPr>
              <w:instrText xml:space="preserve"> PAGEREF _Toc215394611 \h </w:instrText>
            </w:r>
            <w:r>
              <w:rPr>
                <w:noProof/>
                <w:webHidden/>
              </w:rPr>
            </w:r>
            <w:r>
              <w:rPr>
                <w:noProof/>
                <w:webHidden/>
              </w:rPr>
              <w:fldChar w:fldCharType="separate"/>
            </w:r>
            <w:r>
              <w:rPr>
                <w:noProof/>
                <w:webHidden/>
              </w:rPr>
              <w:t>12</w:t>
            </w:r>
            <w:r>
              <w:rPr>
                <w:noProof/>
                <w:webHidden/>
              </w:rPr>
              <w:fldChar w:fldCharType="end"/>
            </w:r>
          </w:hyperlink>
        </w:p>
        <w:p w14:paraId="454E37EA" w14:textId="22ECAD77" w:rsidR="0065483F" w:rsidRDefault="0065483F">
          <w:pPr>
            <w:pStyle w:val="TOC1"/>
            <w:tabs>
              <w:tab w:val="right" w:leader="dot" w:pos="9016"/>
            </w:tabs>
            <w:rPr>
              <w:rFonts w:eastAsiaTheme="minorEastAsia"/>
              <w:noProof/>
              <w:sz w:val="24"/>
              <w:szCs w:val="24"/>
              <w:lang w:eastAsia="en-GB"/>
            </w:rPr>
          </w:pPr>
          <w:hyperlink w:anchor="_Toc215394612" w:history="1">
            <w:r w:rsidRPr="006526F6">
              <w:rPr>
                <w:rStyle w:val="Hyperlink"/>
                <w:noProof/>
              </w:rPr>
              <w:t>5. References</w:t>
            </w:r>
            <w:r>
              <w:rPr>
                <w:noProof/>
                <w:webHidden/>
              </w:rPr>
              <w:tab/>
            </w:r>
            <w:r>
              <w:rPr>
                <w:noProof/>
                <w:webHidden/>
              </w:rPr>
              <w:fldChar w:fldCharType="begin"/>
            </w:r>
            <w:r>
              <w:rPr>
                <w:noProof/>
                <w:webHidden/>
              </w:rPr>
              <w:instrText xml:space="preserve"> PAGEREF _Toc215394612 \h </w:instrText>
            </w:r>
            <w:r>
              <w:rPr>
                <w:noProof/>
                <w:webHidden/>
              </w:rPr>
            </w:r>
            <w:r>
              <w:rPr>
                <w:noProof/>
                <w:webHidden/>
              </w:rPr>
              <w:fldChar w:fldCharType="separate"/>
            </w:r>
            <w:r>
              <w:rPr>
                <w:noProof/>
                <w:webHidden/>
              </w:rPr>
              <w:t>15</w:t>
            </w:r>
            <w:r>
              <w:rPr>
                <w:noProof/>
                <w:webHidden/>
              </w:rPr>
              <w:fldChar w:fldCharType="end"/>
            </w:r>
          </w:hyperlink>
        </w:p>
        <w:p w14:paraId="125E0480" w14:textId="64C3E9BE" w:rsidR="00897852" w:rsidRDefault="00897852">
          <w:r>
            <w:rPr>
              <w:b/>
              <w:bCs/>
              <w:noProof/>
            </w:rPr>
            <w:fldChar w:fldCharType="end"/>
          </w:r>
        </w:p>
      </w:sdtContent>
    </w:sdt>
    <w:p w14:paraId="609F7935" w14:textId="77777777" w:rsidR="00897852" w:rsidRDefault="00897852">
      <w:pPr>
        <w:rPr>
          <w:rFonts w:ascii="Arial" w:eastAsiaTheme="majorEastAsia" w:hAnsi="Arial" w:cstheme="majorBidi"/>
          <w:sz w:val="32"/>
          <w:szCs w:val="40"/>
        </w:rPr>
      </w:pPr>
      <w:r>
        <w:br w:type="page"/>
      </w:r>
    </w:p>
    <w:p w14:paraId="2C73F483" w14:textId="0F73981E" w:rsidR="00DF2569" w:rsidRPr="00E8226E" w:rsidRDefault="00DF2569" w:rsidP="005277DB">
      <w:pPr>
        <w:pStyle w:val="Heading1"/>
      </w:pPr>
      <w:bookmarkStart w:id="0" w:name="_Toc215394603"/>
      <w:r w:rsidRPr="00E8226E">
        <w:lastRenderedPageBreak/>
        <w:t>Element 1: Business Idea, Products/Services, Objectives and USP</w:t>
      </w:r>
      <w:bookmarkEnd w:id="0"/>
    </w:p>
    <w:p w14:paraId="56E354C9" w14:textId="77777777" w:rsidR="00D24819" w:rsidRDefault="00D24819" w:rsidP="00941B3C">
      <w:pPr>
        <w:spacing w:line="360" w:lineRule="auto"/>
        <w:rPr>
          <w:rFonts w:ascii="Arial" w:hAnsi="Arial" w:cs="Arial"/>
          <w:sz w:val="24"/>
          <w:szCs w:val="24"/>
        </w:rPr>
      </w:pPr>
    </w:p>
    <w:p w14:paraId="31B54F41" w14:textId="3585538F" w:rsidR="00BD027D" w:rsidRDefault="00941B3C" w:rsidP="00941B3C">
      <w:pPr>
        <w:spacing w:line="360" w:lineRule="auto"/>
        <w:rPr>
          <w:rFonts w:ascii="Arial" w:hAnsi="Arial" w:cs="Arial"/>
          <w:sz w:val="24"/>
          <w:szCs w:val="24"/>
        </w:rPr>
      </w:pPr>
      <w:r w:rsidRPr="00941B3C">
        <w:rPr>
          <w:rFonts w:ascii="Arial" w:hAnsi="Arial" w:cs="Arial"/>
          <w:sz w:val="24"/>
          <w:szCs w:val="24"/>
        </w:rPr>
        <w:t>Mission</w:t>
      </w:r>
    </w:p>
    <w:p w14:paraId="336477ED" w14:textId="4788F8B5" w:rsidR="00941B3C" w:rsidRPr="00941B3C" w:rsidRDefault="00E45387" w:rsidP="00941B3C">
      <w:pPr>
        <w:spacing w:line="360" w:lineRule="auto"/>
        <w:rPr>
          <w:rFonts w:ascii="Arial" w:hAnsi="Arial" w:cs="Arial"/>
          <w:sz w:val="24"/>
          <w:szCs w:val="24"/>
        </w:rPr>
      </w:pPr>
      <w:r>
        <w:rPr>
          <w:rFonts w:ascii="Arial" w:hAnsi="Arial" w:cs="Arial"/>
          <w:sz w:val="24"/>
          <w:szCs w:val="24"/>
        </w:rPr>
        <w:t>Our mission is to turn treasured personal moments into enduring wall art and handcrafted albums, generating tangible memories that last for generations.</w:t>
      </w:r>
    </w:p>
    <w:p w14:paraId="00C7176C" w14:textId="77777777" w:rsidR="00BD027D" w:rsidRDefault="00941B3C" w:rsidP="00941B3C">
      <w:pPr>
        <w:spacing w:line="360" w:lineRule="auto"/>
        <w:rPr>
          <w:rFonts w:ascii="Arial" w:hAnsi="Arial" w:cs="Arial"/>
          <w:sz w:val="24"/>
          <w:szCs w:val="24"/>
        </w:rPr>
      </w:pPr>
      <w:r w:rsidRPr="00941B3C">
        <w:rPr>
          <w:rFonts w:ascii="Arial" w:hAnsi="Arial" w:cs="Arial"/>
          <w:sz w:val="24"/>
          <w:szCs w:val="24"/>
        </w:rPr>
        <w:t>Vision</w:t>
      </w:r>
    </w:p>
    <w:p w14:paraId="30597EA3" w14:textId="06323116" w:rsidR="00941B3C" w:rsidRPr="00941B3C" w:rsidRDefault="00E45387" w:rsidP="00941B3C">
      <w:pPr>
        <w:spacing w:line="360" w:lineRule="auto"/>
        <w:rPr>
          <w:rFonts w:ascii="Arial" w:hAnsi="Arial" w:cs="Arial"/>
          <w:sz w:val="24"/>
          <w:szCs w:val="24"/>
        </w:rPr>
      </w:pPr>
      <w:r>
        <w:rPr>
          <w:rFonts w:ascii="Arial" w:hAnsi="Arial" w:cs="Arial"/>
          <w:i/>
          <w:iCs/>
          <w:sz w:val="24"/>
          <w:szCs w:val="24"/>
        </w:rPr>
        <w:t>Our goal is to capture and preserve meaningful moments with exceptional, timeless handcrafted wall art and artisanal photo albums, turning memories into lasting legacies. Motivated by a passion for nature, we plan to offer immersive workshops on nature and wildlife, aiming to increase awareness of environmental beauty and the threats endangered species face. These initiatives are designed to inspire conservation and foster a deeper connection with nature in everyone who experiences our work.</w:t>
      </w:r>
    </w:p>
    <w:p w14:paraId="0626132A" w14:textId="5FC7225E" w:rsidR="00C14B03" w:rsidRDefault="00E45387" w:rsidP="00941B3C">
      <w:pPr>
        <w:spacing w:line="360" w:lineRule="auto"/>
        <w:rPr>
          <w:rFonts w:ascii="Arial" w:hAnsi="Arial" w:cs="Arial"/>
          <w:sz w:val="24"/>
          <w:szCs w:val="24"/>
        </w:rPr>
      </w:pPr>
      <w:r>
        <w:rPr>
          <w:rFonts w:ascii="Arial" w:hAnsi="Arial" w:cs="Arial"/>
          <w:sz w:val="24"/>
          <w:szCs w:val="24"/>
        </w:rPr>
        <w:t>Positioning the venture as a premium, sole-photographer studio makes strategic sense when resources and processes reliably turn uncertainty into consistent results (Johnson, Scholes, and Whittington, 2020). The brand highlights authenticity, speed, and trust, supported by two Nikon Z9 cameras (for redundancy and low-light performance), fast primes and telephotos (20 mm f/1.8; 50 mm f/1.4; 85 mm f/1.4; 105 mm macro; 300 mm f/2.8), a calibrated Windows editing laptop for efficient RAW and video workflows, and a car for reliable on-location delivery. Strategy experts suggest that a defendable advantage comes from aligning capabilities with a clear value proposition</w:t>
      </w:r>
      <w:r w:rsidR="00D24819">
        <w:rPr>
          <w:rFonts w:ascii="Arial" w:hAnsi="Arial" w:cs="Arial"/>
          <w:sz w:val="24"/>
          <w:szCs w:val="24"/>
        </w:rPr>
        <w:t>. Here</w:t>
      </w:r>
      <w:r>
        <w:rPr>
          <w:rFonts w:ascii="Arial" w:hAnsi="Arial" w:cs="Arial"/>
          <w:sz w:val="24"/>
          <w:szCs w:val="24"/>
        </w:rPr>
        <w:t xml:space="preserve">, precision and artistry </w:t>
      </w:r>
      <w:r w:rsidR="00D24819">
        <w:rPr>
          <w:rFonts w:ascii="Arial" w:hAnsi="Arial" w:cs="Arial"/>
          <w:sz w:val="24"/>
          <w:szCs w:val="24"/>
        </w:rPr>
        <w:t xml:space="preserve">are </w:t>
      </w:r>
      <w:r>
        <w:rPr>
          <w:rFonts w:ascii="Arial" w:hAnsi="Arial" w:cs="Arial"/>
          <w:sz w:val="24"/>
          <w:szCs w:val="24"/>
        </w:rPr>
        <w:t xml:space="preserve">achieved through disciplined, client-focused processes rather than </w:t>
      </w:r>
      <w:r w:rsidR="00D24819">
        <w:rPr>
          <w:rFonts w:ascii="Arial" w:hAnsi="Arial" w:cs="Arial"/>
          <w:sz w:val="24"/>
          <w:szCs w:val="24"/>
        </w:rPr>
        <w:t xml:space="preserve">through price competition </w:t>
      </w:r>
      <w:r>
        <w:rPr>
          <w:rFonts w:ascii="Arial" w:hAnsi="Arial" w:cs="Arial"/>
          <w:sz w:val="24"/>
          <w:szCs w:val="24"/>
        </w:rPr>
        <w:t>(Campbell, 2021).</w:t>
      </w:r>
    </w:p>
    <w:p w14:paraId="0A9BA1B1" w14:textId="7DB9F338" w:rsidR="00941B3C" w:rsidRDefault="00E45387" w:rsidP="00941B3C">
      <w:pPr>
        <w:spacing w:line="360" w:lineRule="auto"/>
        <w:rPr>
          <w:rFonts w:ascii="Arial" w:hAnsi="Arial" w:cs="Arial"/>
          <w:sz w:val="24"/>
          <w:szCs w:val="24"/>
        </w:rPr>
      </w:pPr>
      <w:r>
        <w:rPr>
          <w:rFonts w:ascii="Arial" w:hAnsi="Arial" w:cs="Arial"/>
          <w:sz w:val="24"/>
          <w:szCs w:val="24"/>
        </w:rPr>
        <w:t xml:space="preserve">Providing clearly defined service scopes boosts perceived value and reduces variability (Kotler et al., 2020). The offerings include portraits (location sessions with pre-consultation, mood guidance, and a set of planned images), dog photography (focused on welfare and capturing personality-led moments), and events (documentary coverage with refined portrait segments and quick delivery). Wildlife workshops enhance skills through guided learning and ethical fieldcraft, starting in Norfolk and expanding to other venues. Long-lens access can be purchased or </w:t>
      </w:r>
      <w:r>
        <w:rPr>
          <w:rFonts w:ascii="Arial" w:hAnsi="Arial" w:cs="Arial"/>
          <w:sz w:val="24"/>
          <w:szCs w:val="24"/>
        </w:rPr>
        <w:lastRenderedPageBreak/>
        <w:t>rented as demand grows. The service blueprint formalises backstage processes, planning tools, dual-card capture, immediate backup, and editing presets. It highlights that the “product” is the experience and outcome, not just the files (Sood, 2017).</w:t>
      </w:r>
    </w:p>
    <w:p w14:paraId="09539BCD" w14:textId="01AFC8B7" w:rsidR="00C14B03" w:rsidRPr="00941B3C" w:rsidRDefault="00C14B03" w:rsidP="00941B3C">
      <w:pPr>
        <w:spacing w:line="360" w:lineRule="auto"/>
        <w:rPr>
          <w:rFonts w:ascii="Arial" w:hAnsi="Arial" w:cs="Arial"/>
          <w:sz w:val="24"/>
          <w:szCs w:val="24"/>
        </w:rPr>
      </w:pPr>
      <w:r>
        <w:rPr>
          <w:noProof/>
        </w:rPr>
        <w:drawing>
          <wp:inline distT="0" distB="0" distL="0" distR="0" wp14:anchorId="0329E7BA" wp14:editId="4AB1F765">
            <wp:extent cx="1463104" cy="1828800"/>
            <wp:effectExtent l="0" t="0" r="3810" b="0"/>
            <wp:docPr id="194989398" name="Picture 3" descr="A person in a suit and glas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89398" name="Picture 3" descr="A person in a suit and glasses&#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471124" cy="1838825"/>
                    </a:xfrm>
                    <a:prstGeom prst="rect">
                      <a:avLst/>
                    </a:prstGeom>
                    <a:noFill/>
                    <a:ln>
                      <a:noFill/>
                    </a:ln>
                  </pic:spPr>
                </pic:pic>
              </a:graphicData>
            </a:graphic>
          </wp:inline>
        </w:drawing>
      </w:r>
      <w:r>
        <w:rPr>
          <w:noProof/>
        </w:rPr>
        <w:drawing>
          <wp:inline distT="0" distB="0" distL="0" distR="0" wp14:anchorId="45654922" wp14:editId="6A975558">
            <wp:extent cx="1450372" cy="1814170"/>
            <wp:effectExtent l="0" t="0" r="0" b="0"/>
            <wp:docPr id="1797434697" name="Picture 4" descr="A dog wearing a yellow v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434697" name="Picture 4" descr="A dog wearing a yellow ves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468768" cy="1837181"/>
                    </a:xfrm>
                    <a:prstGeom prst="rect">
                      <a:avLst/>
                    </a:prstGeom>
                    <a:noFill/>
                    <a:ln>
                      <a:noFill/>
                    </a:ln>
                  </pic:spPr>
                </pic:pic>
              </a:graphicData>
            </a:graphic>
          </wp:inline>
        </w:drawing>
      </w:r>
      <w:r>
        <w:rPr>
          <w:noProof/>
        </w:rPr>
        <w:drawing>
          <wp:inline distT="0" distB="0" distL="0" distR="0" wp14:anchorId="565A942D" wp14:editId="74BF511A">
            <wp:extent cx="1462975" cy="1828800"/>
            <wp:effectExtent l="0" t="0" r="4445" b="0"/>
            <wp:docPr id="1477817192" name="Picture 5" descr="A dog running in a grass fie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817192" name="Picture 5" descr="A dog running in a grass fiel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69739" cy="1837255"/>
                    </a:xfrm>
                    <a:prstGeom prst="rect">
                      <a:avLst/>
                    </a:prstGeom>
                    <a:noFill/>
                    <a:ln>
                      <a:noFill/>
                    </a:ln>
                  </pic:spPr>
                </pic:pic>
              </a:graphicData>
            </a:graphic>
          </wp:inline>
        </w:drawing>
      </w:r>
      <w:r w:rsidR="00DB6A03">
        <w:rPr>
          <w:noProof/>
        </w:rPr>
        <w:drawing>
          <wp:inline distT="0" distB="0" distL="0" distR="0" wp14:anchorId="46D3CC48" wp14:editId="15AA4E76">
            <wp:extent cx="4381170" cy="2050307"/>
            <wp:effectExtent l="0" t="0" r="635" b="7620"/>
            <wp:docPr id="877759203" name="Picture 7" descr="A child holding a pers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759203" name="Picture 7" descr="A child holding a person&#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97814" cy="2058096"/>
                    </a:xfrm>
                    <a:prstGeom prst="rect">
                      <a:avLst/>
                    </a:prstGeom>
                    <a:noFill/>
                    <a:ln>
                      <a:noFill/>
                    </a:ln>
                  </pic:spPr>
                </pic:pic>
              </a:graphicData>
            </a:graphic>
          </wp:inline>
        </w:drawing>
      </w:r>
      <w:r w:rsidR="00C44B22" w:rsidRPr="00C44B22">
        <w:rPr>
          <w:rFonts w:ascii="Arial" w:hAnsi="Arial" w:cs="Arial"/>
          <w:noProof/>
          <w:sz w:val="24"/>
          <w:szCs w:val="24"/>
        </w:rPr>
        <w:drawing>
          <wp:inline distT="0" distB="0" distL="0" distR="0" wp14:anchorId="1FCCCF70" wp14:editId="3363D33D">
            <wp:extent cx="4382299" cy="3041294"/>
            <wp:effectExtent l="0" t="0" r="0" b="6985"/>
            <wp:docPr id="1479068759" name="Picture 1" descr="A bride and groom kis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068759" name="Picture 1" descr="A bride and groom kissi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17032" cy="3065398"/>
                    </a:xfrm>
                    <a:prstGeom prst="rect">
                      <a:avLst/>
                    </a:prstGeom>
                    <a:noFill/>
                    <a:ln>
                      <a:noFill/>
                    </a:ln>
                  </pic:spPr>
                </pic:pic>
              </a:graphicData>
            </a:graphic>
          </wp:inline>
        </w:drawing>
      </w:r>
    </w:p>
    <w:p w14:paraId="0F96C145" w14:textId="5A5181A0" w:rsidR="00941B3C" w:rsidRPr="00941B3C" w:rsidRDefault="00E45387" w:rsidP="00941B3C">
      <w:pPr>
        <w:spacing w:line="360" w:lineRule="auto"/>
        <w:rPr>
          <w:rFonts w:ascii="Arial" w:hAnsi="Arial" w:cs="Arial"/>
          <w:sz w:val="24"/>
          <w:szCs w:val="24"/>
        </w:rPr>
      </w:pPr>
      <w:r>
        <w:rPr>
          <w:rFonts w:ascii="Arial" w:hAnsi="Arial" w:cs="Arial"/>
          <w:sz w:val="24"/>
          <w:szCs w:val="24"/>
        </w:rPr>
        <w:lastRenderedPageBreak/>
        <w:t>Objectives are clearly staged and measurable</w:t>
      </w:r>
      <w:r w:rsidR="005277DB">
        <w:rPr>
          <w:rFonts w:ascii="Arial" w:hAnsi="Arial" w:cs="Arial"/>
          <w:sz w:val="24"/>
          <w:szCs w:val="24"/>
        </w:rPr>
        <w:t>, connecting</w:t>
      </w:r>
      <w:r>
        <w:rPr>
          <w:rFonts w:ascii="Arial" w:hAnsi="Arial" w:cs="Arial"/>
          <w:sz w:val="24"/>
          <w:szCs w:val="24"/>
        </w:rPr>
        <w:t xml:space="preserve"> market entry with financial resilience. In the first year, the studio aims to launch a conversion-ready website, partner with three local referral sources</w:t>
      </w:r>
      <w:r w:rsidR="005277DB">
        <w:rPr>
          <w:rFonts w:ascii="Arial" w:hAnsi="Arial" w:cs="Arial"/>
          <w:sz w:val="24"/>
          <w:szCs w:val="24"/>
        </w:rPr>
        <w:t>,</w:t>
      </w:r>
      <w:r>
        <w:rPr>
          <w:rFonts w:ascii="Arial" w:hAnsi="Arial" w:cs="Arial"/>
          <w:sz w:val="24"/>
          <w:szCs w:val="24"/>
        </w:rPr>
        <w:t xml:space="preserve"> such as venues and pet boutiques, publish ten case studies to establish authority, and achieve breakeven by month six. The commercial target includes acquiring 20–30 paid clients </w:t>
      </w:r>
      <w:r w:rsidR="005277DB">
        <w:rPr>
          <w:rFonts w:ascii="Arial" w:hAnsi="Arial" w:cs="Arial"/>
          <w:sz w:val="24"/>
          <w:szCs w:val="24"/>
        </w:rPr>
        <w:t>for portrait sessions, dog photography, and events, and</w:t>
      </w:r>
      <w:r>
        <w:rPr>
          <w:rFonts w:ascii="Arial" w:hAnsi="Arial" w:cs="Arial"/>
          <w:sz w:val="24"/>
          <w:szCs w:val="24"/>
        </w:rPr>
        <w:t xml:space="preserve"> conducting two pilot wildlife workshops to assess demand (Blackwell, 2011). In the longer term, growth will depend on building </w:t>
      </w:r>
      <w:r w:rsidR="00402D12">
        <w:rPr>
          <w:rFonts w:ascii="Arial" w:hAnsi="Arial" w:cs="Arial"/>
          <w:sz w:val="24"/>
          <w:szCs w:val="24"/>
        </w:rPr>
        <w:t>a reputation through reviews and case studies, improving service packages, and developing recurring offerings such as</w:t>
      </w:r>
      <w:r>
        <w:rPr>
          <w:rFonts w:ascii="Arial" w:hAnsi="Arial" w:cs="Arial"/>
          <w:sz w:val="24"/>
          <w:szCs w:val="24"/>
        </w:rPr>
        <w:t xml:space="preserve"> seasonal minis and headshot days. Pricing and add-ons will be carefully designed to protect margins as demand grows (Williams, 2022).</w:t>
      </w:r>
    </w:p>
    <w:p w14:paraId="25812FDC" w14:textId="55142554" w:rsidR="00941B3C" w:rsidRDefault="00E45387" w:rsidP="00941B3C">
      <w:pPr>
        <w:spacing w:line="360" w:lineRule="auto"/>
        <w:rPr>
          <w:rFonts w:ascii="Arial" w:hAnsi="Arial" w:cs="Arial"/>
          <w:sz w:val="24"/>
          <w:szCs w:val="24"/>
        </w:rPr>
      </w:pPr>
      <w:r>
        <w:rPr>
          <w:rFonts w:ascii="Arial" w:hAnsi="Arial" w:cs="Arial"/>
          <w:sz w:val="24"/>
          <w:szCs w:val="24"/>
        </w:rPr>
        <w:t xml:space="preserve">The USP needs to be both credible and easy to understand. Marketing research indicates that positioning </w:t>
      </w:r>
      <w:r w:rsidR="005277DB">
        <w:rPr>
          <w:rFonts w:ascii="Arial" w:hAnsi="Arial" w:cs="Arial"/>
          <w:sz w:val="24"/>
          <w:szCs w:val="24"/>
        </w:rPr>
        <w:t>is most effective</w:t>
      </w:r>
      <w:r>
        <w:rPr>
          <w:rFonts w:ascii="Arial" w:hAnsi="Arial" w:cs="Arial"/>
          <w:sz w:val="24"/>
          <w:szCs w:val="24"/>
        </w:rPr>
        <w:t xml:space="preserve"> when a clear promise is backed by resources and processes (Hooley et al., 2024). Here, the USP is: “Precision, artistry, and reliability, delivered through flagship Nikon technology and a calm, </w:t>
      </w:r>
      <w:r w:rsidR="007221C2">
        <w:rPr>
          <w:rFonts w:ascii="Arial" w:hAnsi="Arial" w:cs="Arial"/>
          <w:sz w:val="24"/>
          <w:szCs w:val="24"/>
        </w:rPr>
        <w:t>client-focused</w:t>
      </w:r>
      <w:r>
        <w:rPr>
          <w:rFonts w:ascii="Arial" w:hAnsi="Arial" w:cs="Arial"/>
          <w:sz w:val="24"/>
          <w:szCs w:val="24"/>
        </w:rPr>
        <w:t xml:space="preserve"> workflow.” Redundancy (dual Z9), enhanced </w:t>
      </w:r>
      <w:r w:rsidR="005277DB">
        <w:rPr>
          <w:rFonts w:ascii="Arial" w:hAnsi="Arial" w:cs="Arial"/>
          <w:sz w:val="24"/>
          <w:szCs w:val="24"/>
        </w:rPr>
        <w:t>lowlight</w:t>
      </w:r>
      <w:r>
        <w:rPr>
          <w:rFonts w:ascii="Arial" w:hAnsi="Arial" w:cs="Arial"/>
          <w:sz w:val="24"/>
          <w:szCs w:val="24"/>
        </w:rPr>
        <w:t xml:space="preserve"> and action performance (fast primes/telephotos), and consistent post-production (calibrated laptop, presets, QA gates) turn risk management into added value. Creating tangible products</w:t>
      </w:r>
      <w:r w:rsidR="005277DB">
        <w:rPr>
          <w:rFonts w:ascii="Arial" w:hAnsi="Arial" w:cs="Arial"/>
          <w:sz w:val="24"/>
          <w:szCs w:val="24"/>
        </w:rPr>
        <w:t>, such as handcrafted albums and wall art, aligns</w:t>
      </w:r>
      <w:r>
        <w:rPr>
          <w:rFonts w:ascii="Arial" w:hAnsi="Arial" w:cs="Arial"/>
          <w:sz w:val="24"/>
          <w:szCs w:val="24"/>
        </w:rPr>
        <w:t xml:space="preserve"> the brand’s mission with market expectations, turning premium craftsmanship into lasting legacies for clients (Fifield, 2020). Additionally, trust factors, clear contracts, consent and licensing, and GDPR-compliant data handling meet rising social and cultural standards for ethical practices and boost professional reliability (Dawson, 2015).</w:t>
      </w:r>
    </w:p>
    <w:p w14:paraId="7528CB99" w14:textId="0C5CE30C" w:rsidR="00B029A5" w:rsidRPr="00941B3C" w:rsidRDefault="00B029A5" w:rsidP="00941B3C">
      <w:pPr>
        <w:spacing w:line="360" w:lineRule="auto"/>
        <w:rPr>
          <w:rFonts w:ascii="Arial" w:hAnsi="Arial" w:cs="Arial"/>
          <w:sz w:val="24"/>
          <w:szCs w:val="24"/>
        </w:rPr>
      </w:pPr>
      <w:r w:rsidRPr="00B029A5">
        <w:rPr>
          <w:rFonts w:ascii="Arial" w:hAnsi="Arial" w:cs="Arial"/>
          <w:noProof/>
          <w:sz w:val="24"/>
          <w:szCs w:val="24"/>
        </w:rPr>
        <w:drawing>
          <wp:inline distT="0" distB="0" distL="0" distR="0" wp14:anchorId="627F0811" wp14:editId="355E7028">
            <wp:extent cx="5731510" cy="1647825"/>
            <wp:effectExtent l="0" t="0" r="2540" b="9525"/>
            <wp:docPr id="1718440139" name="Picture 1" descr="A collage of a photo albu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8440139" name="Picture 1" descr="A collage of a photo album&#10;&#10;AI-generated content may be incorrect."/>
                    <pic:cNvPicPr/>
                  </pic:nvPicPr>
                  <pic:blipFill>
                    <a:blip r:embed="rId12"/>
                    <a:stretch>
                      <a:fillRect/>
                    </a:stretch>
                  </pic:blipFill>
                  <pic:spPr>
                    <a:xfrm>
                      <a:off x="0" y="0"/>
                      <a:ext cx="5731510" cy="1647825"/>
                    </a:xfrm>
                    <a:prstGeom prst="rect">
                      <a:avLst/>
                    </a:prstGeom>
                  </pic:spPr>
                </pic:pic>
              </a:graphicData>
            </a:graphic>
          </wp:inline>
        </w:drawing>
      </w:r>
    </w:p>
    <w:p w14:paraId="5481E355" w14:textId="04A46FDB" w:rsidR="00B029A5" w:rsidRDefault="00B029A5" w:rsidP="00941B3C">
      <w:pPr>
        <w:spacing w:line="360" w:lineRule="auto"/>
        <w:rPr>
          <w:rFonts w:ascii="Arial" w:hAnsi="Arial" w:cs="Arial"/>
          <w:sz w:val="24"/>
          <w:szCs w:val="24"/>
        </w:rPr>
      </w:pPr>
      <w:r w:rsidRPr="00B029A5">
        <w:rPr>
          <w:rFonts w:ascii="Arial" w:hAnsi="Arial" w:cs="Arial"/>
          <w:sz w:val="24"/>
          <w:szCs w:val="24"/>
        </w:rPr>
        <w:t>(</w:t>
      </w:r>
      <w:proofErr w:type="spellStart"/>
      <w:r w:rsidRPr="00B029A5">
        <w:rPr>
          <w:rFonts w:ascii="Arial" w:hAnsi="Arial" w:cs="Arial"/>
          <w:sz w:val="24"/>
          <w:szCs w:val="24"/>
        </w:rPr>
        <w:t>n</w:t>
      </w:r>
      <w:r>
        <w:rPr>
          <w:rFonts w:ascii="Arial" w:hAnsi="Arial" w:cs="Arial"/>
          <w:sz w:val="24"/>
          <w:szCs w:val="24"/>
        </w:rPr>
        <w:t>P</w:t>
      </w:r>
      <w:r w:rsidRPr="00B029A5">
        <w:rPr>
          <w:rFonts w:ascii="Arial" w:hAnsi="Arial" w:cs="Arial"/>
          <w:sz w:val="24"/>
          <w:szCs w:val="24"/>
        </w:rPr>
        <w:t>hoto</w:t>
      </w:r>
      <w:proofErr w:type="spellEnd"/>
      <w:r w:rsidRPr="00B029A5">
        <w:rPr>
          <w:rFonts w:ascii="Arial" w:hAnsi="Arial" w:cs="Arial"/>
          <w:sz w:val="24"/>
          <w:szCs w:val="24"/>
        </w:rPr>
        <w:t>, no date)</w:t>
      </w:r>
    </w:p>
    <w:p w14:paraId="7C728E63" w14:textId="423C1747" w:rsidR="004E38ED" w:rsidRDefault="004E38ED" w:rsidP="00941B3C">
      <w:pPr>
        <w:spacing w:line="360" w:lineRule="auto"/>
        <w:rPr>
          <w:rFonts w:ascii="Arial" w:hAnsi="Arial" w:cs="Arial"/>
          <w:sz w:val="24"/>
          <w:szCs w:val="24"/>
        </w:rPr>
      </w:pPr>
      <w:r w:rsidRPr="004E38ED">
        <w:rPr>
          <w:rFonts w:ascii="Arial" w:hAnsi="Arial" w:cs="Arial"/>
          <w:noProof/>
          <w:sz w:val="24"/>
          <w:szCs w:val="24"/>
        </w:rPr>
        <w:lastRenderedPageBreak/>
        <w:drawing>
          <wp:inline distT="0" distB="0" distL="0" distR="0" wp14:anchorId="1655E692" wp14:editId="2EC2BD00">
            <wp:extent cx="5731510" cy="2480310"/>
            <wp:effectExtent l="0" t="0" r="2540" b="0"/>
            <wp:docPr id="1339660656" name="Picture 1" descr="A group of small notebooks with a photo of a bab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660656" name="Picture 1" descr="A group of small notebooks with a photo of a baby&#10;&#10;AI-generated content may be incorrect."/>
                    <pic:cNvPicPr/>
                  </pic:nvPicPr>
                  <pic:blipFill>
                    <a:blip r:embed="rId13"/>
                    <a:stretch>
                      <a:fillRect/>
                    </a:stretch>
                  </pic:blipFill>
                  <pic:spPr>
                    <a:xfrm>
                      <a:off x="0" y="0"/>
                      <a:ext cx="5731510" cy="2480310"/>
                    </a:xfrm>
                    <a:prstGeom prst="rect">
                      <a:avLst/>
                    </a:prstGeom>
                  </pic:spPr>
                </pic:pic>
              </a:graphicData>
            </a:graphic>
          </wp:inline>
        </w:drawing>
      </w:r>
    </w:p>
    <w:p w14:paraId="35F09DF6" w14:textId="77777777" w:rsidR="004E38ED" w:rsidRDefault="004E38ED" w:rsidP="004E38ED">
      <w:pPr>
        <w:spacing w:line="360" w:lineRule="auto"/>
        <w:rPr>
          <w:rFonts w:ascii="Arial" w:hAnsi="Arial" w:cs="Arial"/>
          <w:sz w:val="24"/>
          <w:szCs w:val="24"/>
        </w:rPr>
      </w:pPr>
      <w:r w:rsidRPr="00B029A5">
        <w:rPr>
          <w:rFonts w:ascii="Arial" w:hAnsi="Arial" w:cs="Arial"/>
          <w:sz w:val="24"/>
          <w:szCs w:val="24"/>
        </w:rPr>
        <w:t>(</w:t>
      </w:r>
      <w:proofErr w:type="spellStart"/>
      <w:r w:rsidRPr="00B029A5">
        <w:rPr>
          <w:rFonts w:ascii="Arial" w:hAnsi="Arial" w:cs="Arial"/>
          <w:sz w:val="24"/>
          <w:szCs w:val="24"/>
        </w:rPr>
        <w:t>n</w:t>
      </w:r>
      <w:r>
        <w:rPr>
          <w:rFonts w:ascii="Arial" w:hAnsi="Arial" w:cs="Arial"/>
          <w:sz w:val="24"/>
          <w:szCs w:val="24"/>
        </w:rPr>
        <w:t>P</w:t>
      </w:r>
      <w:r w:rsidRPr="00B029A5">
        <w:rPr>
          <w:rFonts w:ascii="Arial" w:hAnsi="Arial" w:cs="Arial"/>
          <w:sz w:val="24"/>
          <w:szCs w:val="24"/>
        </w:rPr>
        <w:t>hoto</w:t>
      </w:r>
      <w:proofErr w:type="spellEnd"/>
      <w:r w:rsidRPr="00B029A5">
        <w:rPr>
          <w:rFonts w:ascii="Arial" w:hAnsi="Arial" w:cs="Arial"/>
          <w:sz w:val="24"/>
          <w:szCs w:val="24"/>
        </w:rPr>
        <w:t>, no date)</w:t>
      </w:r>
    </w:p>
    <w:p w14:paraId="58C8F85F" w14:textId="77777777" w:rsidR="00467AAF" w:rsidRDefault="00467AAF" w:rsidP="00941B3C">
      <w:pPr>
        <w:spacing w:line="360" w:lineRule="auto"/>
        <w:rPr>
          <w:rFonts w:ascii="Arial" w:hAnsi="Arial" w:cs="Arial"/>
          <w:sz w:val="24"/>
          <w:szCs w:val="24"/>
        </w:rPr>
      </w:pPr>
    </w:p>
    <w:p w14:paraId="6815E2D0" w14:textId="00CD0693" w:rsidR="00941B3C" w:rsidRDefault="00E45387" w:rsidP="00941B3C">
      <w:pPr>
        <w:spacing w:line="360" w:lineRule="auto"/>
        <w:rPr>
          <w:rFonts w:ascii="Arial" w:hAnsi="Arial" w:cs="Arial"/>
          <w:sz w:val="24"/>
          <w:szCs w:val="24"/>
        </w:rPr>
      </w:pPr>
      <w:r>
        <w:rPr>
          <w:rFonts w:ascii="Arial" w:hAnsi="Arial" w:cs="Arial"/>
          <w:sz w:val="24"/>
          <w:szCs w:val="24"/>
        </w:rPr>
        <w:t>This integrated strategy</w:t>
      </w:r>
      <w:r w:rsidR="00402D12">
        <w:rPr>
          <w:rFonts w:ascii="Arial" w:hAnsi="Arial" w:cs="Arial"/>
          <w:sz w:val="24"/>
          <w:szCs w:val="24"/>
        </w:rPr>
        <w:t>, combining resource alignment, service codification, phased objectives, and a strong USP,</w:t>
      </w:r>
      <w:r w:rsidR="00D24819">
        <w:rPr>
          <w:rFonts w:ascii="Arial" w:hAnsi="Arial" w:cs="Arial"/>
          <w:sz w:val="24"/>
          <w:szCs w:val="24"/>
        </w:rPr>
        <w:t xml:space="preserve"> </w:t>
      </w:r>
      <w:r>
        <w:rPr>
          <w:rFonts w:ascii="Arial" w:hAnsi="Arial" w:cs="Arial"/>
          <w:sz w:val="24"/>
          <w:szCs w:val="24"/>
        </w:rPr>
        <w:t>establishes a clear pathway into the premium tier. By highlighting reliability and results through process artefacts, guarantees, and tangible deliverables, the studio redirects comparisons from price to the confidence that clients desire in high-stakes, emotionally impactful projects (Kotler et al., 2020).</w:t>
      </w:r>
    </w:p>
    <w:p w14:paraId="1AB579F6" w14:textId="77777777" w:rsidR="00E45387" w:rsidRDefault="00E45387" w:rsidP="00941B3C">
      <w:pPr>
        <w:spacing w:line="360" w:lineRule="auto"/>
        <w:rPr>
          <w:rFonts w:ascii="Arial" w:hAnsi="Arial" w:cs="Arial"/>
          <w:sz w:val="24"/>
          <w:szCs w:val="24"/>
        </w:rPr>
      </w:pPr>
    </w:p>
    <w:p w14:paraId="70683502" w14:textId="77777777" w:rsidR="005E2EE9" w:rsidRPr="00941B3C" w:rsidRDefault="005E2EE9" w:rsidP="00941B3C">
      <w:pPr>
        <w:spacing w:line="360" w:lineRule="auto"/>
        <w:rPr>
          <w:rFonts w:ascii="Arial" w:hAnsi="Arial" w:cs="Arial"/>
          <w:sz w:val="24"/>
          <w:szCs w:val="24"/>
        </w:rPr>
      </w:pPr>
    </w:p>
    <w:p w14:paraId="18823946" w14:textId="77777777" w:rsidR="00DF2569" w:rsidRPr="00E8226E" w:rsidRDefault="00DF2569" w:rsidP="005277DB">
      <w:pPr>
        <w:pStyle w:val="Heading1"/>
      </w:pPr>
      <w:bookmarkStart w:id="1" w:name="_Toc215394604"/>
      <w:r w:rsidRPr="00E8226E">
        <w:t>Element 2: Business Environment &amp; Competitor Analysis</w:t>
      </w:r>
      <w:bookmarkEnd w:id="1"/>
    </w:p>
    <w:p w14:paraId="67859685" w14:textId="77777777" w:rsidR="00D24819" w:rsidRDefault="00D24819" w:rsidP="000C7A5D">
      <w:pPr>
        <w:spacing w:line="360" w:lineRule="auto"/>
        <w:rPr>
          <w:rFonts w:ascii="Arial" w:hAnsi="Arial" w:cs="Arial"/>
          <w:sz w:val="24"/>
          <w:szCs w:val="24"/>
        </w:rPr>
      </w:pPr>
    </w:p>
    <w:p w14:paraId="7B00980B" w14:textId="04A921E2" w:rsidR="000C7A5D" w:rsidRPr="000C7A5D" w:rsidRDefault="000C7A5D" w:rsidP="00D24819">
      <w:pPr>
        <w:pStyle w:val="Heading2"/>
      </w:pPr>
      <w:bookmarkStart w:id="2" w:name="_Toc215394605"/>
      <w:r w:rsidRPr="000C7A5D">
        <w:t>PESTEL</w:t>
      </w:r>
      <w:bookmarkEnd w:id="2"/>
    </w:p>
    <w:p w14:paraId="60D5CA6A" w14:textId="1144C4A4" w:rsidR="000C7A5D" w:rsidRPr="000C7A5D" w:rsidRDefault="00E45387" w:rsidP="000C7A5D">
      <w:pPr>
        <w:spacing w:line="360" w:lineRule="auto"/>
        <w:rPr>
          <w:rFonts w:ascii="Arial" w:hAnsi="Arial" w:cs="Arial"/>
          <w:sz w:val="24"/>
          <w:szCs w:val="24"/>
        </w:rPr>
      </w:pPr>
      <w:r>
        <w:rPr>
          <w:rFonts w:ascii="Arial" w:hAnsi="Arial" w:cs="Arial"/>
          <w:sz w:val="24"/>
          <w:szCs w:val="24"/>
        </w:rPr>
        <w:t>In the UK, small service businesses should incorporate contracts, usage licenses, and privacy policies into their value offerings rather than treating them solely as compliance tasks. While operating as a sole trader involves minimal administrative work, it also carries unlimited liability, risking assets in high-stakes situations. Moving to Ltd status once bookings stabilise improves liability protection and enhances credibility (Williams, 2022). Furthermore, adopting GDPR practices</w:t>
      </w:r>
      <w:r w:rsidR="00BC2D22">
        <w:rPr>
          <w:rFonts w:ascii="Arial" w:hAnsi="Arial" w:cs="Arial"/>
          <w:sz w:val="24"/>
          <w:szCs w:val="24"/>
        </w:rPr>
        <w:t xml:space="preserve">, such as obtaining consent, ensuring secure data storage, and establishing clear retention </w:t>
      </w:r>
      <w:r w:rsidR="00BC2D22">
        <w:rPr>
          <w:rFonts w:ascii="Arial" w:hAnsi="Arial" w:cs="Arial"/>
          <w:sz w:val="24"/>
          <w:szCs w:val="24"/>
        </w:rPr>
        <w:lastRenderedPageBreak/>
        <w:t>and deletion policies,</w:t>
      </w:r>
      <w:r>
        <w:rPr>
          <w:rFonts w:ascii="Arial" w:hAnsi="Arial" w:cs="Arial"/>
          <w:sz w:val="24"/>
          <w:szCs w:val="24"/>
        </w:rPr>
        <w:t xml:space="preserve"> helps build trust and reduces potential disputes (Dawson, 2015).</w:t>
      </w:r>
    </w:p>
    <w:p w14:paraId="04C33E6C" w14:textId="6F232BD0" w:rsidR="000C7A5D" w:rsidRPr="000C7A5D" w:rsidRDefault="005277DB" w:rsidP="000C7A5D">
      <w:pPr>
        <w:spacing w:line="360" w:lineRule="auto"/>
        <w:rPr>
          <w:rFonts w:ascii="Arial" w:hAnsi="Arial" w:cs="Arial"/>
          <w:sz w:val="24"/>
          <w:szCs w:val="24"/>
        </w:rPr>
      </w:pPr>
      <w:r>
        <w:rPr>
          <w:rFonts w:ascii="Arial" w:hAnsi="Arial" w:cs="Arial"/>
          <w:sz w:val="24"/>
          <w:szCs w:val="24"/>
        </w:rPr>
        <w:t>Economically</w:t>
      </w:r>
      <w:r w:rsidR="00E45387">
        <w:rPr>
          <w:rFonts w:ascii="Arial" w:hAnsi="Arial" w:cs="Arial"/>
          <w:sz w:val="24"/>
          <w:szCs w:val="24"/>
        </w:rPr>
        <w:t>, premium photography relies on discretionary spending and is influenced by market cycles. Strategy articles recommend avoiding price battles by highlighting reliability, clear outcomes, timelines, backups, and tangible deliverables so clients judge based on confidence rather than price (Fifield, 2020). In practice, maintaining a diverse portfolio</w:t>
      </w:r>
      <w:r>
        <w:rPr>
          <w:rFonts w:ascii="Arial" w:hAnsi="Arial" w:cs="Arial"/>
          <w:sz w:val="24"/>
          <w:szCs w:val="24"/>
        </w:rPr>
        <w:t xml:space="preserve">, </w:t>
      </w:r>
      <w:r w:rsidR="00E45387">
        <w:rPr>
          <w:rFonts w:ascii="Arial" w:hAnsi="Arial" w:cs="Arial"/>
          <w:sz w:val="24"/>
          <w:szCs w:val="24"/>
        </w:rPr>
        <w:t>such as portraits, dog shoots, events, and workshops</w:t>
      </w:r>
      <w:r>
        <w:rPr>
          <w:rFonts w:ascii="Arial" w:hAnsi="Arial" w:cs="Arial"/>
          <w:sz w:val="24"/>
          <w:szCs w:val="24"/>
        </w:rPr>
        <w:t xml:space="preserve">, </w:t>
      </w:r>
      <w:r w:rsidR="00E45387">
        <w:rPr>
          <w:rFonts w:ascii="Arial" w:hAnsi="Arial" w:cs="Arial"/>
          <w:sz w:val="24"/>
          <w:szCs w:val="24"/>
        </w:rPr>
        <w:t>helps balance seasonal fluctuations. Additionally, using deposits and staged payments safeguards cash flow (Blackwell, 2011).</w:t>
      </w:r>
    </w:p>
    <w:p w14:paraId="513E56A7" w14:textId="0E69B224" w:rsidR="000C7A5D" w:rsidRPr="000C7A5D" w:rsidRDefault="00E45387" w:rsidP="000C7A5D">
      <w:pPr>
        <w:spacing w:line="360" w:lineRule="auto"/>
        <w:rPr>
          <w:rFonts w:ascii="Arial" w:hAnsi="Arial" w:cs="Arial"/>
          <w:sz w:val="24"/>
          <w:szCs w:val="24"/>
        </w:rPr>
      </w:pPr>
      <w:r>
        <w:rPr>
          <w:rFonts w:ascii="Arial" w:hAnsi="Arial" w:cs="Arial"/>
          <w:sz w:val="24"/>
          <w:szCs w:val="24"/>
        </w:rPr>
        <w:t xml:space="preserve">Socio-cultural factors influence market demand, driven by the “experience economy” and the growing humanisation of pets. Concurrently, there is increasing emphasis on inclusivity, ethical practices, and authenticity (Kotler et al., 2020). By positioning the studio around consent-first storytelling and animal welfare protocols, the values </w:t>
      </w:r>
      <w:r w:rsidR="005277DB">
        <w:rPr>
          <w:rFonts w:ascii="Arial" w:hAnsi="Arial" w:cs="Arial"/>
          <w:sz w:val="24"/>
          <w:szCs w:val="24"/>
        </w:rPr>
        <w:t xml:space="preserve">align with the service design, enhancing differentiation beyond </w:t>
      </w:r>
      <w:r>
        <w:rPr>
          <w:rFonts w:ascii="Arial" w:hAnsi="Arial" w:cs="Arial"/>
          <w:sz w:val="24"/>
          <w:szCs w:val="24"/>
        </w:rPr>
        <w:t>aesthetics (Hooley et al., 2024).</w:t>
      </w:r>
    </w:p>
    <w:p w14:paraId="5F8F1EF4" w14:textId="25BCB537" w:rsidR="000C7A5D" w:rsidRPr="000C7A5D" w:rsidRDefault="00E45387" w:rsidP="000C7A5D">
      <w:pPr>
        <w:spacing w:line="360" w:lineRule="auto"/>
        <w:rPr>
          <w:rFonts w:ascii="Arial" w:hAnsi="Arial" w:cs="Arial"/>
          <w:sz w:val="24"/>
          <w:szCs w:val="24"/>
        </w:rPr>
      </w:pPr>
      <w:r>
        <w:rPr>
          <w:rFonts w:ascii="Arial" w:hAnsi="Arial" w:cs="Arial"/>
          <w:sz w:val="24"/>
          <w:szCs w:val="24"/>
        </w:rPr>
        <w:t>Technological advantages tend to spread quickly; maintaining a lasting competitive edge involves IT-enabled workflows, CRM, e-signature contracts, client galleries, review collection, and analytics that help standardise experience quality (Turban, Pollard and Wood, 2017). The dual Nikon Z9 cameras, along with fast lenses, telephotos, and a calibrated Windows laptop, are viewed as risk-management tools</w:t>
      </w:r>
      <w:r w:rsidR="006723A2">
        <w:rPr>
          <w:rFonts w:ascii="Arial" w:hAnsi="Arial" w:cs="Arial"/>
          <w:sz w:val="24"/>
          <w:szCs w:val="24"/>
        </w:rPr>
        <w:t xml:space="preserve"> that offer redundancy, low-light, and action capabilities, highlighting technology's role in reliability rather than just specifications (Johnson, Scholes,</w:t>
      </w:r>
      <w:r>
        <w:rPr>
          <w:rFonts w:ascii="Arial" w:hAnsi="Arial" w:cs="Arial"/>
          <w:sz w:val="24"/>
          <w:szCs w:val="24"/>
        </w:rPr>
        <w:t xml:space="preserve"> and Whittington, 2020).</w:t>
      </w:r>
    </w:p>
    <w:p w14:paraId="10A37220" w14:textId="00000186" w:rsidR="000C7A5D" w:rsidRPr="000C7A5D" w:rsidRDefault="00E45387" w:rsidP="000C7A5D">
      <w:pPr>
        <w:spacing w:line="360" w:lineRule="auto"/>
        <w:rPr>
          <w:rFonts w:ascii="Arial" w:hAnsi="Arial" w:cs="Arial"/>
          <w:sz w:val="24"/>
          <w:szCs w:val="24"/>
        </w:rPr>
      </w:pPr>
      <w:r>
        <w:rPr>
          <w:rFonts w:ascii="Arial" w:hAnsi="Arial" w:cs="Arial"/>
          <w:sz w:val="24"/>
          <w:szCs w:val="24"/>
        </w:rPr>
        <w:t xml:space="preserve">Outdoor portraits and wildlife workshops face weather and sustainability challenges. Implementing clear contingency plans, ethical fieldcraft, and </w:t>
      </w:r>
      <w:r w:rsidR="006723A2">
        <w:rPr>
          <w:rFonts w:ascii="Arial" w:hAnsi="Arial" w:cs="Arial"/>
          <w:sz w:val="24"/>
          <w:szCs w:val="24"/>
        </w:rPr>
        <w:t>leave-no-trace principles can reduce</w:t>
      </w:r>
      <w:r>
        <w:rPr>
          <w:rFonts w:ascii="Arial" w:hAnsi="Arial" w:cs="Arial"/>
          <w:sz w:val="24"/>
          <w:szCs w:val="24"/>
        </w:rPr>
        <w:t xml:space="preserve"> operational and reputational risks while enhancing the professionalism of the service (Dawson, 2015).</w:t>
      </w:r>
    </w:p>
    <w:p w14:paraId="5BB14561" w14:textId="6801FF1E" w:rsidR="00E45387" w:rsidRDefault="00E45387" w:rsidP="000C7A5D">
      <w:pPr>
        <w:spacing w:line="360" w:lineRule="auto"/>
        <w:rPr>
          <w:rFonts w:ascii="Arial" w:hAnsi="Arial" w:cs="Arial"/>
          <w:sz w:val="24"/>
          <w:szCs w:val="24"/>
        </w:rPr>
      </w:pPr>
      <w:r>
        <w:rPr>
          <w:rFonts w:ascii="Arial" w:hAnsi="Arial" w:cs="Arial"/>
          <w:sz w:val="24"/>
          <w:szCs w:val="24"/>
        </w:rPr>
        <w:t>Legal documentation, including licensing for corporate use, model releases for consumer projects, and clear print/album rights, helps avoid ambiguity and rework. In higher tiers, these elements serve both as indicators of professionalism and as protective measures (Law, 2016).</w:t>
      </w:r>
    </w:p>
    <w:p w14:paraId="03881DC4" w14:textId="77777777" w:rsidR="00D86400" w:rsidRPr="000C7A5D" w:rsidRDefault="00D86400" w:rsidP="000C7A5D">
      <w:pPr>
        <w:spacing w:line="360" w:lineRule="auto"/>
        <w:rPr>
          <w:rFonts w:ascii="Arial" w:hAnsi="Arial" w:cs="Arial"/>
          <w:sz w:val="24"/>
          <w:szCs w:val="24"/>
        </w:rPr>
      </w:pPr>
    </w:p>
    <w:p w14:paraId="2277910C" w14:textId="77777777" w:rsidR="000C7A5D" w:rsidRPr="00495E96" w:rsidRDefault="000C7A5D" w:rsidP="00D24819">
      <w:pPr>
        <w:pStyle w:val="Heading2"/>
      </w:pPr>
      <w:bookmarkStart w:id="3" w:name="_Toc215394606"/>
      <w:r w:rsidRPr="00495E96">
        <w:lastRenderedPageBreak/>
        <w:t>SWOT</w:t>
      </w:r>
      <w:bookmarkEnd w:id="3"/>
    </w:p>
    <w:p w14:paraId="60043CCB" w14:textId="47D28E2C" w:rsidR="000C7A5D" w:rsidRPr="00495E96" w:rsidRDefault="00E45387" w:rsidP="000C7A5D">
      <w:pPr>
        <w:spacing w:line="360" w:lineRule="auto"/>
        <w:rPr>
          <w:rFonts w:ascii="Arial" w:hAnsi="Arial" w:cs="Arial"/>
          <w:sz w:val="24"/>
          <w:szCs w:val="24"/>
        </w:rPr>
      </w:pPr>
      <w:r>
        <w:rPr>
          <w:rFonts w:ascii="Arial" w:hAnsi="Arial" w:cs="Arial"/>
          <w:sz w:val="24"/>
          <w:szCs w:val="24"/>
        </w:rPr>
        <w:t>Strengths include the studio’s well-aligned resources and processes, dual Z9 redundancy, low-light performance, disciplined workflow, and mobile support for reliable delivery in uncertain situations. The competitive edge is reinforced when a unique promise is backed by capability and process, rather than style (Hooley et al., 2024).</w:t>
      </w:r>
    </w:p>
    <w:p w14:paraId="1D9D23DF" w14:textId="4CDB7565" w:rsidR="000C7A5D" w:rsidRPr="00495E96" w:rsidRDefault="00E45387" w:rsidP="000C7A5D">
      <w:pPr>
        <w:spacing w:line="360" w:lineRule="auto"/>
        <w:rPr>
          <w:rFonts w:ascii="Arial" w:hAnsi="Arial" w:cs="Arial"/>
          <w:sz w:val="24"/>
          <w:szCs w:val="24"/>
        </w:rPr>
      </w:pPr>
      <w:r>
        <w:rPr>
          <w:rFonts w:ascii="Arial" w:hAnsi="Arial" w:cs="Arial"/>
          <w:sz w:val="24"/>
          <w:szCs w:val="24"/>
        </w:rPr>
        <w:t>Weaknesses. Start-up liabilities include limited brand equity and initially thin portfolios in specific niches. Planning guidance recommends reducing customer acquisition costs by partnering with venues and pet boutiques and by building credibility through detailed case stories (problem–approach–result) rather than generic galleries (Blackwell, 2011).</w:t>
      </w:r>
    </w:p>
    <w:p w14:paraId="3075D99C" w14:textId="53C4DF03" w:rsidR="000C7A5D" w:rsidRPr="00495E96" w:rsidRDefault="00E45387" w:rsidP="000C7A5D">
      <w:pPr>
        <w:spacing w:line="360" w:lineRule="auto"/>
        <w:rPr>
          <w:rFonts w:ascii="Arial" w:hAnsi="Arial" w:cs="Arial"/>
          <w:sz w:val="24"/>
          <w:szCs w:val="24"/>
        </w:rPr>
      </w:pPr>
      <w:r>
        <w:rPr>
          <w:rFonts w:ascii="Arial" w:hAnsi="Arial" w:cs="Arial"/>
          <w:sz w:val="24"/>
          <w:szCs w:val="24"/>
        </w:rPr>
        <w:t xml:space="preserve">Opportunities such as seasonal minis, headshot days, and guided wildlife workshops establish repeatable formats that produce content, reviews, and referrals. Pricing is justified </w:t>
      </w:r>
      <w:r w:rsidR="005277DB">
        <w:rPr>
          <w:rFonts w:ascii="Arial" w:hAnsi="Arial" w:cs="Arial"/>
          <w:sz w:val="24"/>
          <w:szCs w:val="24"/>
        </w:rPr>
        <w:t>by tangible outputs such as</w:t>
      </w:r>
      <w:r>
        <w:rPr>
          <w:rFonts w:ascii="Arial" w:hAnsi="Arial" w:cs="Arial"/>
          <w:sz w:val="24"/>
          <w:szCs w:val="24"/>
        </w:rPr>
        <w:t xml:space="preserve"> handcrafted albums and wall art, which convert craft into lasting value (Kotler et al., 2020).</w:t>
      </w:r>
    </w:p>
    <w:p w14:paraId="342A06F8" w14:textId="6C096DA3" w:rsidR="000C7A5D" w:rsidRPr="00495E96" w:rsidRDefault="00E45387" w:rsidP="000C7A5D">
      <w:pPr>
        <w:spacing w:line="360" w:lineRule="auto"/>
        <w:rPr>
          <w:rFonts w:ascii="Arial" w:hAnsi="Arial" w:cs="Arial"/>
          <w:sz w:val="24"/>
          <w:szCs w:val="24"/>
        </w:rPr>
      </w:pPr>
      <w:r>
        <w:rPr>
          <w:rFonts w:ascii="Arial" w:hAnsi="Arial" w:cs="Arial"/>
          <w:sz w:val="24"/>
          <w:szCs w:val="24"/>
        </w:rPr>
        <w:t xml:space="preserve">Threats include local rivalry, prosumer competition, and AI-assisted imaging, which foster </w:t>
      </w:r>
      <w:r w:rsidR="005277DB">
        <w:rPr>
          <w:rFonts w:ascii="Arial" w:hAnsi="Arial" w:cs="Arial"/>
          <w:sz w:val="24"/>
          <w:szCs w:val="24"/>
        </w:rPr>
        <w:t>perceptions of “good enough.”</w:t>
      </w:r>
      <w:r>
        <w:rPr>
          <w:rFonts w:ascii="Arial" w:hAnsi="Arial" w:cs="Arial"/>
          <w:sz w:val="24"/>
          <w:szCs w:val="24"/>
        </w:rPr>
        <w:t xml:space="preserve"> Strategy documents recommend shifting the focus from image quantity to process guarantees</w:t>
      </w:r>
      <w:r w:rsidR="0097104B">
        <w:rPr>
          <w:rFonts w:ascii="Arial" w:hAnsi="Arial" w:cs="Arial"/>
          <w:sz w:val="24"/>
          <w:szCs w:val="24"/>
        </w:rPr>
        <w:t xml:space="preserve">, </w:t>
      </w:r>
      <w:r>
        <w:rPr>
          <w:rFonts w:ascii="Arial" w:hAnsi="Arial" w:cs="Arial"/>
          <w:sz w:val="24"/>
          <w:szCs w:val="24"/>
        </w:rPr>
        <w:t>such as planning, backup, and turnaround times</w:t>
      </w:r>
      <w:r w:rsidR="004C026E">
        <w:rPr>
          <w:rFonts w:ascii="Arial" w:hAnsi="Arial" w:cs="Arial"/>
          <w:sz w:val="24"/>
          <w:szCs w:val="24"/>
        </w:rPr>
        <w:t xml:space="preserve">, </w:t>
      </w:r>
      <w:r>
        <w:rPr>
          <w:rFonts w:ascii="Arial" w:hAnsi="Arial" w:cs="Arial"/>
          <w:sz w:val="24"/>
          <w:szCs w:val="24"/>
        </w:rPr>
        <w:t>and establishing niche credibility, like welfare-aware dog photography (Fifield, 2020).</w:t>
      </w:r>
    </w:p>
    <w:p w14:paraId="4B5A3501" w14:textId="74742682" w:rsidR="000C7A5D" w:rsidRPr="00495E96" w:rsidRDefault="000C7A5D" w:rsidP="000C7A5D">
      <w:pPr>
        <w:spacing w:line="360" w:lineRule="auto"/>
        <w:rPr>
          <w:rFonts w:ascii="Arial" w:hAnsi="Arial" w:cs="Arial"/>
          <w:sz w:val="24"/>
          <w:szCs w:val="24"/>
        </w:rPr>
      </w:pPr>
    </w:p>
    <w:p w14:paraId="5EB04A31" w14:textId="77777777" w:rsidR="000C7A5D" w:rsidRPr="00495E96" w:rsidRDefault="000C7A5D" w:rsidP="00D24819">
      <w:pPr>
        <w:pStyle w:val="Heading2"/>
      </w:pPr>
      <w:bookmarkStart w:id="4" w:name="_Toc215394607"/>
      <w:r w:rsidRPr="00495E96">
        <w:t>Porter’s Five Forces</w:t>
      </w:r>
      <w:bookmarkEnd w:id="4"/>
    </w:p>
    <w:p w14:paraId="2C1B2A0B" w14:textId="396089C3" w:rsidR="000C7A5D" w:rsidRPr="00495E96" w:rsidRDefault="00E45387" w:rsidP="000C7A5D">
      <w:pPr>
        <w:spacing w:line="360" w:lineRule="auto"/>
        <w:rPr>
          <w:rFonts w:ascii="Arial" w:hAnsi="Arial" w:cs="Arial"/>
          <w:sz w:val="24"/>
          <w:szCs w:val="24"/>
        </w:rPr>
      </w:pPr>
      <w:r>
        <w:rPr>
          <w:rFonts w:ascii="Arial" w:hAnsi="Arial" w:cs="Arial"/>
          <w:sz w:val="24"/>
          <w:szCs w:val="24"/>
        </w:rPr>
        <w:t xml:space="preserve">Threat of new entrants: While entry is simple at the lower end, entering the premium segment convincingly requires </w:t>
      </w:r>
      <w:r w:rsidR="005277DB">
        <w:rPr>
          <w:rFonts w:ascii="Arial" w:hAnsi="Arial" w:cs="Arial"/>
          <w:sz w:val="24"/>
          <w:szCs w:val="24"/>
        </w:rPr>
        <w:t>redundant</w:t>
      </w:r>
      <w:r>
        <w:rPr>
          <w:rFonts w:ascii="Arial" w:hAnsi="Arial" w:cs="Arial"/>
          <w:sz w:val="24"/>
          <w:szCs w:val="24"/>
        </w:rPr>
        <w:t xml:space="preserve"> equipment, insurance, social proof, and formalised workflows. Here, the process acts as the barrier, not just the equipment (Campbell, 2021).</w:t>
      </w:r>
    </w:p>
    <w:p w14:paraId="2928C595" w14:textId="3F29C9FD" w:rsidR="000C7A5D" w:rsidRPr="00495E96" w:rsidRDefault="00E45387" w:rsidP="000C7A5D">
      <w:pPr>
        <w:spacing w:line="360" w:lineRule="auto"/>
        <w:rPr>
          <w:rFonts w:ascii="Arial" w:hAnsi="Arial" w:cs="Arial"/>
          <w:sz w:val="24"/>
          <w:szCs w:val="24"/>
        </w:rPr>
      </w:pPr>
      <w:r>
        <w:rPr>
          <w:rFonts w:ascii="Arial" w:hAnsi="Arial" w:cs="Arial"/>
          <w:sz w:val="24"/>
          <w:szCs w:val="24"/>
        </w:rPr>
        <w:t>Supplier power extends beyond camera retailers to platform providers such as CRM systems, galleries, and payment services, which can establish switching costs. Using interoperable tools and regularly exporting data can reduce this dependence (Turban, Pollard, and Wood, 2017). Additionally, selective lenses used in wildlife workshops help avoid long-term capital lock-in.</w:t>
      </w:r>
    </w:p>
    <w:p w14:paraId="1C30B9F3" w14:textId="05C0895D" w:rsidR="000C7A5D" w:rsidRPr="000C7A5D" w:rsidRDefault="00E45387" w:rsidP="000C7A5D">
      <w:pPr>
        <w:spacing w:line="360" w:lineRule="auto"/>
        <w:rPr>
          <w:rFonts w:ascii="Arial" w:hAnsi="Arial" w:cs="Arial"/>
          <w:sz w:val="24"/>
          <w:szCs w:val="24"/>
        </w:rPr>
      </w:pPr>
      <w:r>
        <w:rPr>
          <w:rFonts w:ascii="Arial" w:hAnsi="Arial" w:cs="Arial"/>
          <w:sz w:val="24"/>
          <w:szCs w:val="24"/>
        </w:rPr>
        <w:lastRenderedPageBreak/>
        <w:t xml:space="preserve">Buyer power is high when there are many options, leading buyers </w:t>
      </w:r>
      <w:r w:rsidR="005277DB">
        <w:rPr>
          <w:rFonts w:ascii="Arial" w:hAnsi="Arial" w:cs="Arial"/>
          <w:sz w:val="24"/>
          <w:szCs w:val="24"/>
        </w:rPr>
        <w:t>to compare portfolios quickly</w:t>
      </w:r>
      <w:r>
        <w:rPr>
          <w:rFonts w:ascii="Arial" w:hAnsi="Arial" w:cs="Arial"/>
          <w:sz w:val="24"/>
          <w:szCs w:val="24"/>
        </w:rPr>
        <w:t xml:space="preserve">. To stand out, value should be </w:t>
      </w:r>
      <w:r w:rsidR="00C44B22">
        <w:rPr>
          <w:rFonts w:ascii="Arial" w:hAnsi="Arial" w:cs="Arial"/>
          <w:sz w:val="24"/>
          <w:szCs w:val="24"/>
        </w:rPr>
        <w:t>straightforward</w:t>
      </w:r>
      <w:r>
        <w:rPr>
          <w:rFonts w:ascii="Arial" w:hAnsi="Arial" w:cs="Arial"/>
          <w:sz w:val="24"/>
          <w:szCs w:val="24"/>
        </w:rPr>
        <w:t xml:space="preserve"> to understand, covering pre-session consultations, timelines, backups, and tangible deliverables. This helps clients assess confidence in the service rather than focusing solely on hourly prices (Kotler et al., 2020).</w:t>
      </w:r>
    </w:p>
    <w:p w14:paraId="145A6A6F" w14:textId="1514F784" w:rsidR="000C7A5D" w:rsidRPr="00C44B22" w:rsidRDefault="00E45387" w:rsidP="000C7A5D">
      <w:pPr>
        <w:spacing w:line="360" w:lineRule="auto"/>
        <w:rPr>
          <w:rFonts w:ascii="Arial" w:hAnsi="Arial" w:cs="Arial"/>
          <w:sz w:val="24"/>
          <w:szCs w:val="24"/>
        </w:rPr>
      </w:pPr>
      <w:r w:rsidRPr="00C44B22">
        <w:rPr>
          <w:rFonts w:ascii="Arial" w:hAnsi="Arial" w:cs="Arial"/>
          <w:sz w:val="24"/>
          <w:szCs w:val="24"/>
        </w:rPr>
        <w:t>The threat of substitutes includes smartphones and AI, which meet casual needs. However, the counterpoint stresses the importance of complex lighting, challenging environments, event management, animal handling, and the emotional safety of professional delivery (Fifield, 2020).</w:t>
      </w:r>
    </w:p>
    <w:p w14:paraId="6BB1DEEA" w14:textId="1548AB5A" w:rsidR="000C7A5D" w:rsidRPr="000C7A5D" w:rsidRDefault="00E45387" w:rsidP="000C7A5D">
      <w:pPr>
        <w:spacing w:line="360" w:lineRule="auto"/>
        <w:rPr>
          <w:rFonts w:ascii="Arial" w:hAnsi="Arial" w:cs="Arial"/>
          <w:sz w:val="24"/>
          <w:szCs w:val="24"/>
        </w:rPr>
      </w:pPr>
      <w:r>
        <w:rPr>
          <w:rFonts w:ascii="Arial" w:hAnsi="Arial" w:cs="Arial"/>
          <w:sz w:val="24"/>
          <w:szCs w:val="24"/>
        </w:rPr>
        <w:t>Local rivalry is fierce and often driven by price. Moving beyond simple image counts, competition now focuses on reliability, narrative style, and tangible results, transforming albums and wall art from mere commodities into experiences based on trust (Hooley et al., 2024).</w:t>
      </w:r>
    </w:p>
    <w:p w14:paraId="75BA7CC5" w14:textId="653062F0" w:rsidR="00221445" w:rsidRPr="00E8226E" w:rsidRDefault="00E45387" w:rsidP="003E3929">
      <w:pPr>
        <w:spacing w:line="360" w:lineRule="auto"/>
        <w:rPr>
          <w:rFonts w:ascii="Arial" w:hAnsi="Arial" w:cs="Arial"/>
          <w:sz w:val="24"/>
          <w:szCs w:val="24"/>
        </w:rPr>
      </w:pPr>
      <w:r>
        <w:rPr>
          <w:rFonts w:ascii="Arial" w:hAnsi="Arial" w:cs="Arial"/>
          <w:sz w:val="24"/>
          <w:szCs w:val="24"/>
        </w:rPr>
        <w:t>Synthesis. Sustainable advantage arises from integrated resources and codified processes, redundancy, post-production discipline, ethical protocols, and IT-enabled client experience, rather than transient tech leads (Johnson, Scholes and Whittington, 2020).</w:t>
      </w:r>
    </w:p>
    <w:p w14:paraId="13BDA6CA" w14:textId="77777777" w:rsidR="00D9093B" w:rsidRDefault="00D9093B" w:rsidP="005277DB">
      <w:pPr>
        <w:pStyle w:val="Heading1"/>
      </w:pPr>
      <w:bookmarkStart w:id="5" w:name="_Toc215394608"/>
      <w:r w:rsidRPr="00D9093B">
        <w:t>Element 3: Market Segmentation, 4Ps of Marketing, and Online Marketing Strategies</w:t>
      </w:r>
      <w:bookmarkEnd w:id="5"/>
    </w:p>
    <w:p w14:paraId="2E0C58AF" w14:textId="77777777" w:rsidR="00D24819" w:rsidRPr="00D24819" w:rsidRDefault="00D24819" w:rsidP="00D24819"/>
    <w:p w14:paraId="434EB16B" w14:textId="2E018FC4" w:rsidR="004C1848" w:rsidRPr="004C1848" w:rsidRDefault="00E45387" w:rsidP="004C1848">
      <w:pPr>
        <w:spacing w:line="360" w:lineRule="auto"/>
        <w:rPr>
          <w:rFonts w:ascii="Arial" w:hAnsi="Arial" w:cs="Arial"/>
          <w:sz w:val="24"/>
          <w:szCs w:val="24"/>
        </w:rPr>
      </w:pPr>
      <w:bookmarkStart w:id="6" w:name="_Toc215394609"/>
      <w:r w:rsidRPr="00D24819">
        <w:rPr>
          <w:rStyle w:val="Heading2Char"/>
        </w:rPr>
        <w:t>Segmentation and target customers</w:t>
      </w:r>
      <w:bookmarkEnd w:id="6"/>
      <w:r>
        <w:rPr>
          <w:rFonts w:ascii="Arial" w:hAnsi="Arial" w:cs="Arial"/>
          <w:sz w:val="24"/>
          <w:szCs w:val="24"/>
        </w:rPr>
        <w:br/>
        <w:t>Classical STP thinking suggests that effective segmentation should focus on needs and directly inform offer design and messaging (Kotler et al., 2020). In this context, four main segments arise: engaged couples seeking reliable documentary wedding coverage; professionals and SMEs desiring authentic headshots and brand imagery; pet owners investing in lifestyle dog sessions; and enthusiasts interested in wildlife workshops. Including a geographic layer</w:t>
      </w:r>
      <w:r w:rsidR="007221C2">
        <w:rPr>
          <w:rFonts w:ascii="Arial" w:hAnsi="Arial" w:cs="Arial"/>
          <w:sz w:val="24"/>
          <w:szCs w:val="24"/>
        </w:rPr>
        <w:t xml:space="preserve"> for Norwich/Norfolk for accessibility and Greater London for high-value projects</w:t>
      </w:r>
      <w:r>
        <w:rPr>
          <w:rFonts w:ascii="Arial" w:hAnsi="Arial" w:cs="Arial"/>
          <w:sz w:val="24"/>
          <w:szCs w:val="24"/>
        </w:rPr>
        <w:t xml:space="preserve"> enables targeted efforts that balance utilisation with pricing (Iacobucci, 2021). Psychographic criteria, such as a preference for authenticity, ethical practices, and consistent delivery, further refine </w:t>
      </w:r>
      <w:r>
        <w:rPr>
          <w:rFonts w:ascii="Arial" w:hAnsi="Arial" w:cs="Arial"/>
          <w:sz w:val="24"/>
          <w:szCs w:val="24"/>
        </w:rPr>
        <w:lastRenderedPageBreak/>
        <w:t>targeting and help reduce price sensitivity in premium segments by aligning values with the experience offered (Hooley et al., 2024).</w:t>
      </w:r>
    </w:p>
    <w:p w14:paraId="3CF92166" w14:textId="61B24CDD" w:rsidR="004C1848" w:rsidRPr="004C1848" w:rsidRDefault="00E45387" w:rsidP="004C1848">
      <w:pPr>
        <w:spacing w:line="360" w:lineRule="auto"/>
        <w:rPr>
          <w:rFonts w:ascii="Arial" w:hAnsi="Arial" w:cs="Arial"/>
          <w:sz w:val="24"/>
          <w:szCs w:val="24"/>
        </w:rPr>
      </w:pPr>
      <w:r>
        <w:rPr>
          <w:rFonts w:ascii="Arial" w:hAnsi="Arial" w:cs="Arial"/>
          <w:sz w:val="24"/>
          <w:szCs w:val="24"/>
        </w:rPr>
        <w:t xml:space="preserve">A services perspective shifts segmentation from simply identifying “buyers of images” to recognising clients as co-creators of their experience. Service-dominant logic emphasises that value arises </w:t>
      </w:r>
      <w:r w:rsidR="005277DB">
        <w:rPr>
          <w:rFonts w:ascii="Arial" w:hAnsi="Arial" w:cs="Arial"/>
          <w:sz w:val="24"/>
          <w:szCs w:val="24"/>
        </w:rPr>
        <w:t>from interactions, not just from</w:t>
      </w:r>
      <w:r>
        <w:rPr>
          <w:rFonts w:ascii="Arial" w:hAnsi="Arial" w:cs="Arial"/>
          <w:sz w:val="24"/>
          <w:szCs w:val="24"/>
        </w:rPr>
        <w:t xml:space="preserve"> unilateral delivery (Vargo and Lusch, 2004). For a sole practitioner, this involves segmenting clients based on participation style: those who appreciate pre-session consultations, mood-setting, and guided workflows, since the quality of participation impacts both satisfaction and efficiency. In practice, the studio’s consultative approach filters for clients comfortable with planning artefacts and ethical considerations (such as consent and animal welfare), thereby improving the chances of smooth delivery and successful outcomes compared to purely aesthetic segmentation.</w:t>
      </w:r>
    </w:p>
    <w:p w14:paraId="3950450F" w14:textId="6827CE3F" w:rsidR="005654D7" w:rsidRDefault="004C1848" w:rsidP="00D24819">
      <w:pPr>
        <w:pStyle w:val="Heading2"/>
      </w:pPr>
      <w:bookmarkStart w:id="7" w:name="_Toc215394610"/>
      <w:r w:rsidRPr="004C1848">
        <w:t>4Ps of Marketing</w:t>
      </w:r>
      <w:bookmarkEnd w:id="7"/>
    </w:p>
    <w:p w14:paraId="67FE1193" w14:textId="47046E2A" w:rsidR="00E45387" w:rsidRDefault="00E45387" w:rsidP="004C1848">
      <w:pPr>
        <w:spacing w:line="360" w:lineRule="auto"/>
        <w:rPr>
          <w:rFonts w:ascii="Arial" w:hAnsi="Arial" w:cs="Arial"/>
          <w:sz w:val="24"/>
          <w:szCs w:val="24"/>
        </w:rPr>
      </w:pPr>
      <w:r>
        <w:rPr>
          <w:rFonts w:ascii="Arial" w:hAnsi="Arial" w:cs="Arial"/>
          <w:sz w:val="24"/>
          <w:szCs w:val="24"/>
        </w:rPr>
        <w:t xml:space="preserve">The 4Ps </w:t>
      </w:r>
      <w:r w:rsidR="005277DB">
        <w:rPr>
          <w:rFonts w:ascii="Arial" w:hAnsi="Arial" w:cs="Arial"/>
          <w:sz w:val="24"/>
          <w:szCs w:val="24"/>
        </w:rPr>
        <w:t>remain</w:t>
      </w:r>
      <w:r>
        <w:rPr>
          <w:rFonts w:ascii="Arial" w:hAnsi="Arial" w:cs="Arial"/>
          <w:sz w:val="24"/>
          <w:szCs w:val="24"/>
        </w:rPr>
        <w:t xml:space="preserve"> a </w:t>
      </w:r>
      <w:r w:rsidR="005277DB">
        <w:rPr>
          <w:rFonts w:ascii="Arial" w:hAnsi="Arial" w:cs="Arial"/>
          <w:sz w:val="24"/>
          <w:szCs w:val="24"/>
        </w:rPr>
        <w:t>helpful</w:t>
      </w:r>
      <w:r>
        <w:rPr>
          <w:rFonts w:ascii="Arial" w:hAnsi="Arial" w:cs="Arial"/>
          <w:sz w:val="24"/>
          <w:szCs w:val="24"/>
        </w:rPr>
        <w:t xml:space="preserve"> planning framework, even for services (McCarthy, 1960). For a high-end portrait</w:t>
      </w:r>
      <w:r w:rsidR="005277DB">
        <w:rPr>
          <w:rFonts w:ascii="Arial" w:hAnsi="Arial" w:cs="Arial"/>
          <w:sz w:val="24"/>
          <w:szCs w:val="24"/>
        </w:rPr>
        <w:t xml:space="preserve"> Photographer</w:t>
      </w:r>
      <w:r>
        <w:rPr>
          <w:rFonts w:ascii="Arial" w:hAnsi="Arial" w:cs="Arial"/>
          <w:sz w:val="24"/>
          <w:szCs w:val="24"/>
        </w:rPr>
        <w:t xml:space="preserve">, the “product” encompasses the experience and the finished result: structured packages with clear scope, on-site time, deliverable quantities, and turnaround times. Behind the scenes, processes ensure consistent quality, including pre-consultations, shot planning, </w:t>
      </w:r>
      <w:r w:rsidR="00C44B22">
        <w:rPr>
          <w:rFonts w:ascii="Arial" w:hAnsi="Arial" w:cs="Arial"/>
          <w:sz w:val="24"/>
          <w:szCs w:val="24"/>
        </w:rPr>
        <w:t>dual card</w:t>
      </w:r>
      <w:r>
        <w:rPr>
          <w:rFonts w:ascii="Arial" w:hAnsi="Arial" w:cs="Arial"/>
          <w:sz w:val="24"/>
          <w:szCs w:val="24"/>
        </w:rPr>
        <w:t xml:space="preserve"> recording, immediate backups, calibrated editing on a Windows laptop, and QA checks before delivery (Sood, 2017). This blueprinting minimises ambiguity and variation, which are key causes of dissatisfaction in services; it also helps the premium promise to be demonstrated rather than just claimed. Tangible items like handcrafted wall art and artisanal albums turn the intangible experience into lasting value, supporting your mission and making the high-end offering </w:t>
      </w:r>
      <w:r w:rsidR="006723A2">
        <w:rPr>
          <w:rFonts w:ascii="Arial" w:hAnsi="Arial" w:cs="Arial"/>
          <w:sz w:val="24"/>
          <w:szCs w:val="24"/>
        </w:rPr>
        <w:t>transparent</w:t>
      </w:r>
      <w:r>
        <w:rPr>
          <w:rFonts w:ascii="Arial" w:hAnsi="Arial" w:cs="Arial"/>
          <w:sz w:val="24"/>
          <w:szCs w:val="24"/>
        </w:rPr>
        <w:t xml:space="preserve"> and credible.</w:t>
      </w:r>
    </w:p>
    <w:p w14:paraId="0DF55FA9" w14:textId="6E7E686D" w:rsidR="004C1848" w:rsidRPr="004C1848" w:rsidRDefault="00E45387" w:rsidP="004C1848">
      <w:pPr>
        <w:spacing w:line="360" w:lineRule="auto"/>
        <w:rPr>
          <w:rFonts w:ascii="Arial" w:hAnsi="Arial" w:cs="Arial"/>
          <w:sz w:val="24"/>
          <w:szCs w:val="24"/>
        </w:rPr>
      </w:pPr>
      <w:r>
        <w:rPr>
          <w:rFonts w:ascii="Arial" w:hAnsi="Arial" w:cs="Arial"/>
          <w:sz w:val="24"/>
          <w:szCs w:val="24"/>
        </w:rPr>
        <w:t xml:space="preserve">In bespoke services, pricing should reflect expertise, risk handling, and reassurance rather than just the time invested (Fifield, 2020). Offering tiered packages such as core, enhanced, and premium with </w:t>
      </w:r>
      <w:r w:rsidR="006723A2">
        <w:rPr>
          <w:rFonts w:ascii="Arial" w:hAnsi="Arial" w:cs="Arial"/>
          <w:sz w:val="24"/>
          <w:szCs w:val="24"/>
        </w:rPr>
        <w:t>apparent</w:t>
      </w:r>
      <w:r>
        <w:rPr>
          <w:rFonts w:ascii="Arial" w:hAnsi="Arial" w:cs="Arial"/>
          <w:sz w:val="24"/>
          <w:szCs w:val="24"/>
        </w:rPr>
        <w:t xml:space="preserve"> inclusions and optional add-ons like extra hours, rush services, or albums and wall art helps maintain margins and makes choices easier. Geographic premiums for work in London safeguard utilisation rates and cover travel costs. Collecting deposits and staged payments for events and workshops stabilise cash flow and lower cancellation risks (Blackwell, 2011). Using framing, defining workflows, implementing redundancies (</w:t>
      </w:r>
      <w:r w:rsidR="006723A2">
        <w:rPr>
          <w:rFonts w:ascii="Arial" w:hAnsi="Arial" w:cs="Arial"/>
          <w:sz w:val="24"/>
          <w:szCs w:val="24"/>
        </w:rPr>
        <w:t xml:space="preserve">e.g., a dual Z9), and </w:t>
      </w:r>
      <w:r w:rsidR="006723A2">
        <w:rPr>
          <w:rFonts w:ascii="Arial" w:hAnsi="Arial" w:cs="Arial"/>
          <w:sz w:val="24"/>
          <w:szCs w:val="24"/>
        </w:rPr>
        <w:lastRenderedPageBreak/>
        <w:t>clarifying expected outcomes help clients compare confidence levels rather than hourly rates, which is crucial for</w:t>
      </w:r>
      <w:r>
        <w:rPr>
          <w:rFonts w:ascii="Arial" w:hAnsi="Arial" w:cs="Arial"/>
          <w:sz w:val="24"/>
          <w:szCs w:val="24"/>
        </w:rPr>
        <w:t xml:space="preserve"> high-stakes projects.</w:t>
      </w:r>
    </w:p>
    <w:p w14:paraId="1963836E" w14:textId="33E4E45D" w:rsidR="004C1848" w:rsidRPr="004C1848" w:rsidRDefault="00E45387" w:rsidP="004C1848">
      <w:pPr>
        <w:spacing w:line="360" w:lineRule="auto"/>
        <w:rPr>
          <w:rFonts w:ascii="Arial" w:hAnsi="Arial" w:cs="Arial"/>
          <w:sz w:val="24"/>
          <w:szCs w:val="24"/>
        </w:rPr>
      </w:pPr>
      <w:r>
        <w:rPr>
          <w:rFonts w:ascii="Arial" w:hAnsi="Arial" w:cs="Arial"/>
          <w:sz w:val="24"/>
          <w:szCs w:val="24"/>
        </w:rPr>
        <w:t>Place (delivery).</w:t>
      </w:r>
      <w:r>
        <w:rPr>
          <w:rFonts w:ascii="Arial" w:hAnsi="Arial" w:cs="Arial"/>
          <w:sz w:val="24"/>
          <w:szCs w:val="24"/>
        </w:rPr>
        <w:br/>
        <w:t xml:space="preserve">For services, “place” involves access and coordination. A conversion-focused website featuring inquiry forms, booking requests, e-sign contracts, client galleries, and review capture serves as the main channel, complemented by local SEO targeting Norwich/Norfolk and specific </w:t>
      </w:r>
      <w:r w:rsidR="00CF0D54">
        <w:rPr>
          <w:rFonts w:ascii="Arial" w:hAnsi="Arial" w:cs="Arial"/>
          <w:sz w:val="24"/>
          <w:szCs w:val="24"/>
        </w:rPr>
        <w:t>London districts</w:t>
      </w:r>
      <w:r>
        <w:rPr>
          <w:rFonts w:ascii="Arial" w:hAnsi="Arial" w:cs="Arial"/>
          <w:sz w:val="24"/>
          <w:szCs w:val="24"/>
        </w:rPr>
        <w:t xml:space="preserve"> (Chaffey and Ellis, 2019). To enhance on-location readiness, portable lighting, storage redundancy, and vehicle logistics help expand venue options and lower operational risks. Collaborations with wedding venues, pet boutiques, dog groomers, and small business hubs act as distribution points through trusted referrals. For workshops, carefully selected natural spaces and clear safety and ethics briefings ensure access without heavy asset ownership.</w:t>
      </w:r>
    </w:p>
    <w:p w14:paraId="76841DD6" w14:textId="439B7EC4" w:rsidR="00725C66" w:rsidRPr="004C1848" w:rsidRDefault="00E45387" w:rsidP="004C1848">
      <w:pPr>
        <w:spacing w:line="360" w:lineRule="auto"/>
        <w:rPr>
          <w:rFonts w:ascii="Arial" w:hAnsi="Arial" w:cs="Arial"/>
          <w:sz w:val="24"/>
          <w:szCs w:val="24"/>
        </w:rPr>
      </w:pPr>
      <w:r>
        <w:rPr>
          <w:rFonts w:ascii="Arial" w:hAnsi="Arial" w:cs="Arial"/>
          <w:sz w:val="24"/>
          <w:szCs w:val="24"/>
        </w:rPr>
        <w:t>Promotion. Research indicates that premium brands are more effective when they showcase their process and results rather than just aesthetics (Hooley et al., 2024). Promotional materials should highlight planning, backup strategies, and turnaround guarantees through behind-the-scenes storytelling and case narratives (problem &gt; approach &gt; result). This includes educational content such as preparing for portraits, dog session etiquette, wildlife ethics, building authority, and reducing buyer uncertainty (Kotler et al., 2020). In London, continuous outreach to venue managers and planners supports organic discovery; in Norwich/Norfolk, trust is strengthened through Google reviews and community channels.</w:t>
      </w:r>
    </w:p>
    <w:p w14:paraId="1CF066CE" w14:textId="77777777" w:rsidR="00E45387" w:rsidRDefault="00E45387" w:rsidP="004C1848">
      <w:pPr>
        <w:spacing w:line="360" w:lineRule="auto"/>
        <w:rPr>
          <w:rFonts w:ascii="Arial" w:hAnsi="Arial" w:cs="Arial"/>
          <w:sz w:val="24"/>
          <w:szCs w:val="24"/>
        </w:rPr>
      </w:pPr>
      <w:r>
        <w:rPr>
          <w:rFonts w:ascii="Arial" w:hAnsi="Arial" w:cs="Arial"/>
          <w:sz w:val="24"/>
          <w:szCs w:val="24"/>
        </w:rPr>
        <w:t>Online marketing strategies are essential for attracting and retaining customers.</w:t>
      </w:r>
    </w:p>
    <w:p w14:paraId="6E7EDD5D" w14:textId="2BCD7508" w:rsidR="004C1848" w:rsidRPr="004C1848" w:rsidRDefault="00E45387" w:rsidP="004C1848">
      <w:pPr>
        <w:spacing w:line="360" w:lineRule="auto"/>
        <w:rPr>
          <w:rFonts w:ascii="Arial" w:hAnsi="Arial" w:cs="Arial"/>
          <w:sz w:val="24"/>
          <w:szCs w:val="24"/>
        </w:rPr>
      </w:pPr>
      <w:r>
        <w:rPr>
          <w:rFonts w:ascii="Arial" w:hAnsi="Arial" w:cs="Arial"/>
          <w:sz w:val="24"/>
          <w:szCs w:val="24"/>
        </w:rPr>
        <w:t>Digital excellence is crucial for an owner-operator. A CRM-focused setup that includes inquiries, proposals, e-signatures, deposits, shoot checklists, galleries, and timed review requests helps create a smooth, low-friction experience and provides reliable data for optimisation (Payne and Frow, 2005). SEO and local listings drive intent-based discovery; social platforms showcase proof through reels, carousels, and client stories. However, the strategy should prioritise owned channels</w:t>
      </w:r>
      <w:r w:rsidR="009A2E99">
        <w:rPr>
          <w:rFonts w:ascii="Arial" w:hAnsi="Arial" w:cs="Arial"/>
          <w:sz w:val="24"/>
          <w:szCs w:val="24"/>
        </w:rPr>
        <w:t>, such as the website and email,</w:t>
      </w:r>
      <w:r>
        <w:rPr>
          <w:rFonts w:ascii="Arial" w:hAnsi="Arial" w:cs="Arial"/>
          <w:sz w:val="24"/>
          <w:szCs w:val="24"/>
        </w:rPr>
        <w:t xml:space="preserve"> to reduce </w:t>
      </w:r>
      <w:r w:rsidR="00D86400">
        <w:rPr>
          <w:rFonts w:ascii="Arial" w:hAnsi="Arial" w:cs="Arial"/>
          <w:sz w:val="24"/>
          <w:szCs w:val="24"/>
        </w:rPr>
        <w:t>the risk of</w:t>
      </w:r>
      <w:r>
        <w:rPr>
          <w:rFonts w:ascii="Arial" w:hAnsi="Arial" w:cs="Arial"/>
          <w:sz w:val="24"/>
          <w:szCs w:val="24"/>
        </w:rPr>
        <w:t xml:space="preserve"> algorithm changes and ensure consistent communication (Chaffey and Ellis-Chadwick, 2019). Lifecycle email campaigns segment content </w:t>
      </w:r>
      <w:r w:rsidR="009A2E99">
        <w:rPr>
          <w:rFonts w:ascii="Arial" w:hAnsi="Arial" w:cs="Arial"/>
          <w:sz w:val="24"/>
          <w:szCs w:val="24"/>
        </w:rPr>
        <w:t>by</w:t>
      </w:r>
      <w:r>
        <w:rPr>
          <w:rFonts w:ascii="Arial" w:hAnsi="Arial" w:cs="Arial"/>
          <w:sz w:val="24"/>
          <w:szCs w:val="24"/>
        </w:rPr>
        <w:t xml:space="preserve"> audience: couples get timeline planning and storytelling </w:t>
      </w:r>
      <w:r>
        <w:rPr>
          <w:rFonts w:ascii="Arial" w:hAnsi="Arial" w:cs="Arial"/>
          <w:sz w:val="24"/>
          <w:szCs w:val="24"/>
        </w:rPr>
        <w:lastRenderedPageBreak/>
        <w:t>showcases; professionals receive scheduling prompts aligned with career milestones; pet owners get seasonal minis; and enthusiasts receive workshop previews, kit lists, and ethics info. The goal is to deliver value-added communication that reduces perceived risks and encourages commitment, rather than sporadic sales messages.</w:t>
      </w:r>
    </w:p>
    <w:p w14:paraId="13FF3385" w14:textId="448DAA81" w:rsidR="004C1848" w:rsidRPr="004C1848" w:rsidRDefault="00E45387" w:rsidP="004C1848">
      <w:pPr>
        <w:spacing w:line="360" w:lineRule="auto"/>
        <w:rPr>
          <w:rFonts w:ascii="Arial" w:hAnsi="Arial" w:cs="Arial"/>
          <w:sz w:val="24"/>
          <w:szCs w:val="24"/>
        </w:rPr>
      </w:pPr>
      <w:r>
        <w:rPr>
          <w:rFonts w:ascii="Arial" w:hAnsi="Arial" w:cs="Arial"/>
          <w:sz w:val="24"/>
          <w:szCs w:val="24"/>
        </w:rPr>
        <w:t>A key comparison in digital strategies is between performance and persistence. Paid social and search campaigns can quickly boost lead generation but tend to decline once spending stops. In contrast, organic SEO, reviews, and high-quality case narratives build value over time and can be used across various platforms (Chaffey and Ellis-Chadwick, 2019). For a solo operator, persistence channels are particularly advantageous because they establish a sustainable presence and help reduce customer acquisition costs as reputation improves. Additionally, governance measures such as GDPR-compliant consent, transparent licensing, and data minimisation should be integrated into marketing practices, since building trust and ensuring transparency help minimise friction at all stages (Dawson, 2015).</w:t>
      </w:r>
    </w:p>
    <w:p w14:paraId="6896A553" w14:textId="77777777" w:rsidR="00E8226E" w:rsidRDefault="00E8226E" w:rsidP="005277DB">
      <w:pPr>
        <w:pStyle w:val="Heading1"/>
      </w:pPr>
      <w:bookmarkStart w:id="8" w:name="_Toc215394611"/>
      <w:r w:rsidRPr="00E8226E">
        <w:t>Element 4: Legal, Management, and Financial Planning</w:t>
      </w:r>
      <w:bookmarkEnd w:id="8"/>
      <w:r w:rsidRPr="00E8226E">
        <w:t xml:space="preserve"> </w:t>
      </w:r>
    </w:p>
    <w:p w14:paraId="77FB725E" w14:textId="77777777" w:rsidR="00D24819" w:rsidRPr="00D24819" w:rsidRDefault="00D24819" w:rsidP="00D24819"/>
    <w:p w14:paraId="577A27B2" w14:textId="271C1295" w:rsidR="009C6ECE" w:rsidRPr="009C6ECE" w:rsidRDefault="00E45387" w:rsidP="009C6ECE">
      <w:pPr>
        <w:spacing w:line="360" w:lineRule="auto"/>
        <w:rPr>
          <w:rFonts w:ascii="Arial" w:hAnsi="Arial" w:cs="Arial"/>
        </w:rPr>
      </w:pPr>
      <w:r>
        <w:rPr>
          <w:rFonts w:ascii="Arial" w:hAnsi="Arial" w:cs="Arial"/>
        </w:rPr>
        <w:t>Legal structure and compliance.</w:t>
      </w:r>
      <w:r>
        <w:rPr>
          <w:rFonts w:ascii="Arial" w:hAnsi="Arial" w:cs="Arial"/>
        </w:rPr>
        <w:br/>
        <w:t>UK guidance emphasises that your choice of legal form influences liability, tax obligations, and administrative duties. Most founders initially register as sole traders for simplicity and later incorporate to gain limited liability and enhanced credibility once revenue stabilises (GOV.UK, 2025). For high-stakes, premium services such as weddings or corporate events, it is wise to plan an early transition to a private limited company (Ltd) to minimise personal risk while ensuring suitable insurance is in place. Privacy and licensing should be regarded as integral parts of your service, not just legal compliance. The ICO states that identifiable images are personal data, and that sharing or promoting them publicly requires a lawful basis and clear information about their use, especially when involving minors. Implement transparent workflows for consent and legitimate interest, along with retention policies (ICO, 2025). Copyright protection is automatic under UK law</w:t>
      </w:r>
      <w:r w:rsidR="00CF0D54">
        <w:rPr>
          <w:rFonts w:ascii="Arial" w:hAnsi="Arial" w:cs="Arial"/>
        </w:rPr>
        <w:t>. Photographs</w:t>
      </w:r>
      <w:r>
        <w:rPr>
          <w:rFonts w:ascii="Arial" w:hAnsi="Arial" w:cs="Arial"/>
        </w:rPr>
        <w:t xml:space="preserve"> are considered artistic works. As the creator, you hold copyright and can license use through contracts specifying scope, duration, and permitted media (IPO, 2019).</w:t>
      </w:r>
    </w:p>
    <w:p w14:paraId="0451CC55" w14:textId="7C0980AA" w:rsidR="009C6ECE" w:rsidRPr="009C6ECE" w:rsidRDefault="00E45387" w:rsidP="009C6ECE">
      <w:pPr>
        <w:spacing w:line="360" w:lineRule="auto"/>
        <w:rPr>
          <w:rFonts w:ascii="Arial" w:hAnsi="Arial" w:cs="Arial"/>
          <w:sz w:val="24"/>
          <w:szCs w:val="24"/>
        </w:rPr>
      </w:pPr>
      <w:r>
        <w:rPr>
          <w:rFonts w:ascii="Arial" w:hAnsi="Arial" w:cs="Arial"/>
          <w:sz w:val="24"/>
          <w:szCs w:val="24"/>
        </w:rPr>
        <w:t>Management and operational strategy.</w:t>
      </w:r>
      <w:r>
        <w:rPr>
          <w:rFonts w:ascii="Arial" w:hAnsi="Arial" w:cs="Arial"/>
          <w:sz w:val="24"/>
          <w:szCs w:val="24"/>
        </w:rPr>
        <w:br/>
        <w:t xml:space="preserve">Reliability in services stems from codified workflows and effective communication, </w:t>
      </w:r>
      <w:r>
        <w:rPr>
          <w:rFonts w:ascii="Arial" w:hAnsi="Arial" w:cs="Arial"/>
          <w:sz w:val="24"/>
          <w:szCs w:val="24"/>
        </w:rPr>
        <w:lastRenderedPageBreak/>
        <w:t>not just equipment. A CRM</w:t>
      </w:r>
      <w:r w:rsidR="006723A2">
        <w:rPr>
          <w:rFonts w:ascii="Arial" w:hAnsi="Arial" w:cs="Arial"/>
          <w:sz w:val="24"/>
          <w:szCs w:val="24"/>
        </w:rPr>
        <w:t xml:space="preserve"> </w:t>
      </w:r>
      <w:r>
        <w:rPr>
          <w:rFonts w:ascii="Arial" w:hAnsi="Arial" w:cs="Arial"/>
          <w:sz w:val="24"/>
          <w:szCs w:val="24"/>
        </w:rPr>
        <w:t xml:space="preserve">focused pipeline from inquiry through proposal, e-sign, deposits, session checklists, proofing, delivery, and review converts experience quality into a standardised, repeatable system (Turban, Pollard and Wood, 2017). Backstage procedures should include pre-shoot consultations and shot planning, dual-card capture with immediate backup, calibrated editing on a Windows laptop, and QA checkpoints before delivery; these steps help minimise variability in knowledge-intensive tasks (Eisenberg et al., 2001). Using a second shooter or part-time </w:t>
      </w:r>
      <w:proofErr w:type="spellStart"/>
      <w:r>
        <w:rPr>
          <w:rFonts w:ascii="Arial" w:hAnsi="Arial" w:cs="Arial"/>
          <w:sz w:val="24"/>
          <w:szCs w:val="24"/>
        </w:rPr>
        <w:t>retoucher</w:t>
      </w:r>
      <w:proofErr w:type="spellEnd"/>
      <w:r>
        <w:rPr>
          <w:rFonts w:ascii="Arial" w:hAnsi="Arial" w:cs="Arial"/>
          <w:sz w:val="24"/>
          <w:szCs w:val="24"/>
        </w:rPr>
        <w:t xml:space="preserve"> occasionally can be managed with house presets and briefs to ensure style consistency during busy periods.</w:t>
      </w:r>
    </w:p>
    <w:p w14:paraId="5118853C" w14:textId="4B773EEA" w:rsidR="009C6ECE" w:rsidRPr="009C6ECE" w:rsidRDefault="00E45387" w:rsidP="009C6ECE">
      <w:pPr>
        <w:spacing w:line="360" w:lineRule="auto"/>
        <w:rPr>
          <w:rFonts w:ascii="Arial" w:hAnsi="Arial" w:cs="Arial"/>
          <w:sz w:val="24"/>
          <w:szCs w:val="24"/>
        </w:rPr>
      </w:pPr>
      <w:r>
        <w:rPr>
          <w:rFonts w:ascii="Arial" w:hAnsi="Arial" w:cs="Arial"/>
          <w:sz w:val="24"/>
          <w:szCs w:val="24"/>
        </w:rPr>
        <w:t>Funding strategy and start-up capital.</w:t>
      </w:r>
      <w:r>
        <w:rPr>
          <w:rFonts w:ascii="Arial" w:hAnsi="Arial" w:cs="Arial"/>
          <w:sz w:val="24"/>
          <w:szCs w:val="24"/>
        </w:rPr>
        <w:br/>
        <w:t>With two Z9 bodies, fast primes (20/50/85/105), 300 mm f/2.8, lighting, storage/backup, a high-end Windows laptop (64 GB RAM/RTX-class GPU), and a reliable car, estimated capital expenditure is £50k–£60k, plus £3k–£6k for operating costs (software, insurance, travel, marketing). To fund this wisely, combine owner equity with asset financing for the car (3–5 years), selective equipment leasing (such as long telephotos as demand increases), and UK government-backed options. The Start Up Loans programme from the British Business Bank offers small-business funding with mentoring for new and early-stage ventures (British Business Bank, 2025). For larger facilities, the Growth Guarantee Scheme (GGS)</w:t>
      </w:r>
      <w:r w:rsidR="009A2E99">
        <w:rPr>
          <w:rFonts w:ascii="Arial" w:hAnsi="Arial" w:cs="Arial"/>
          <w:sz w:val="24"/>
          <w:szCs w:val="24"/>
        </w:rPr>
        <w:t>, a government guarantee to lenders,</w:t>
      </w:r>
      <w:r>
        <w:rPr>
          <w:rFonts w:ascii="Arial" w:hAnsi="Arial" w:cs="Arial"/>
          <w:sz w:val="24"/>
          <w:szCs w:val="24"/>
        </w:rPr>
        <w:t xml:space="preserve"> can improve access to loans while borrowers remain fully liable. It runs until March 2026 and covers loans, overdrafts, and asset/invoice finance (</w:t>
      </w:r>
      <w:proofErr w:type="spellStart"/>
      <w:r>
        <w:rPr>
          <w:rFonts w:ascii="Arial" w:hAnsi="Arial" w:cs="Arial"/>
          <w:sz w:val="24"/>
          <w:szCs w:val="24"/>
        </w:rPr>
        <w:t>Finspire</w:t>
      </w:r>
      <w:proofErr w:type="spellEnd"/>
      <w:r>
        <w:rPr>
          <w:rFonts w:ascii="Arial" w:hAnsi="Arial" w:cs="Arial"/>
          <w:sz w:val="24"/>
          <w:szCs w:val="24"/>
        </w:rPr>
        <w:t xml:space="preserve"> Finance explainer, 2025). Choosing the right mix helps avoid </w:t>
      </w:r>
      <w:r w:rsidR="006723A2">
        <w:rPr>
          <w:rFonts w:ascii="Arial" w:hAnsi="Arial" w:cs="Arial"/>
          <w:sz w:val="24"/>
          <w:szCs w:val="24"/>
        </w:rPr>
        <w:t>overleveraging</w:t>
      </w:r>
      <w:r>
        <w:rPr>
          <w:rFonts w:ascii="Arial" w:hAnsi="Arial" w:cs="Arial"/>
          <w:sz w:val="24"/>
          <w:szCs w:val="24"/>
        </w:rPr>
        <w:t xml:space="preserve"> fixed costs before your </w:t>
      </w:r>
      <w:r w:rsidR="00BC2D22">
        <w:rPr>
          <w:rFonts w:ascii="Arial" w:hAnsi="Arial" w:cs="Arial"/>
          <w:sz w:val="24"/>
          <w:szCs w:val="24"/>
        </w:rPr>
        <w:t>booking</w:t>
      </w:r>
      <w:r>
        <w:rPr>
          <w:rFonts w:ascii="Arial" w:hAnsi="Arial" w:cs="Arial"/>
          <w:sz w:val="24"/>
          <w:szCs w:val="24"/>
        </w:rPr>
        <w:t xml:space="preserve"> pipeline is confirmed.</w:t>
      </w:r>
    </w:p>
    <w:p w14:paraId="36A2F72E" w14:textId="2F9FFF9D" w:rsidR="00E45387" w:rsidRDefault="00E45387" w:rsidP="009C6ECE">
      <w:pPr>
        <w:spacing w:line="360" w:lineRule="auto"/>
        <w:rPr>
          <w:rFonts w:ascii="Arial" w:hAnsi="Arial" w:cs="Arial"/>
          <w:sz w:val="24"/>
          <w:szCs w:val="24"/>
        </w:rPr>
      </w:pPr>
      <w:r>
        <w:rPr>
          <w:rFonts w:ascii="Arial" w:hAnsi="Arial" w:cs="Arial"/>
          <w:sz w:val="24"/>
          <w:szCs w:val="24"/>
        </w:rPr>
        <w:t xml:space="preserve">Cashflow planning involves creating a </w:t>
      </w:r>
      <w:r w:rsidR="00CF0D54">
        <w:rPr>
          <w:rFonts w:ascii="Arial" w:hAnsi="Arial" w:cs="Arial"/>
          <w:sz w:val="24"/>
          <w:szCs w:val="24"/>
        </w:rPr>
        <w:t>12-month baseline alongside a 5-year</w:t>
      </w:r>
      <w:r>
        <w:rPr>
          <w:rFonts w:ascii="Arial" w:hAnsi="Arial" w:cs="Arial"/>
          <w:sz w:val="24"/>
          <w:szCs w:val="24"/>
        </w:rPr>
        <w:t xml:space="preserve"> outlook.</w:t>
      </w:r>
    </w:p>
    <w:p w14:paraId="34BC3D04" w14:textId="1809EE9B" w:rsidR="009C6ECE" w:rsidRDefault="00E45387" w:rsidP="009C6ECE">
      <w:pPr>
        <w:spacing w:line="360" w:lineRule="auto"/>
        <w:rPr>
          <w:rFonts w:ascii="Arial" w:hAnsi="Arial" w:cs="Arial"/>
          <w:sz w:val="24"/>
          <w:szCs w:val="24"/>
        </w:rPr>
      </w:pPr>
      <w:r>
        <w:rPr>
          <w:rFonts w:ascii="Arial" w:hAnsi="Arial" w:cs="Arial"/>
          <w:sz w:val="24"/>
          <w:szCs w:val="24"/>
        </w:rPr>
        <w:t xml:space="preserve">Forecasts should include seasonality patterns (such as </w:t>
      </w:r>
      <w:r w:rsidR="00D24819">
        <w:rPr>
          <w:rFonts w:ascii="Arial" w:hAnsi="Arial" w:cs="Arial"/>
          <w:sz w:val="24"/>
          <w:szCs w:val="24"/>
        </w:rPr>
        <w:t xml:space="preserve">spring and summer peaks), deposits, staged payments for events and workshops, fixed expenses </w:t>
      </w:r>
      <w:r w:rsidR="00CF0D54">
        <w:rPr>
          <w:rFonts w:ascii="Arial" w:hAnsi="Arial" w:cs="Arial"/>
          <w:sz w:val="24"/>
          <w:szCs w:val="24"/>
        </w:rPr>
        <w:t>(such as software, insurance, marketing, debt payments, and vehicle costs), and variable expenses (such as travel, print and album production, and occasional rentals)</w:t>
      </w:r>
      <w:r>
        <w:rPr>
          <w:rFonts w:ascii="Arial" w:hAnsi="Arial" w:cs="Arial"/>
          <w:sz w:val="24"/>
          <w:szCs w:val="24"/>
        </w:rPr>
        <w:t xml:space="preserve">. With conservative volume assumptions, reaching breakeven around month six is possible through consistent application of premium pricing, add-ons (like albums, wall art, and rush services), and disciplined promotional efforts. Regular monthly variance analysis, pricing, and package adjustments should be guided by CRM analytics. The </w:t>
      </w:r>
      <w:r>
        <w:rPr>
          <w:rFonts w:ascii="Arial" w:hAnsi="Arial" w:cs="Arial"/>
          <w:sz w:val="24"/>
          <w:szCs w:val="24"/>
        </w:rPr>
        <w:lastRenderedPageBreak/>
        <w:t>5-year outlook complements the 12-month plan by illustrating capital expenditure amortisation (gear over 3–5 years, cars over 5 years), debt repayment after year three, and margin growth as operational utilisation increases and reputation is enhanced.</w:t>
      </w:r>
    </w:p>
    <w:p w14:paraId="785085F2" w14:textId="545FE8DC" w:rsidR="006723A2" w:rsidRDefault="000D157F">
      <w:pPr>
        <w:rPr>
          <w:rFonts w:ascii="Arial" w:eastAsiaTheme="majorEastAsia" w:hAnsi="Arial" w:cstheme="majorBidi"/>
          <w:sz w:val="32"/>
          <w:szCs w:val="40"/>
        </w:rPr>
      </w:pPr>
      <w:bookmarkStart w:id="9" w:name="_Toc203840476"/>
      <w:r w:rsidRPr="000D157F">
        <w:rPr>
          <w:rFonts w:ascii="Arial" w:eastAsiaTheme="majorEastAsia" w:hAnsi="Arial" w:cstheme="majorBidi"/>
          <w:sz w:val="32"/>
          <w:szCs w:val="40"/>
        </w:rPr>
        <w:drawing>
          <wp:inline distT="0" distB="0" distL="0" distR="0" wp14:anchorId="7E752645" wp14:editId="44F67DA8">
            <wp:extent cx="5731510" cy="2820035"/>
            <wp:effectExtent l="0" t="0" r="2540" b="0"/>
            <wp:docPr id="1568050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05047" name="Picture 1" descr="A screenshot of a computer&#10;&#10;AI-generated content may be incorrect."/>
                    <pic:cNvPicPr/>
                  </pic:nvPicPr>
                  <pic:blipFill>
                    <a:blip r:embed="rId14"/>
                    <a:stretch>
                      <a:fillRect/>
                    </a:stretch>
                  </pic:blipFill>
                  <pic:spPr>
                    <a:xfrm>
                      <a:off x="0" y="0"/>
                      <a:ext cx="5731510" cy="2820035"/>
                    </a:xfrm>
                    <a:prstGeom prst="rect">
                      <a:avLst/>
                    </a:prstGeom>
                  </pic:spPr>
                </pic:pic>
              </a:graphicData>
            </a:graphic>
          </wp:inline>
        </w:drawing>
      </w:r>
    </w:p>
    <w:p w14:paraId="64ADD06B" w14:textId="77777777" w:rsidR="000D157F" w:rsidRDefault="000D157F">
      <w:pPr>
        <w:rPr>
          <w:rFonts w:ascii="Arial" w:eastAsiaTheme="majorEastAsia" w:hAnsi="Arial" w:cstheme="majorBidi"/>
          <w:sz w:val="32"/>
          <w:szCs w:val="40"/>
        </w:rPr>
      </w:pPr>
      <w:bookmarkStart w:id="10" w:name="_Toc215394612"/>
      <w:r>
        <w:br w:type="page"/>
      </w:r>
    </w:p>
    <w:p w14:paraId="62530352" w14:textId="61B48060" w:rsidR="0019389E" w:rsidRDefault="00F016CA" w:rsidP="000B6D9C">
      <w:pPr>
        <w:pStyle w:val="Heading1"/>
      </w:pPr>
      <w:r w:rsidRPr="00E8226E">
        <w:lastRenderedPageBreak/>
        <w:t>5</w:t>
      </w:r>
      <w:r w:rsidRPr="005277DB">
        <w:t>.</w:t>
      </w:r>
      <w:r w:rsidR="009030D6" w:rsidRPr="005277DB">
        <w:t xml:space="preserve"> </w:t>
      </w:r>
      <w:r w:rsidR="0019389E" w:rsidRPr="005277DB">
        <w:t>References</w:t>
      </w:r>
      <w:bookmarkEnd w:id="9"/>
      <w:bookmarkEnd w:id="10"/>
    </w:p>
    <w:p w14:paraId="6B1925FC" w14:textId="77777777" w:rsidR="00CE4F0B" w:rsidRPr="00CE4F0B" w:rsidRDefault="00CE4F0B" w:rsidP="00CE4F0B"/>
    <w:p w14:paraId="097EE932" w14:textId="3E0A3010" w:rsidR="006B6ECA" w:rsidRDefault="006B6ECA" w:rsidP="002209BE">
      <w:pPr>
        <w:spacing w:line="360" w:lineRule="auto"/>
        <w:ind w:left="720" w:hanging="720"/>
        <w:rPr>
          <w:rFonts w:ascii="Arial" w:hAnsi="Arial" w:cs="Arial"/>
          <w:sz w:val="24"/>
          <w:szCs w:val="24"/>
        </w:rPr>
      </w:pPr>
      <w:r w:rsidRPr="002209BE">
        <w:rPr>
          <w:rFonts w:ascii="Arial" w:hAnsi="Arial" w:cs="Arial"/>
          <w:sz w:val="24"/>
          <w:szCs w:val="24"/>
        </w:rPr>
        <w:t xml:space="preserve">Barringer, B.R. and Ireland, R.D. (2022) </w:t>
      </w:r>
      <w:r w:rsidRPr="002209BE">
        <w:rPr>
          <w:rFonts w:ascii="Arial" w:hAnsi="Arial" w:cs="Arial"/>
          <w:i/>
          <w:iCs/>
          <w:sz w:val="24"/>
          <w:szCs w:val="24"/>
        </w:rPr>
        <w:t>Entrepreneurship: Successfully Launching New Ventures</w:t>
      </w:r>
      <w:r w:rsidRPr="002209BE">
        <w:rPr>
          <w:rFonts w:ascii="Arial" w:hAnsi="Arial" w:cs="Arial"/>
          <w:sz w:val="24"/>
          <w:szCs w:val="24"/>
        </w:rPr>
        <w:t xml:space="preserve">. Updated 6th </w:t>
      </w:r>
      <w:proofErr w:type="spellStart"/>
      <w:r w:rsidRPr="002209BE">
        <w:rPr>
          <w:rFonts w:ascii="Arial" w:hAnsi="Arial" w:cs="Arial"/>
          <w:sz w:val="24"/>
          <w:szCs w:val="24"/>
        </w:rPr>
        <w:t>edn</w:t>
      </w:r>
      <w:proofErr w:type="spellEnd"/>
      <w:r w:rsidRPr="002209BE">
        <w:rPr>
          <w:rFonts w:ascii="Arial" w:hAnsi="Arial" w:cs="Arial"/>
          <w:sz w:val="24"/>
          <w:szCs w:val="24"/>
        </w:rPr>
        <w:t>. Harlow: Pearson.</w:t>
      </w:r>
    </w:p>
    <w:p w14:paraId="64C4D4C4" w14:textId="77777777" w:rsidR="006B6ECA" w:rsidRDefault="006B6ECA" w:rsidP="002209BE">
      <w:pPr>
        <w:spacing w:line="360" w:lineRule="auto"/>
        <w:ind w:left="720" w:hanging="720"/>
        <w:rPr>
          <w:rFonts w:ascii="Arial" w:hAnsi="Arial" w:cs="Arial"/>
          <w:sz w:val="24"/>
          <w:szCs w:val="24"/>
        </w:rPr>
      </w:pPr>
      <w:r w:rsidRPr="002209BE">
        <w:rPr>
          <w:rFonts w:ascii="Arial" w:hAnsi="Arial" w:cs="Arial"/>
          <w:sz w:val="24"/>
          <w:szCs w:val="24"/>
        </w:rPr>
        <w:t xml:space="preserve">Blackwell, E. (2011) </w:t>
      </w:r>
      <w:r w:rsidRPr="002209BE">
        <w:rPr>
          <w:rFonts w:ascii="Arial" w:hAnsi="Arial" w:cs="Arial"/>
          <w:i/>
          <w:iCs/>
          <w:sz w:val="24"/>
          <w:szCs w:val="24"/>
        </w:rPr>
        <w:t>How to Prepare a Business Plan</w:t>
      </w:r>
      <w:r w:rsidRPr="002209BE">
        <w:rPr>
          <w:rFonts w:ascii="Arial" w:hAnsi="Arial" w:cs="Arial"/>
          <w:sz w:val="24"/>
          <w:szCs w:val="24"/>
        </w:rPr>
        <w:t xml:space="preserve">. 5th </w:t>
      </w:r>
      <w:proofErr w:type="spellStart"/>
      <w:r w:rsidRPr="002209BE">
        <w:rPr>
          <w:rFonts w:ascii="Arial" w:hAnsi="Arial" w:cs="Arial"/>
          <w:sz w:val="24"/>
          <w:szCs w:val="24"/>
        </w:rPr>
        <w:t>edn</w:t>
      </w:r>
      <w:proofErr w:type="spellEnd"/>
      <w:r w:rsidRPr="002209BE">
        <w:rPr>
          <w:rFonts w:ascii="Arial" w:hAnsi="Arial" w:cs="Arial"/>
          <w:sz w:val="24"/>
          <w:szCs w:val="24"/>
        </w:rPr>
        <w:t>. London: Kogan Page.</w:t>
      </w:r>
    </w:p>
    <w:p w14:paraId="6E23467B" w14:textId="77777777" w:rsidR="006B6ECA" w:rsidRPr="0017237A" w:rsidRDefault="006B6ECA" w:rsidP="0017237A">
      <w:pPr>
        <w:spacing w:line="360" w:lineRule="auto"/>
        <w:ind w:left="720" w:hanging="720"/>
        <w:rPr>
          <w:rFonts w:ascii="Arial" w:hAnsi="Arial" w:cs="Arial"/>
          <w:sz w:val="24"/>
          <w:szCs w:val="24"/>
        </w:rPr>
      </w:pPr>
      <w:r w:rsidRPr="0017237A">
        <w:rPr>
          <w:rFonts w:ascii="Arial" w:hAnsi="Arial" w:cs="Arial"/>
          <w:sz w:val="24"/>
          <w:szCs w:val="24"/>
        </w:rPr>
        <w:t>British Business Bank (2025) Start Up Loans. Available at: https://www.british-business-bank.co.uk/finance-options/debt-finance/start-up-loans (Accessed: 14 November 2025).</w:t>
      </w:r>
    </w:p>
    <w:p w14:paraId="5A53D05F" w14:textId="77777777" w:rsidR="006B6ECA" w:rsidRDefault="006B6ECA" w:rsidP="002209BE">
      <w:pPr>
        <w:spacing w:line="360" w:lineRule="auto"/>
        <w:ind w:left="720" w:hanging="720"/>
        <w:rPr>
          <w:rFonts w:ascii="Arial" w:hAnsi="Arial" w:cs="Arial"/>
          <w:sz w:val="24"/>
          <w:szCs w:val="24"/>
        </w:rPr>
      </w:pPr>
      <w:r w:rsidRPr="00495E96">
        <w:rPr>
          <w:rFonts w:ascii="Arial" w:hAnsi="Arial" w:cs="Arial"/>
          <w:sz w:val="24"/>
          <w:szCs w:val="24"/>
        </w:rPr>
        <w:t xml:space="preserve">Campbell, D. (2021) </w:t>
      </w:r>
      <w:r w:rsidRPr="00495E96">
        <w:rPr>
          <w:rFonts w:ascii="Arial" w:hAnsi="Arial" w:cs="Arial"/>
          <w:i/>
          <w:iCs/>
          <w:sz w:val="24"/>
          <w:szCs w:val="24"/>
        </w:rPr>
        <w:t>Business Strategy</w:t>
      </w:r>
      <w:r w:rsidRPr="00495E96">
        <w:rPr>
          <w:rFonts w:ascii="Arial" w:hAnsi="Arial" w:cs="Arial"/>
          <w:sz w:val="24"/>
          <w:szCs w:val="24"/>
        </w:rPr>
        <w:t xml:space="preserve">. London: </w:t>
      </w:r>
      <w:proofErr w:type="spellStart"/>
      <w:r w:rsidRPr="00495E96">
        <w:rPr>
          <w:rFonts w:ascii="Arial" w:hAnsi="Arial" w:cs="Arial"/>
          <w:sz w:val="24"/>
          <w:szCs w:val="24"/>
        </w:rPr>
        <w:t>Pearson.Dawson</w:t>
      </w:r>
      <w:proofErr w:type="spellEnd"/>
      <w:r w:rsidRPr="00495E96">
        <w:rPr>
          <w:rFonts w:ascii="Arial" w:hAnsi="Arial" w:cs="Arial"/>
          <w:sz w:val="24"/>
          <w:szCs w:val="24"/>
        </w:rPr>
        <w:t xml:space="preserve">, J.A. (2015) </w:t>
      </w:r>
      <w:r w:rsidRPr="00495E96">
        <w:rPr>
          <w:rFonts w:ascii="Arial" w:hAnsi="Arial" w:cs="Arial"/>
          <w:i/>
          <w:iCs/>
          <w:sz w:val="24"/>
          <w:szCs w:val="24"/>
        </w:rPr>
        <w:t>The Marketing Environment</w:t>
      </w:r>
      <w:r w:rsidRPr="00495E96">
        <w:rPr>
          <w:rFonts w:ascii="Arial" w:hAnsi="Arial" w:cs="Arial"/>
          <w:sz w:val="24"/>
          <w:szCs w:val="24"/>
        </w:rPr>
        <w:t>. London: Routledge.</w:t>
      </w:r>
    </w:p>
    <w:p w14:paraId="5C6DB7BC" w14:textId="77777777" w:rsidR="006B6ECA" w:rsidRDefault="006B6ECA" w:rsidP="00D245C1">
      <w:pPr>
        <w:spacing w:line="360" w:lineRule="auto"/>
        <w:ind w:left="720" w:hanging="720"/>
        <w:rPr>
          <w:rFonts w:ascii="Arial" w:hAnsi="Arial" w:cs="Arial"/>
          <w:sz w:val="24"/>
          <w:szCs w:val="24"/>
        </w:rPr>
      </w:pPr>
      <w:r w:rsidRPr="00725C66">
        <w:rPr>
          <w:rFonts w:ascii="Arial" w:hAnsi="Arial" w:cs="Arial"/>
          <w:sz w:val="24"/>
          <w:szCs w:val="24"/>
        </w:rPr>
        <w:t>Chaffey, D. and Ellis</w:t>
      </w:r>
      <w:r w:rsidRPr="00725C66">
        <w:rPr>
          <w:rFonts w:ascii="Cambria Math" w:hAnsi="Cambria Math" w:cs="Cambria Math"/>
          <w:sz w:val="24"/>
          <w:szCs w:val="24"/>
        </w:rPr>
        <w:t>‑</w:t>
      </w:r>
      <w:r w:rsidRPr="00725C66">
        <w:rPr>
          <w:rFonts w:ascii="Arial" w:hAnsi="Arial" w:cs="Arial"/>
          <w:sz w:val="24"/>
          <w:szCs w:val="24"/>
        </w:rPr>
        <w:t xml:space="preserve">Chadwick, F. (2019) Digital Marketing. 7th </w:t>
      </w:r>
      <w:proofErr w:type="spellStart"/>
      <w:r w:rsidRPr="00725C66">
        <w:rPr>
          <w:rFonts w:ascii="Arial" w:hAnsi="Arial" w:cs="Arial"/>
          <w:sz w:val="24"/>
          <w:szCs w:val="24"/>
        </w:rPr>
        <w:t>edn</w:t>
      </w:r>
      <w:proofErr w:type="spellEnd"/>
      <w:r w:rsidRPr="00725C66">
        <w:rPr>
          <w:rFonts w:ascii="Arial" w:hAnsi="Arial" w:cs="Arial"/>
          <w:sz w:val="24"/>
          <w:szCs w:val="24"/>
        </w:rPr>
        <w:t>. Harlow: Dawson, J.A. (2015) The Marketing Environment. London: Routledge.</w:t>
      </w:r>
    </w:p>
    <w:p w14:paraId="782E7E5C" w14:textId="77777777" w:rsidR="006B6ECA" w:rsidRDefault="006B6ECA" w:rsidP="002209BE">
      <w:pPr>
        <w:spacing w:line="360" w:lineRule="auto"/>
        <w:ind w:left="720" w:hanging="720"/>
        <w:rPr>
          <w:rFonts w:ascii="Arial" w:hAnsi="Arial" w:cs="Arial"/>
          <w:sz w:val="24"/>
          <w:szCs w:val="24"/>
        </w:rPr>
      </w:pPr>
      <w:r w:rsidRPr="002209BE">
        <w:rPr>
          <w:rFonts w:ascii="Arial" w:hAnsi="Arial" w:cs="Arial"/>
          <w:sz w:val="24"/>
          <w:szCs w:val="24"/>
        </w:rPr>
        <w:t xml:space="preserve">Eisenberg, E.M., Goodall, H.L., Trethewey, A. and </w:t>
      </w:r>
      <w:proofErr w:type="spellStart"/>
      <w:r w:rsidRPr="002209BE">
        <w:rPr>
          <w:rFonts w:ascii="Arial" w:hAnsi="Arial" w:cs="Arial"/>
          <w:sz w:val="24"/>
          <w:szCs w:val="24"/>
        </w:rPr>
        <w:t>LeGreco</w:t>
      </w:r>
      <w:proofErr w:type="spellEnd"/>
      <w:r w:rsidRPr="002209BE">
        <w:rPr>
          <w:rFonts w:ascii="Arial" w:hAnsi="Arial" w:cs="Arial"/>
          <w:sz w:val="24"/>
          <w:szCs w:val="24"/>
        </w:rPr>
        <w:t xml:space="preserve">, M. (2001) </w:t>
      </w:r>
      <w:r w:rsidRPr="002209BE">
        <w:rPr>
          <w:rFonts w:ascii="Arial" w:hAnsi="Arial" w:cs="Arial"/>
          <w:i/>
          <w:iCs/>
          <w:sz w:val="24"/>
          <w:szCs w:val="24"/>
        </w:rPr>
        <w:t>Organisational Communication: Balancing Creativity and Constraint</w:t>
      </w:r>
      <w:r w:rsidRPr="002209BE">
        <w:rPr>
          <w:rFonts w:ascii="Arial" w:hAnsi="Arial" w:cs="Arial"/>
          <w:sz w:val="24"/>
          <w:szCs w:val="24"/>
        </w:rPr>
        <w:t>. Boston: Bedford/St. Martin’s.</w:t>
      </w:r>
    </w:p>
    <w:p w14:paraId="2AB2922C" w14:textId="77777777" w:rsidR="006B6ECA" w:rsidRPr="00725C66" w:rsidRDefault="006B6ECA" w:rsidP="00725C66">
      <w:pPr>
        <w:spacing w:line="360" w:lineRule="auto"/>
        <w:ind w:left="720" w:hanging="720"/>
        <w:rPr>
          <w:rFonts w:ascii="Arial" w:hAnsi="Arial" w:cs="Arial"/>
          <w:sz w:val="24"/>
          <w:szCs w:val="24"/>
        </w:rPr>
      </w:pPr>
      <w:r w:rsidRPr="00725C66">
        <w:rPr>
          <w:rFonts w:ascii="Arial" w:hAnsi="Arial" w:cs="Arial"/>
          <w:sz w:val="24"/>
          <w:szCs w:val="24"/>
        </w:rPr>
        <w:t xml:space="preserve">Fifield, P. (2020) Marketing Strategy. 6th </w:t>
      </w:r>
      <w:proofErr w:type="spellStart"/>
      <w:r w:rsidRPr="00725C66">
        <w:rPr>
          <w:rFonts w:ascii="Arial" w:hAnsi="Arial" w:cs="Arial"/>
          <w:sz w:val="24"/>
          <w:szCs w:val="24"/>
        </w:rPr>
        <w:t>edn</w:t>
      </w:r>
      <w:proofErr w:type="spellEnd"/>
      <w:r w:rsidRPr="00725C66">
        <w:rPr>
          <w:rFonts w:ascii="Arial" w:hAnsi="Arial" w:cs="Arial"/>
          <w:sz w:val="24"/>
          <w:szCs w:val="24"/>
        </w:rPr>
        <w:t>. London: Routledge.</w:t>
      </w:r>
    </w:p>
    <w:p w14:paraId="1F9E7A7A" w14:textId="77777777" w:rsidR="006B6ECA" w:rsidRPr="0017237A" w:rsidRDefault="006B6ECA" w:rsidP="0017237A">
      <w:pPr>
        <w:spacing w:line="360" w:lineRule="auto"/>
        <w:ind w:left="720" w:hanging="720"/>
        <w:rPr>
          <w:rFonts w:ascii="Arial" w:hAnsi="Arial" w:cs="Arial"/>
          <w:sz w:val="24"/>
          <w:szCs w:val="24"/>
        </w:rPr>
      </w:pPr>
      <w:proofErr w:type="spellStart"/>
      <w:r w:rsidRPr="0017237A">
        <w:rPr>
          <w:rFonts w:ascii="Arial" w:hAnsi="Arial" w:cs="Arial"/>
          <w:sz w:val="24"/>
          <w:szCs w:val="24"/>
        </w:rPr>
        <w:t>Finspire</w:t>
      </w:r>
      <w:proofErr w:type="spellEnd"/>
      <w:r w:rsidRPr="0017237A">
        <w:rPr>
          <w:rFonts w:ascii="Arial" w:hAnsi="Arial" w:cs="Arial"/>
          <w:sz w:val="24"/>
          <w:szCs w:val="24"/>
        </w:rPr>
        <w:t xml:space="preserve"> Finance (2025) Growth Guarantee Scheme explained. Available at: https://finspirefinance.com/government-growth-guarantee-scheme-ggs-2025-explained/ (Accessed: 14 November 2025).</w:t>
      </w:r>
    </w:p>
    <w:p w14:paraId="1DCD61A8" w14:textId="77777777" w:rsidR="006B6ECA" w:rsidRPr="0017237A" w:rsidRDefault="006B6ECA" w:rsidP="0017237A">
      <w:pPr>
        <w:spacing w:line="360" w:lineRule="auto"/>
        <w:ind w:left="720" w:hanging="720"/>
        <w:rPr>
          <w:rFonts w:ascii="Arial" w:hAnsi="Arial" w:cs="Arial"/>
          <w:sz w:val="24"/>
          <w:szCs w:val="24"/>
        </w:rPr>
      </w:pPr>
      <w:r w:rsidRPr="0017237A">
        <w:rPr>
          <w:rFonts w:ascii="Arial" w:hAnsi="Arial" w:cs="Arial"/>
          <w:sz w:val="24"/>
          <w:szCs w:val="24"/>
        </w:rPr>
        <w:t>GOV.UK (2025) Set up a business. Available at: https://www.gov.uk/set-up-business (Accessed: 14 November 2025).</w:t>
      </w:r>
    </w:p>
    <w:p w14:paraId="6B281A82" w14:textId="77777777" w:rsidR="006B6ECA" w:rsidRDefault="006B6ECA" w:rsidP="00725C66">
      <w:pPr>
        <w:spacing w:line="360" w:lineRule="auto"/>
        <w:ind w:left="720" w:hanging="720"/>
        <w:rPr>
          <w:rFonts w:ascii="Arial" w:hAnsi="Arial" w:cs="Arial"/>
          <w:sz w:val="24"/>
          <w:szCs w:val="24"/>
        </w:rPr>
      </w:pPr>
      <w:r w:rsidRPr="00725C66">
        <w:rPr>
          <w:rFonts w:ascii="Arial" w:hAnsi="Arial" w:cs="Arial"/>
          <w:sz w:val="24"/>
          <w:szCs w:val="24"/>
        </w:rPr>
        <w:t xml:space="preserve">Hooley, G.J., Piercy, N.F. and Nicoulaud, B. (2024) Marketing Strategy and Competitive Positioning. 8th </w:t>
      </w:r>
      <w:proofErr w:type="spellStart"/>
      <w:r w:rsidRPr="00725C66">
        <w:rPr>
          <w:rFonts w:ascii="Arial" w:hAnsi="Arial" w:cs="Arial"/>
          <w:sz w:val="24"/>
          <w:szCs w:val="24"/>
        </w:rPr>
        <w:t>edn</w:t>
      </w:r>
      <w:proofErr w:type="spellEnd"/>
      <w:r w:rsidRPr="00725C66">
        <w:rPr>
          <w:rFonts w:ascii="Arial" w:hAnsi="Arial" w:cs="Arial"/>
          <w:sz w:val="24"/>
          <w:szCs w:val="24"/>
        </w:rPr>
        <w:t>. Harlow: Pearson.</w:t>
      </w:r>
    </w:p>
    <w:p w14:paraId="7C8DDB11" w14:textId="77777777" w:rsidR="006B6ECA" w:rsidRPr="00725C66" w:rsidRDefault="006B6ECA" w:rsidP="00725C66">
      <w:pPr>
        <w:spacing w:line="360" w:lineRule="auto"/>
        <w:ind w:left="720" w:hanging="720"/>
        <w:rPr>
          <w:rFonts w:ascii="Arial" w:hAnsi="Arial" w:cs="Arial"/>
          <w:sz w:val="24"/>
          <w:szCs w:val="24"/>
        </w:rPr>
      </w:pPr>
      <w:r w:rsidRPr="00725C66">
        <w:rPr>
          <w:rFonts w:ascii="Arial" w:hAnsi="Arial" w:cs="Arial"/>
          <w:sz w:val="24"/>
          <w:szCs w:val="24"/>
        </w:rPr>
        <w:t xml:space="preserve">Iacobucci, D. (2021) Marketing Management. 6th </w:t>
      </w:r>
      <w:proofErr w:type="spellStart"/>
      <w:r w:rsidRPr="00725C66">
        <w:rPr>
          <w:rFonts w:ascii="Arial" w:hAnsi="Arial" w:cs="Arial"/>
          <w:sz w:val="24"/>
          <w:szCs w:val="24"/>
        </w:rPr>
        <w:t>edn</w:t>
      </w:r>
      <w:proofErr w:type="spellEnd"/>
      <w:r w:rsidRPr="00725C66">
        <w:rPr>
          <w:rFonts w:ascii="Arial" w:hAnsi="Arial" w:cs="Arial"/>
          <w:sz w:val="24"/>
          <w:szCs w:val="24"/>
        </w:rPr>
        <w:t>. Boston: Cengage Learning.</w:t>
      </w:r>
    </w:p>
    <w:p w14:paraId="691A2677" w14:textId="77777777" w:rsidR="006B6ECA" w:rsidRDefault="006B6ECA" w:rsidP="0017237A">
      <w:pPr>
        <w:spacing w:line="360" w:lineRule="auto"/>
        <w:ind w:left="720" w:hanging="720"/>
        <w:rPr>
          <w:rFonts w:ascii="Arial" w:hAnsi="Arial" w:cs="Arial"/>
          <w:sz w:val="24"/>
          <w:szCs w:val="24"/>
        </w:rPr>
      </w:pPr>
      <w:r w:rsidRPr="0017237A">
        <w:rPr>
          <w:rFonts w:ascii="Arial" w:hAnsi="Arial" w:cs="Arial"/>
          <w:sz w:val="24"/>
          <w:szCs w:val="24"/>
        </w:rPr>
        <w:t>Information Commissioner’s Office (2025) Taking photos in schools. Available at: https://ico.org.uk/for-the-public/schools/photos (Accessed: 14 November 2025).</w:t>
      </w:r>
    </w:p>
    <w:p w14:paraId="2B4296D9" w14:textId="77777777" w:rsidR="006B6ECA" w:rsidRPr="0017237A" w:rsidRDefault="006B6ECA" w:rsidP="0017237A">
      <w:pPr>
        <w:spacing w:line="360" w:lineRule="auto"/>
        <w:ind w:left="720" w:hanging="720"/>
        <w:rPr>
          <w:rFonts w:ascii="Arial" w:hAnsi="Arial" w:cs="Arial"/>
          <w:sz w:val="24"/>
          <w:szCs w:val="24"/>
        </w:rPr>
      </w:pPr>
      <w:r w:rsidRPr="009C6ECE">
        <w:rPr>
          <w:rFonts w:ascii="Arial" w:hAnsi="Arial" w:cs="Arial"/>
          <w:sz w:val="24"/>
          <w:szCs w:val="24"/>
        </w:rPr>
        <w:lastRenderedPageBreak/>
        <w:t xml:space="preserve">Intellectual Property Office (2019) </w:t>
      </w:r>
      <w:r w:rsidRPr="009C6ECE">
        <w:rPr>
          <w:rFonts w:ascii="Arial" w:hAnsi="Arial" w:cs="Arial"/>
          <w:i/>
          <w:iCs/>
          <w:sz w:val="24"/>
          <w:szCs w:val="24"/>
        </w:rPr>
        <w:t>Copyright and GDPR for photographers</w:t>
      </w:r>
      <w:r w:rsidRPr="009C6ECE">
        <w:rPr>
          <w:rFonts w:ascii="Arial" w:hAnsi="Arial" w:cs="Arial"/>
          <w:sz w:val="24"/>
          <w:szCs w:val="24"/>
        </w:rPr>
        <w:t>. Available at: https://ipo.blog.gov.uk/2019/06/11/copyright-and-gdpr-for-photographers/ (Accessed: 14 November 2025).</w:t>
      </w:r>
    </w:p>
    <w:p w14:paraId="34A1C0B9" w14:textId="77777777" w:rsidR="006B6ECA" w:rsidRDefault="006B6ECA" w:rsidP="002209BE">
      <w:pPr>
        <w:spacing w:line="360" w:lineRule="auto"/>
        <w:ind w:left="720" w:hanging="720"/>
        <w:rPr>
          <w:rFonts w:ascii="Arial" w:hAnsi="Arial" w:cs="Arial"/>
          <w:sz w:val="24"/>
          <w:szCs w:val="24"/>
        </w:rPr>
      </w:pPr>
      <w:r w:rsidRPr="002209BE">
        <w:rPr>
          <w:rFonts w:ascii="Arial" w:hAnsi="Arial" w:cs="Arial"/>
          <w:sz w:val="24"/>
          <w:szCs w:val="24"/>
        </w:rPr>
        <w:t xml:space="preserve">Johnson, G., Scholes, K. and Whittington, R. (2020) </w:t>
      </w:r>
      <w:r w:rsidRPr="002209BE">
        <w:rPr>
          <w:rFonts w:ascii="Arial" w:hAnsi="Arial" w:cs="Arial"/>
          <w:i/>
          <w:iCs/>
          <w:sz w:val="24"/>
          <w:szCs w:val="24"/>
        </w:rPr>
        <w:t>Exploring Corporate Strategy: Text and Cases</w:t>
      </w:r>
      <w:r w:rsidRPr="002209BE">
        <w:rPr>
          <w:rFonts w:ascii="Arial" w:hAnsi="Arial" w:cs="Arial"/>
          <w:sz w:val="24"/>
          <w:szCs w:val="24"/>
        </w:rPr>
        <w:t xml:space="preserve">. 12th </w:t>
      </w:r>
      <w:proofErr w:type="spellStart"/>
      <w:r w:rsidRPr="002209BE">
        <w:rPr>
          <w:rFonts w:ascii="Arial" w:hAnsi="Arial" w:cs="Arial"/>
          <w:sz w:val="24"/>
          <w:szCs w:val="24"/>
        </w:rPr>
        <w:t>edn</w:t>
      </w:r>
      <w:proofErr w:type="spellEnd"/>
      <w:r w:rsidRPr="002209BE">
        <w:rPr>
          <w:rFonts w:ascii="Arial" w:hAnsi="Arial" w:cs="Arial"/>
          <w:sz w:val="24"/>
          <w:szCs w:val="24"/>
        </w:rPr>
        <w:t>. Harlow: Pearson Education.</w:t>
      </w:r>
    </w:p>
    <w:p w14:paraId="3C6B5465" w14:textId="77777777" w:rsidR="006B6ECA" w:rsidRPr="00725C66" w:rsidRDefault="006B6ECA" w:rsidP="00725C66">
      <w:pPr>
        <w:spacing w:line="360" w:lineRule="auto"/>
        <w:ind w:left="720" w:hanging="720"/>
        <w:rPr>
          <w:rFonts w:ascii="Arial" w:hAnsi="Arial" w:cs="Arial"/>
          <w:sz w:val="24"/>
          <w:szCs w:val="24"/>
        </w:rPr>
      </w:pPr>
      <w:r w:rsidRPr="00725C66">
        <w:rPr>
          <w:rFonts w:ascii="Arial" w:hAnsi="Arial" w:cs="Arial"/>
          <w:sz w:val="24"/>
          <w:szCs w:val="24"/>
        </w:rPr>
        <w:t xml:space="preserve">Kotler, P., Armstrong, G., Harris, L. and Piercy, N.F. (2020) Principles of Marketing. 8th European </w:t>
      </w:r>
      <w:proofErr w:type="spellStart"/>
      <w:r w:rsidRPr="00725C66">
        <w:rPr>
          <w:rFonts w:ascii="Arial" w:hAnsi="Arial" w:cs="Arial"/>
          <w:sz w:val="24"/>
          <w:szCs w:val="24"/>
        </w:rPr>
        <w:t>edn</w:t>
      </w:r>
      <w:proofErr w:type="spellEnd"/>
      <w:r w:rsidRPr="00725C66">
        <w:rPr>
          <w:rFonts w:ascii="Arial" w:hAnsi="Arial" w:cs="Arial"/>
          <w:sz w:val="24"/>
          <w:szCs w:val="24"/>
        </w:rPr>
        <w:t>. Harlow: Pearson.</w:t>
      </w:r>
    </w:p>
    <w:p w14:paraId="7C9182B3" w14:textId="77777777" w:rsidR="006B6ECA" w:rsidRDefault="006B6ECA" w:rsidP="002209BE">
      <w:pPr>
        <w:spacing w:line="360" w:lineRule="auto"/>
        <w:ind w:left="720" w:hanging="720"/>
        <w:rPr>
          <w:rFonts w:ascii="Arial" w:hAnsi="Arial" w:cs="Arial"/>
          <w:sz w:val="24"/>
          <w:szCs w:val="24"/>
        </w:rPr>
      </w:pPr>
      <w:r w:rsidRPr="00495E96">
        <w:rPr>
          <w:rFonts w:ascii="Arial" w:hAnsi="Arial" w:cs="Arial"/>
          <w:sz w:val="24"/>
          <w:szCs w:val="24"/>
        </w:rPr>
        <w:t xml:space="preserve">Law, J. (ed.) (2016) </w:t>
      </w:r>
      <w:r w:rsidRPr="00495E96">
        <w:rPr>
          <w:rFonts w:ascii="Arial" w:hAnsi="Arial" w:cs="Arial"/>
          <w:i/>
          <w:iCs/>
          <w:sz w:val="24"/>
          <w:szCs w:val="24"/>
        </w:rPr>
        <w:t>A Dictionary of Business and Management</w:t>
      </w:r>
      <w:r w:rsidRPr="00495E96">
        <w:rPr>
          <w:rFonts w:ascii="Arial" w:hAnsi="Arial" w:cs="Arial"/>
          <w:sz w:val="24"/>
          <w:szCs w:val="24"/>
        </w:rPr>
        <w:t xml:space="preserve">. 6th </w:t>
      </w:r>
      <w:proofErr w:type="spellStart"/>
      <w:r w:rsidRPr="00495E96">
        <w:rPr>
          <w:rFonts w:ascii="Arial" w:hAnsi="Arial" w:cs="Arial"/>
          <w:sz w:val="24"/>
          <w:szCs w:val="24"/>
        </w:rPr>
        <w:t>edn</w:t>
      </w:r>
      <w:proofErr w:type="spellEnd"/>
      <w:r w:rsidRPr="00495E96">
        <w:rPr>
          <w:rFonts w:ascii="Arial" w:hAnsi="Arial" w:cs="Arial"/>
          <w:sz w:val="24"/>
          <w:szCs w:val="24"/>
        </w:rPr>
        <w:t>. Oxford: Oxford University Press.</w:t>
      </w:r>
    </w:p>
    <w:p w14:paraId="75500F53" w14:textId="77777777" w:rsidR="006B6ECA" w:rsidRPr="00725C66" w:rsidRDefault="006B6ECA" w:rsidP="00725C66">
      <w:pPr>
        <w:spacing w:line="360" w:lineRule="auto"/>
        <w:ind w:left="720" w:hanging="720"/>
        <w:rPr>
          <w:rFonts w:ascii="Arial" w:hAnsi="Arial" w:cs="Arial"/>
          <w:sz w:val="24"/>
          <w:szCs w:val="24"/>
        </w:rPr>
      </w:pPr>
      <w:r w:rsidRPr="00725C66">
        <w:rPr>
          <w:rFonts w:ascii="Arial" w:hAnsi="Arial" w:cs="Arial"/>
          <w:sz w:val="24"/>
          <w:szCs w:val="24"/>
        </w:rPr>
        <w:t>McCarthy, E.J. (1960) Basic Marketing: A Managerial Approach. Homewood, IL: Irwin.</w:t>
      </w:r>
    </w:p>
    <w:p w14:paraId="1B68DE90" w14:textId="77777777" w:rsidR="006B6ECA" w:rsidRPr="00725C66" w:rsidRDefault="006B6ECA" w:rsidP="00725C66">
      <w:pPr>
        <w:spacing w:line="360" w:lineRule="auto"/>
        <w:ind w:left="720" w:hanging="720"/>
        <w:rPr>
          <w:rFonts w:ascii="Arial" w:hAnsi="Arial" w:cs="Arial"/>
          <w:sz w:val="24"/>
          <w:szCs w:val="24"/>
        </w:rPr>
      </w:pPr>
      <w:proofErr w:type="spellStart"/>
      <w:r w:rsidRPr="00467AAF">
        <w:rPr>
          <w:rFonts w:ascii="Arial" w:hAnsi="Arial" w:cs="Arial"/>
          <w:sz w:val="24"/>
          <w:szCs w:val="24"/>
        </w:rPr>
        <w:t>nPhoto</w:t>
      </w:r>
      <w:proofErr w:type="spellEnd"/>
      <w:r w:rsidRPr="00467AAF">
        <w:rPr>
          <w:rFonts w:ascii="Arial" w:hAnsi="Arial" w:cs="Arial"/>
          <w:sz w:val="24"/>
          <w:szCs w:val="24"/>
        </w:rPr>
        <w:t xml:space="preserve"> (no date) </w:t>
      </w:r>
      <w:r w:rsidRPr="00467AAF">
        <w:rPr>
          <w:rFonts w:ascii="Arial" w:hAnsi="Arial" w:cs="Arial"/>
          <w:i/>
          <w:iCs/>
          <w:sz w:val="24"/>
          <w:szCs w:val="24"/>
        </w:rPr>
        <w:t>Photo Album Creative</w:t>
      </w:r>
      <w:r w:rsidRPr="00467AAF">
        <w:rPr>
          <w:rFonts w:ascii="Arial" w:hAnsi="Arial" w:cs="Arial"/>
          <w:sz w:val="24"/>
          <w:szCs w:val="24"/>
        </w:rPr>
        <w:t xml:space="preserve">. Available at: https://nphoto.com/en/get-inspired/photo-album-creative (Accessed: </w:t>
      </w:r>
      <w:r>
        <w:rPr>
          <w:rFonts w:ascii="Arial" w:hAnsi="Arial" w:cs="Arial"/>
          <w:sz w:val="24"/>
          <w:szCs w:val="24"/>
        </w:rPr>
        <w:t>11</w:t>
      </w:r>
      <w:r w:rsidRPr="00467AAF">
        <w:rPr>
          <w:rFonts w:ascii="Arial" w:hAnsi="Arial" w:cs="Arial"/>
          <w:sz w:val="24"/>
          <w:szCs w:val="24"/>
        </w:rPr>
        <w:t xml:space="preserve"> November 2025).</w:t>
      </w:r>
    </w:p>
    <w:p w14:paraId="212EF416" w14:textId="77777777" w:rsidR="006B6ECA" w:rsidRPr="00725C66" w:rsidRDefault="006B6ECA" w:rsidP="00725C66">
      <w:pPr>
        <w:spacing w:line="360" w:lineRule="auto"/>
        <w:ind w:left="720" w:hanging="720"/>
        <w:rPr>
          <w:rFonts w:ascii="Arial" w:hAnsi="Arial" w:cs="Arial"/>
          <w:sz w:val="24"/>
          <w:szCs w:val="24"/>
        </w:rPr>
      </w:pPr>
      <w:r w:rsidRPr="00725C66">
        <w:rPr>
          <w:rFonts w:ascii="Arial" w:hAnsi="Arial" w:cs="Arial"/>
          <w:sz w:val="24"/>
          <w:szCs w:val="24"/>
        </w:rPr>
        <w:t>Payne, A. and Frow, P. (2005) ‘A Strategic Framework for Customer Relationship Management’, Journal of Marketing, 69(4), pp. 167–176.</w:t>
      </w:r>
    </w:p>
    <w:p w14:paraId="2156A532" w14:textId="77777777" w:rsidR="006B6ECA" w:rsidRPr="00725C66" w:rsidRDefault="006B6ECA" w:rsidP="00725C66">
      <w:pPr>
        <w:spacing w:line="360" w:lineRule="auto"/>
        <w:ind w:left="720" w:hanging="720"/>
        <w:rPr>
          <w:rFonts w:ascii="Arial" w:hAnsi="Arial" w:cs="Arial"/>
          <w:sz w:val="24"/>
          <w:szCs w:val="24"/>
        </w:rPr>
      </w:pPr>
      <w:r w:rsidRPr="00725C66">
        <w:rPr>
          <w:rFonts w:ascii="Arial" w:hAnsi="Arial" w:cs="Arial"/>
          <w:sz w:val="24"/>
          <w:szCs w:val="24"/>
        </w:rPr>
        <w:t>Sood, T. (ed.) (2017) Strategic Marketing Management and Tactics in the Service Industry. Hershey, PA: IGI Global.</w:t>
      </w:r>
    </w:p>
    <w:p w14:paraId="140C214B" w14:textId="77777777" w:rsidR="006B6ECA" w:rsidRPr="0017237A" w:rsidRDefault="006B6ECA" w:rsidP="0017237A">
      <w:pPr>
        <w:spacing w:line="360" w:lineRule="auto"/>
        <w:ind w:left="720" w:hanging="720"/>
        <w:rPr>
          <w:rFonts w:ascii="Arial" w:hAnsi="Arial" w:cs="Arial"/>
          <w:sz w:val="24"/>
          <w:szCs w:val="24"/>
        </w:rPr>
      </w:pPr>
      <w:r w:rsidRPr="0017237A">
        <w:rPr>
          <w:rFonts w:ascii="Arial" w:hAnsi="Arial" w:cs="Arial"/>
          <w:sz w:val="24"/>
          <w:szCs w:val="24"/>
        </w:rPr>
        <w:t>Turban, E., Pollard, C. and Wood, G. (2017) Information Technology for Management: On-Demand Strategies for Performance, Growth, and Sustainability. Hoboken, NJ: Wiley.</w:t>
      </w:r>
    </w:p>
    <w:p w14:paraId="30660194" w14:textId="77777777" w:rsidR="006B6ECA" w:rsidRPr="00725C66" w:rsidRDefault="006B6ECA" w:rsidP="00725C66">
      <w:pPr>
        <w:spacing w:line="360" w:lineRule="auto"/>
        <w:ind w:left="720" w:hanging="720"/>
        <w:rPr>
          <w:rFonts w:ascii="Arial" w:hAnsi="Arial" w:cs="Arial"/>
          <w:sz w:val="24"/>
          <w:szCs w:val="24"/>
        </w:rPr>
      </w:pPr>
      <w:r w:rsidRPr="00725C66">
        <w:rPr>
          <w:rFonts w:ascii="Arial" w:hAnsi="Arial" w:cs="Arial"/>
          <w:sz w:val="24"/>
          <w:szCs w:val="24"/>
        </w:rPr>
        <w:t>Vargo, S.L. and Lusch, R.F. (2004) ‘Evolving to a New Dominant Logic for Marketing’, Journal of Marketing, 68(1), pp. 1–17.</w:t>
      </w:r>
    </w:p>
    <w:p w14:paraId="5457619B" w14:textId="77777777" w:rsidR="006B6ECA" w:rsidRPr="0017237A" w:rsidRDefault="006B6ECA" w:rsidP="0017237A">
      <w:pPr>
        <w:spacing w:line="360" w:lineRule="auto"/>
        <w:ind w:left="720" w:hanging="720"/>
        <w:rPr>
          <w:rFonts w:ascii="Arial" w:hAnsi="Arial" w:cs="Arial"/>
          <w:sz w:val="24"/>
          <w:szCs w:val="24"/>
        </w:rPr>
      </w:pPr>
      <w:r w:rsidRPr="0017237A">
        <w:rPr>
          <w:rFonts w:ascii="Arial" w:hAnsi="Arial" w:cs="Arial"/>
          <w:sz w:val="24"/>
          <w:szCs w:val="24"/>
        </w:rPr>
        <w:t xml:space="preserve">Whittington, R., Johnson, G. and Scholes, K. (2020) Exploring Strategy: Text and Cases. 12th </w:t>
      </w:r>
      <w:proofErr w:type="spellStart"/>
      <w:r w:rsidRPr="0017237A">
        <w:rPr>
          <w:rFonts w:ascii="Arial" w:hAnsi="Arial" w:cs="Arial"/>
          <w:sz w:val="24"/>
          <w:szCs w:val="24"/>
        </w:rPr>
        <w:t>edn</w:t>
      </w:r>
      <w:proofErr w:type="spellEnd"/>
      <w:r w:rsidRPr="0017237A">
        <w:rPr>
          <w:rFonts w:ascii="Arial" w:hAnsi="Arial" w:cs="Arial"/>
          <w:sz w:val="24"/>
          <w:szCs w:val="24"/>
        </w:rPr>
        <w:t>. Harlow: Pearson Education.</w:t>
      </w:r>
    </w:p>
    <w:p w14:paraId="37486528" w14:textId="77777777" w:rsidR="006B6ECA" w:rsidRPr="002209BE" w:rsidRDefault="006B6ECA" w:rsidP="0017237A">
      <w:pPr>
        <w:spacing w:line="360" w:lineRule="auto"/>
        <w:ind w:left="720" w:hanging="720"/>
        <w:rPr>
          <w:rFonts w:ascii="Arial" w:hAnsi="Arial" w:cs="Arial"/>
          <w:sz w:val="24"/>
          <w:szCs w:val="24"/>
        </w:rPr>
      </w:pPr>
      <w:r w:rsidRPr="0017237A">
        <w:rPr>
          <w:rFonts w:ascii="Arial" w:hAnsi="Arial" w:cs="Arial"/>
          <w:sz w:val="24"/>
          <w:szCs w:val="24"/>
        </w:rPr>
        <w:t xml:space="preserve">Williams, S. (2022) The Financial Times Guide to Business Start Up 2021/23. 32nd </w:t>
      </w:r>
      <w:proofErr w:type="spellStart"/>
      <w:r w:rsidRPr="0017237A">
        <w:rPr>
          <w:rFonts w:ascii="Arial" w:hAnsi="Arial" w:cs="Arial"/>
          <w:sz w:val="24"/>
          <w:szCs w:val="24"/>
        </w:rPr>
        <w:t>edn</w:t>
      </w:r>
      <w:proofErr w:type="spellEnd"/>
      <w:r w:rsidRPr="0017237A">
        <w:rPr>
          <w:rFonts w:ascii="Arial" w:hAnsi="Arial" w:cs="Arial"/>
          <w:sz w:val="24"/>
          <w:szCs w:val="24"/>
        </w:rPr>
        <w:t>. Harlow: Pearson.</w:t>
      </w:r>
    </w:p>
    <w:sectPr w:rsidR="006B6ECA" w:rsidRPr="002209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4347D"/>
    <w:multiLevelType w:val="hybridMultilevel"/>
    <w:tmpl w:val="D2021DBA"/>
    <w:lvl w:ilvl="0" w:tplc="BFF237C0">
      <w:start w:val="1"/>
      <w:numFmt w:val="bullet"/>
      <w:lvlText w:val="•"/>
      <w:lvlJc w:val="left"/>
      <w:pPr>
        <w:tabs>
          <w:tab w:val="num" w:pos="720"/>
        </w:tabs>
        <w:ind w:left="720" w:hanging="360"/>
      </w:pPr>
      <w:rPr>
        <w:rFonts w:ascii="Arial" w:hAnsi="Arial" w:hint="default"/>
      </w:rPr>
    </w:lvl>
    <w:lvl w:ilvl="1" w:tplc="5194FFD4" w:tentative="1">
      <w:start w:val="1"/>
      <w:numFmt w:val="bullet"/>
      <w:lvlText w:val="•"/>
      <w:lvlJc w:val="left"/>
      <w:pPr>
        <w:tabs>
          <w:tab w:val="num" w:pos="1440"/>
        </w:tabs>
        <w:ind w:left="1440" w:hanging="360"/>
      </w:pPr>
      <w:rPr>
        <w:rFonts w:ascii="Arial" w:hAnsi="Arial" w:hint="default"/>
      </w:rPr>
    </w:lvl>
    <w:lvl w:ilvl="2" w:tplc="338AA81E" w:tentative="1">
      <w:start w:val="1"/>
      <w:numFmt w:val="bullet"/>
      <w:lvlText w:val="•"/>
      <w:lvlJc w:val="left"/>
      <w:pPr>
        <w:tabs>
          <w:tab w:val="num" w:pos="2160"/>
        </w:tabs>
        <w:ind w:left="2160" w:hanging="360"/>
      </w:pPr>
      <w:rPr>
        <w:rFonts w:ascii="Arial" w:hAnsi="Arial" w:hint="default"/>
      </w:rPr>
    </w:lvl>
    <w:lvl w:ilvl="3" w:tplc="085E4658" w:tentative="1">
      <w:start w:val="1"/>
      <w:numFmt w:val="bullet"/>
      <w:lvlText w:val="•"/>
      <w:lvlJc w:val="left"/>
      <w:pPr>
        <w:tabs>
          <w:tab w:val="num" w:pos="2880"/>
        </w:tabs>
        <w:ind w:left="2880" w:hanging="360"/>
      </w:pPr>
      <w:rPr>
        <w:rFonts w:ascii="Arial" w:hAnsi="Arial" w:hint="default"/>
      </w:rPr>
    </w:lvl>
    <w:lvl w:ilvl="4" w:tplc="2C984372" w:tentative="1">
      <w:start w:val="1"/>
      <w:numFmt w:val="bullet"/>
      <w:lvlText w:val="•"/>
      <w:lvlJc w:val="left"/>
      <w:pPr>
        <w:tabs>
          <w:tab w:val="num" w:pos="3600"/>
        </w:tabs>
        <w:ind w:left="3600" w:hanging="360"/>
      </w:pPr>
      <w:rPr>
        <w:rFonts w:ascii="Arial" w:hAnsi="Arial" w:hint="default"/>
      </w:rPr>
    </w:lvl>
    <w:lvl w:ilvl="5" w:tplc="F46671F6" w:tentative="1">
      <w:start w:val="1"/>
      <w:numFmt w:val="bullet"/>
      <w:lvlText w:val="•"/>
      <w:lvlJc w:val="left"/>
      <w:pPr>
        <w:tabs>
          <w:tab w:val="num" w:pos="4320"/>
        </w:tabs>
        <w:ind w:left="4320" w:hanging="360"/>
      </w:pPr>
      <w:rPr>
        <w:rFonts w:ascii="Arial" w:hAnsi="Arial" w:hint="default"/>
      </w:rPr>
    </w:lvl>
    <w:lvl w:ilvl="6" w:tplc="5E7672D2" w:tentative="1">
      <w:start w:val="1"/>
      <w:numFmt w:val="bullet"/>
      <w:lvlText w:val="•"/>
      <w:lvlJc w:val="left"/>
      <w:pPr>
        <w:tabs>
          <w:tab w:val="num" w:pos="5040"/>
        </w:tabs>
        <w:ind w:left="5040" w:hanging="360"/>
      </w:pPr>
      <w:rPr>
        <w:rFonts w:ascii="Arial" w:hAnsi="Arial" w:hint="default"/>
      </w:rPr>
    </w:lvl>
    <w:lvl w:ilvl="7" w:tplc="789208C8" w:tentative="1">
      <w:start w:val="1"/>
      <w:numFmt w:val="bullet"/>
      <w:lvlText w:val="•"/>
      <w:lvlJc w:val="left"/>
      <w:pPr>
        <w:tabs>
          <w:tab w:val="num" w:pos="5760"/>
        </w:tabs>
        <w:ind w:left="5760" w:hanging="360"/>
      </w:pPr>
      <w:rPr>
        <w:rFonts w:ascii="Arial" w:hAnsi="Arial" w:hint="default"/>
      </w:rPr>
    </w:lvl>
    <w:lvl w:ilvl="8" w:tplc="32FC72D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C36FF5"/>
    <w:multiLevelType w:val="multilevel"/>
    <w:tmpl w:val="A70CE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A1B6B2D"/>
    <w:multiLevelType w:val="multilevel"/>
    <w:tmpl w:val="BD98F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F5E7E49"/>
    <w:multiLevelType w:val="hybridMultilevel"/>
    <w:tmpl w:val="1638BF1E"/>
    <w:lvl w:ilvl="0" w:tplc="87CE6696">
      <w:start w:val="1"/>
      <w:numFmt w:val="bullet"/>
      <w:lvlText w:val="•"/>
      <w:lvlJc w:val="left"/>
      <w:pPr>
        <w:tabs>
          <w:tab w:val="num" w:pos="720"/>
        </w:tabs>
        <w:ind w:left="720" w:hanging="360"/>
      </w:pPr>
      <w:rPr>
        <w:rFonts w:ascii="Arial" w:hAnsi="Arial" w:hint="default"/>
      </w:rPr>
    </w:lvl>
    <w:lvl w:ilvl="1" w:tplc="DF8C7C86" w:tentative="1">
      <w:start w:val="1"/>
      <w:numFmt w:val="bullet"/>
      <w:lvlText w:val="•"/>
      <w:lvlJc w:val="left"/>
      <w:pPr>
        <w:tabs>
          <w:tab w:val="num" w:pos="1440"/>
        </w:tabs>
        <w:ind w:left="1440" w:hanging="360"/>
      </w:pPr>
      <w:rPr>
        <w:rFonts w:ascii="Arial" w:hAnsi="Arial" w:hint="default"/>
      </w:rPr>
    </w:lvl>
    <w:lvl w:ilvl="2" w:tplc="855CC530" w:tentative="1">
      <w:start w:val="1"/>
      <w:numFmt w:val="bullet"/>
      <w:lvlText w:val="•"/>
      <w:lvlJc w:val="left"/>
      <w:pPr>
        <w:tabs>
          <w:tab w:val="num" w:pos="2160"/>
        </w:tabs>
        <w:ind w:left="2160" w:hanging="360"/>
      </w:pPr>
      <w:rPr>
        <w:rFonts w:ascii="Arial" w:hAnsi="Arial" w:hint="default"/>
      </w:rPr>
    </w:lvl>
    <w:lvl w:ilvl="3" w:tplc="4D423CCE" w:tentative="1">
      <w:start w:val="1"/>
      <w:numFmt w:val="bullet"/>
      <w:lvlText w:val="•"/>
      <w:lvlJc w:val="left"/>
      <w:pPr>
        <w:tabs>
          <w:tab w:val="num" w:pos="2880"/>
        </w:tabs>
        <w:ind w:left="2880" w:hanging="360"/>
      </w:pPr>
      <w:rPr>
        <w:rFonts w:ascii="Arial" w:hAnsi="Arial" w:hint="default"/>
      </w:rPr>
    </w:lvl>
    <w:lvl w:ilvl="4" w:tplc="3F5E6E5A" w:tentative="1">
      <w:start w:val="1"/>
      <w:numFmt w:val="bullet"/>
      <w:lvlText w:val="•"/>
      <w:lvlJc w:val="left"/>
      <w:pPr>
        <w:tabs>
          <w:tab w:val="num" w:pos="3600"/>
        </w:tabs>
        <w:ind w:left="3600" w:hanging="360"/>
      </w:pPr>
      <w:rPr>
        <w:rFonts w:ascii="Arial" w:hAnsi="Arial" w:hint="default"/>
      </w:rPr>
    </w:lvl>
    <w:lvl w:ilvl="5" w:tplc="FC40CC22" w:tentative="1">
      <w:start w:val="1"/>
      <w:numFmt w:val="bullet"/>
      <w:lvlText w:val="•"/>
      <w:lvlJc w:val="left"/>
      <w:pPr>
        <w:tabs>
          <w:tab w:val="num" w:pos="4320"/>
        </w:tabs>
        <w:ind w:left="4320" w:hanging="360"/>
      </w:pPr>
      <w:rPr>
        <w:rFonts w:ascii="Arial" w:hAnsi="Arial" w:hint="default"/>
      </w:rPr>
    </w:lvl>
    <w:lvl w:ilvl="6" w:tplc="ECC4D642" w:tentative="1">
      <w:start w:val="1"/>
      <w:numFmt w:val="bullet"/>
      <w:lvlText w:val="•"/>
      <w:lvlJc w:val="left"/>
      <w:pPr>
        <w:tabs>
          <w:tab w:val="num" w:pos="5040"/>
        </w:tabs>
        <w:ind w:left="5040" w:hanging="360"/>
      </w:pPr>
      <w:rPr>
        <w:rFonts w:ascii="Arial" w:hAnsi="Arial" w:hint="default"/>
      </w:rPr>
    </w:lvl>
    <w:lvl w:ilvl="7" w:tplc="4CB0887C" w:tentative="1">
      <w:start w:val="1"/>
      <w:numFmt w:val="bullet"/>
      <w:lvlText w:val="•"/>
      <w:lvlJc w:val="left"/>
      <w:pPr>
        <w:tabs>
          <w:tab w:val="num" w:pos="5760"/>
        </w:tabs>
        <w:ind w:left="5760" w:hanging="360"/>
      </w:pPr>
      <w:rPr>
        <w:rFonts w:ascii="Arial" w:hAnsi="Arial" w:hint="default"/>
      </w:rPr>
    </w:lvl>
    <w:lvl w:ilvl="8" w:tplc="A35472F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FDF69EE"/>
    <w:multiLevelType w:val="hybridMultilevel"/>
    <w:tmpl w:val="29AADC86"/>
    <w:lvl w:ilvl="0" w:tplc="7F149FD2">
      <w:start w:val="1"/>
      <w:numFmt w:val="bullet"/>
      <w:lvlText w:val="•"/>
      <w:lvlJc w:val="left"/>
      <w:pPr>
        <w:tabs>
          <w:tab w:val="num" w:pos="720"/>
        </w:tabs>
        <w:ind w:left="720" w:hanging="360"/>
      </w:pPr>
      <w:rPr>
        <w:rFonts w:ascii="Arial" w:hAnsi="Arial" w:hint="default"/>
      </w:rPr>
    </w:lvl>
    <w:lvl w:ilvl="1" w:tplc="AC7CAD32" w:tentative="1">
      <w:start w:val="1"/>
      <w:numFmt w:val="bullet"/>
      <w:lvlText w:val="•"/>
      <w:lvlJc w:val="left"/>
      <w:pPr>
        <w:tabs>
          <w:tab w:val="num" w:pos="1440"/>
        </w:tabs>
        <w:ind w:left="1440" w:hanging="360"/>
      </w:pPr>
      <w:rPr>
        <w:rFonts w:ascii="Arial" w:hAnsi="Arial" w:hint="default"/>
      </w:rPr>
    </w:lvl>
    <w:lvl w:ilvl="2" w:tplc="01628010" w:tentative="1">
      <w:start w:val="1"/>
      <w:numFmt w:val="bullet"/>
      <w:lvlText w:val="•"/>
      <w:lvlJc w:val="left"/>
      <w:pPr>
        <w:tabs>
          <w:tab w:val="num" w:pos="2160"/>
        </w:tabs>
        <w:ind w:left="2160" w:hanging="360"/>
      </w:pPr>
      <w:rPr>
        <w:rFonts w:ascii="Arial" w:hAnsi="Arial" w:hint="default"/>
      </w:rPr>
    </w:lvl>
    <w:lvl w:ilvl="3" w:tplc="734CBB38" w:tentative="1">
      <w:start w:val="1"/>
      <w:numFmt w:val="bullet"/>
      <w:lvlText w:val="•"/>
      <w:lvlJc w:val="left"/>
      <w:pPr>
        <w:tabs>
          <w:tab w:val="num" w:pos="2880"/>
        </w:tabs>
        <w:ind w:left="2880" w:hanging="360"/>
      </w:pPr>
      <w:rPr>
        <w:rFonts w:ascii="Arial" w:hAnsi="Arial" w:hint="default"/>
      </w:rPr>
    </w:lvl>
    <w:lvl w:ilvl="4" w:tplc="FBAA52E6" w:tentative="1">
      <w:start w:val="1"/>
      <w:numFmt w:val="bullet"/>
      <w:lvlText w:val="•"/>
      <w:lvlJc w:val="left"/>
      <w:pPr>
        <w:tabs>
          <w:tab w:val="num" w:pos="3600"/>
        </w:tabs>
        <w:ind w:left="3600" w:hanging="360"/>
      </w:pPr>
      <w:rPr>
        <w:rFonts w:ascii="Arial" w:hAnsi="Arial" w:hint="default"/>
      </w:rPr>
    </w:lvl>
    <w:lvl w:ilvl="5" w:tplc="D3C8325A" w:tentative="1">
      <w:start w:val="1"/>
      <w:numFmt w:val="bullet"/>
      <w:lvlText w:val="•"/>
      <w:lvlJc w:val="left"/>
      <w:pPr>
        <w:tabs>
          <w:tab w:val="num" w:pos="4320"/>
        </w:tabs>
        <w:ind w:left="4320" w:hanging="360"/>
      </w:pPr>
      <w:rPr>
        <w:rFonts w:ascii="Arial" w:hAnsi="Arial" w:hint="default"/>
      </w:rPr>
    </w:lvl>
    <w:lvl w:ilvl="6" w:tplc="0A4C72C6" w:tentative="1">
      <w:start w:val="1"/>
      <w:numFmt w:val="bullet"/>
      <w:lvlText w:val="•"/>
      <w:lvlJc w:val="left"/>
      <w:pPr>
        <w:tabs>
          <w:tab w:val="num" w:pos="5040"/>
        </w:tabs>
        <w:ind w:left="5040" w:hanging="360"/>
      </w:pPr>
      <w:rPr>
        <w:rFonts w:ascii="Arial" w:hAnsi="Arial" w:hint="default"/>
      </w:rPr>
    </w:lvl>
    <w:lvl w:ilvl="7" w:tplc="932CADB6" w:tentative="1">
      <w:start w:val="1"/>
      <w:numFmt w:val="bullet"/>
      <w:lvlText w:val="•"/>
      <w:lvlJc w:val="left"/>
      <w:pPr>
        <w:tabs>
          <w:tab w:val="num" w:pos="5760"/>
        </w:tabs>
        <w:ind w:left="5760" w:hanging="360"/>
      </w:pPr>
      <w:rPr>
        <w:rFonts w:ascii="Arial" w:hAnsi="Arial" w:hint="default"/>
      </w:rPr>
    </w:lvl>
    <w:lvl w:ilvl="8" w:tplc="C736D68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EBB67F5"/>
    <w:multiLevelType w:val="multilevel"/>
    <w:tmpl w:val="DD3A9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939050B"/>
    <w:multiLevelType w:val="multilevel"/>
    <w:tmpl w:val="617C34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BD232F1"/>
    <w:multiLevelType w:val="multilevel"/>
    <w:tmpl w:val="1CC2C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F57526"/>
    <w:multiLevelType w:val="multilevel"/>
    <w:tmpl w:val="15689F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1337335"/>
    <w:multiLevelType w:val="hybridMultilevel"/>
    <w:tmpl w:val="D0388A50"/>
    <w:lvl w:ilvl="0" w:tplc="B58ADF40">
      <w:start w:val="1"/>
      <w:numFmt w:val="bullet"/>
      <w:lvlText w:val="•"/>
      <w:lvlJc w:val="left"/>
      <w:pPr>
        <w:tabs>
          <w:tab w:val="num" w:pos="720"/>
        </w:tabs>
        <w:ind w:left="720" w:hanging="360"/>
      </w:pPr>
      <w:rPr>
        <w:rFonts w:ascii="Arial" w:hAnsi="Arial" w:hint="default"/>
      </w:rPr>
    </w:lvl>
    <w:lvl w:ilvl="1" w:tplc="2140E17E" w:tentative="1">
      <w:start w:val="1"/>
      <w:numFmt w:val="bullet"/>
      <w:lvlText w:val="•"/>
      <w:lvlJc w:val="left"/>
      <w:pPr>
        <w:tabs>
          <w:tab w:val="num" w:pos="1440"/>
        </w:tabs>
        <w:ind w:left="1440" w:hanging="360"/>
      </w:pPr>
      <w:rPr>
        <w:rFonts w:ascii="Arial" w:hAnsi="Arial" w:hint="default"/>
      </w:rPr>
    </w:lvl>
    <w:lvl w:ilvl="2" w:tplc="5DDE744E" w:tentative="1">
      <w:start w:val="1"/>
      <w:numFmt w:val="bullet"/>
      <w:lvlText w:val="•"/>
      <w:lvlJc w:val="left"/>
      <w:pPr>
        <w:tabs>
          <w:tab w:val="num" w:pos="2160"/>
        </w:tabs>
        <w:ind w:left="2160" w:hanging="360"/>
      </w:pPr>
      <w:rPr>
        <w:rFonts w:ascii="Arial" w:hAnsi="Arial" w:hint="default"/>
      </w:rPr>
    </w:lvl>
    <w:lvl w:ilvl="3" w:tplc="6F907F62" w:tentative="1">
      <w:start w:val="1"/>
      <w:numFmt w:val="bullet"/>
      <w:lvlText w:val="•"/>
      <w:lvlJc w:val="left"/>
      <w:pPr>
        <w:tabs>
          <w:tab w:val="num" w:pos="2880"/>
        </w:tabs>
        <w:ind w:left="2880" w:hanging="360"/>
      </w:pPr>
      <w:rPr>
        <w:rFonts w:ascii="Arial" w:hAnsi="Arial" w:hint="default"/>
      </w:rPr>
    </w:lvl>
    <w:lvl w:ilvl="4" w:tplc="42484D98" w:tentative="1">
      <w:start w:val="1"/>
      <w:numFmt w:val="bullet"/>
      <w:lvlText w:val="•"/>
      <w:lvlJc w:val="left"/>
      <w:pPr>
        <w:tabs>
          <w:tab w:val="num" w:pos="3600"/>
        </w:tabs>
        <w:ind w:left="3600" w:hanging="360"/>
      </w:pPr>
      <w:rPr>
        <w:rFonts w:ascii="Arial" w:hAnsi="Arial" w:hint="default"/>
      </w:rPr>
    </w:lvl>
    <w:lvl w:ilvl="5" w:tplc="1ECCFBB4" w:tentative="1">
      <w:start w:val="1"/>
      <w:numFmt w:val="bullet"/>
      <w:lvlText w:val="•"/>
      <w:lvlJc w:val="left"/>
      <w:pPr>
        <w:tabs>
          <w:tab w:val="num" w:pos="4320"/>
        </w:tabs>
        <w:ind w:left="4320" w:hanging="360"/>
      </w:pPr>
      <w:rPr>
        <w:rFonts w:ascii="Arial" w:hAnsi="Arial" w:hint="default"/>
      </w:rPr>
    </w:lvl>
    <w:lvl w:ilvl="6" w:tplc="DA3813F2" w:tentative="1">
      <w:start w:val="1"/>
      <w:numFmt w:val="bullet"/>
      <w:lvlText w:val="•"/>
      <w:lvlJc w:val="left"/>
      <w:pPr>
        <w:tabs>
          <w:tab w:val="num" w:pos="5040"/>
        </w:tabs>
        <w:ind w:left="5040" w:hanging="360"/>
      </w:pPr>
      <w:rPr>
        <w:rFonts w:ascii="Arial" w:hAnsi="Arial" w:hint="default"/>
      </w:rPr>
    </w:lvl>
    <w:lvl w:ilvl="7" w:tplc="77625E22" w:tentative="1">
      <w:start w:val="1"/>
      <w:numFmt w:val="bullet"/>
      <w:lvlText w:val="•"/>
      <w:lvlJc w:val="left"/>
      <w:pPr>
        <w:tabs>
          <w:tab w:val="num" w:pos="5760"/>
        </w:tabs>
        <w:ind w:left="5760" w:hanging="360"/>
      </w:pPr>
      <w:rPr>
        <w:rFonts w:ascii="Arial" w:hAnsi="Arial" w:hint="default"/>
      </w:rPr>
    </w:lvl>
    <w:lvl w:ilvl="8" w:tplc="D0FE2EFA"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1BE7B03"/>
    <w:multiLevelType w:val="multilevel"/>
    <w:tmpl w:val="E87A1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76594F"/>
    <w:multiLevelType w:val="multilevel"/>
    <w:tmpl w:val="09E84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E7941B3"/>
    <w:multiLevelType w:val="multilevel"/>
    <w:tmpl w:val="6A220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22728460">
    <w:abstractNumId w:val="9"/>
  </w:num>
  <w:num w:numId="2" w16cid:durableId="1957254963">
    <w:abstractNumId w:val="0"/>
  </w:num>
  <w:num w:numId="3" w16cid:durableId="1698266443">
    <w:abstractNumId w:val="3"/>
  </w:num>
  <w:num w:numId="4" w16cid:durableId="1666275014">
    <w:abstractNumId w:val="4"/>
  </w:num>
  <w:num w:numId="5" w16cid:durableId="371196609">
    <w:abstractNumId w:val="5"/>
  </w:num>
  <w:num w:numId="6" w16cid:durableId="274942432">
    <w:abstractNumId w:val="8"/>
  </w:num>
  <w:num w:numId="7" w16cid:durableId="1536380687">
    <w:abstractNumId w:val="11"/>
  </w:num>
  <w:num w:numId="8" w16cid:durableId="1203515066">
    <w:abstractNumId w:val="10"/>
  </w:num>
  <w:num w:numId="9" w16cid:durableId="346567661">
    <w:abstractNumId w:val="2"/>
  </w:num>
  <w:num w:numId="10" w16cid:durableId="761221561">
    <w:abstractNumId w:val="6"/>
  </w:num>
  <w:num w:numId="11" w16cid:durableId="1300306875">
    <w:abstractNumId w:val="12"/>
  </w:num>
  <w:num w:numId="12" w16cid:durableId="1479684317">
    <w:abstractNumId w:val="1"/>
  </w:num>
  <w:num w:numId="13" w16cid:durableId="187900791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8E6"/>
    <w:rsid w:val="00006318"/>
    <w:rsid w:val="000078E7"/>
    <w:rsid w:val="00010FAD"/>
    <w:rsid w:val="00014DA7"/>
    <w:rsid w:val="00037D53"/>
    <w:rsid w:val="0004586A"/>
    <w:rsid w:val="00067295"/>
    <w:rsid w:val="000B6D9C"/>
    <w:rsid w:val="000C62B4"/>
    <w:rsid w:val="000C7A5D"/>
    <w:rsid w:val="000D157F"/>
    <w:rsid w:val="000E48BE"/>
    <w:rsid w:val="00103D0C"/>
    <w:rsid w:val="00137700"/>
    <w:rsid w:val="00141201"/>
    <w:rsid w:val="00160870"/>
    <w:rsid w:val="0017237A"/>
    <w:rsid w:val="0019389E"/>
    <w:rsid w:val="001E67F4"/>
    <w:rsid w:val="002209BE"/>
    <w:rsid w:val="00221445"/>
    <w:rsid w:val="002439F9"/>
    <w:rsid w:val="00292D1D"/>
    <w:rsid w:val="00295C31"/>
    <w:rsid w:val="002B2FC4"/>
    <w:rsid w:val="002D4C2B"/>
    <w:rsid w:val="003038E6"/>
    <w:rsid w:val="00335073"/>
    <w:rsid w:val="003560F5"/>
    <w:rsid w:val="003943AA"/>
    <w:rsid w:val="00394959"/>
    <w:rsid w:val="003D6014"/>
    <w:rsid w:val="003E3929"/>
    <w:rsid w:val="003E4C90"/>
    <w:rsid w:val="003F5DEF"/>
    <w:rsid w:val="00402D12"/>
    <w:rsid w:val="00455EE9"/>
    <w:rsid w:val="00467AAF"/>
    <w:rsid w:val="004915DF"/>
    <w:rsid w:val="00495E96"/>
    <w:rsid w:val="004C026E"/>
    <w:rsid w:val="004C1848"/>
    <w:rsid w:val="004E38ED"/>
    <w:rsid w:val="004E4F65"/>
    <w:rsid w:val="004F187F"/>
    <w:rsid w:val="005277DB"/>
    <w:rsid w:val="005538A9"/>
    <w:rsid w:val="005654D7"/>
    <w:rsid w:val="00596179"/>
    <w:rsid w:val="005D14FF"/>
    <w:rsid w:val="005E2EE9"/>
    <w:rsid w:val="005F5081"/>
    <w:rsid w:val="00615955"/>
    <w:rsid w:val="00617C24"/>
    <w:rsid w:val="006342F6"/>
    <w:rsid w:val="006478AF"/>
    <w:rsid w:val="0065483F"/>
    <w:rsid w:val="006723A2"/>
    <w:rsid w:val="00672721"/>
    <w:rsid w:val="00676FF1"/>
    <w:rsid w:val="006800CB"/>
    <w:rsid w:val="006910DE"/>
    <w:rsid w:val="006B6A03"/>
    <w:rsid w:val="006B6ECA"/>
    <w:rsid w:val="006E3FC0"/>
    <w:rsid w:val="006F3440"/>
    <w:rsid w:val="006F46EB"/>
    <w:rsid w:val="00720A3E"/>
    <w:rsid w:val="007221C2"/>
    <w:rsid w:val="00725C66"/>
    <w:rsid w:val="00727397"/>
    <w:rsid w:val="00732E4A"/>
    <w:rsid w:val="00751A91"/>
    <w:rsid w:val="007A0EAB"/>
    <w:rsid w:val="007A7EA7"/>
    <w:rsid w:val="007B78D6"/>
    <w:rsid w:val="007F363A"/>
    <w:rsid w:val="00805814"/>
    <w:rsid w:val="00813D9C"/>
    <w:rsid w:val="0082292F"/>
    <w:rsid w:val="008550FA"/>
    <w:rsid w:val="00861AE8"/>
    <w:rsid w:val="00871ADA"/>
    <w:rsid w:val="00897852"/>
    <w:rsid w:val="008A3405"/>
    <w:rsid w:val="008A53F9"/>
    <w:rsid w:val="008F206A"/>
    <w:rsid w:val="009030D6"/>
    <w:rsid w:val="009272E4"/>
    <w:rsid w:val="00941B3C"/>
    <w:rsid w:val="009458F9"/>
    <w:rsid w:val="00955673"/>
    <w:rsid w:val="0097104B"/>
    <w:rsid w:val="009A2E99"/>
    <w:rsid w:val="009B71BB"/>
    <w:rsid w:val="009C6ECE"/>
    <w:rsid w:val="00A11DAE"/>
    <w:rsid w:val="00A43DB8"/>
    <w:rsid w:val="00A52A78"/>
    <w:rsid w:val="00A87541"/>
    <w:rsid w:val="00A918D9"/>
    <w:rsid w:val="00AA0ED5"/>
    <w:rsid w:val="00AB3DD1"/>
    <w:rsid w:val="00AB421F"/>
    <w:rsid w:val="00B029A5"/>
    <w:rsid w:val="00B26958"/>
    <w:rsid w:val="00B36F33"/>
    <w:rsid w:val="00B462D7"/>
    <w:rsid w:val="00B671FF"/>
    <w:rsid w:val="00B71077"/>
    <w:rsid w:val="00B862E1"/>
    <w:rsid w:val="00BC2D22"/>
    <w:rsid w:val="00BC5E45"/>
    <w:rsid w:val="00BD027D"/>
    <w:rsid w:val="00C05D45"/>
    <w:rsid w:val="00C14B03"/>
    <w:rsid w:val="00C34BAC"/>
    <w:rsid w:val="00C44864"/>
    <w:rsid w:val="00C44B22"/>
    <w:rsid w:val="00C45FF4"/>
    <w:rsid w:val="00C6555A"/>
    <w:rsid w:val="00C866CE"/>
    <w:rsid w:val="00C871D4"/>
    <w:rsid w:val="00CA2DC8"/>
    <w:rsid w:val="00CB75F1"/>
    <w:rsid w:val="00CE4F0B"/>
    <w:rsid w:val="00CF0D54"/>
    <w:rsid w:val="00D20590"/>
    <w:rsid w:val="00D245C1"/>
    <w:rsid w:val="00D24819"/>
    <w:rsid w:val="00D3499F"/>
    <w:rsid w:val="00D658C3"/>
    <w:rsid w:val="00D81650"/>
    <w:rsid w:val="00D86400"/>
    <w:rsid w:val="00D9093B"/>
    <w:rsid w:val="00D93AF0"/>
    <w:rsid w:val="00DB66B4"/>
    <w:rsid w:val="00DB6A03"/>
    <w:rsid w:val="00DC4EEA"/>
    <w:rsid w:val="00DF2569"/>
    <w:rsid w:val="00E050AE"/>
    <w:rsid w:val="00E45387"/>
    <w:rsid w:val="00E6523E"/>
    <w:rsid w:val="00E70C8B"/>
    <w:rsid w:val="00E720B5"/>
    <w:rsid w:val="00E80432"/>
    <w:rsid w:val="00E8226E"/>
    <w:rsid w:val="00ED37CF"/>
    <w:rsid w:val="00EF1ED9"/>
    <w:rsid w:val="00EF7807"/>
    <w:rsid w:val="00F016CA"/>
    <w:rsid w:val="00F23109"/>
    <w:rsid w:val="00F23B1A"/>
    <w:rsid w:val="00F23FB4"/>
    <w:rsid w:val="00F316CD"/>
    <w:rsid w:val="00F52ED5"/>
    <w:rsid w:val="00F60056"/>
    <w:rsid w:val="00F62A48"/>
    <w:rsid w:val="00FA06E8"/>
    <w:rsid w:val="00FE7367"/>
    <w:rsid w:val="00FF22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A808C6"/>
  <w15:chartTrackingRefBased/>
  <w15:docId w15:val="{08741B9C-5140-4B87-BC82-2F7DD9208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958"/>
    <w:pPr>
      <w:keepNext/>
      <w:keepLines/>
      <w:spacing w:before="360" w:after="80"/>
      <w:outlineLvl w:val="0"/>
    </w:pPr>
    <w:rPr>
      <w:rFonts w:ascii="Arial" w:eastAsiaTheme="majorEastAsia" w:hAnsi="Arial" w:cstheme="majorBidi"/>
      <w:sz w:val="32"/>
      <w:szCs w:val="40"/>
    </w:rPr>
  </w:style>
  <w:style w:type="paragraph" w:styleId="Heading2">
    <w:name w:val="heading 2"/>
    <w:basedOn w:val="Normal"/>
    <w:next w:val="Normal"/>
    <w:link w:val="Heading2Char"/>
    <w:uiPriority w:val="9"/>
    <w:unhideWhenUsed/>
    <w:qFormat/>
    <w:rsid w:val="00897852"/>
    <w:pPr>
      <w:keepNext/>
      <w:keepLines/>
      <w:spacing w:before="160" w:after="80"/>
      <w:outlineLvl w:val="1"/>
    </w:pPr>
    <w:rPr>
      <w:rFonts w:ascii="Arial" w:eastAsiaTheme="majorEastAsia" w:hAnsi="Arial" w:cstheme="majorBidi"/>
      <w:sz w:val="32"/>
      <w:szCs w:val="32"/>
    </w:rPr>
  </w:style>
  <w:style w:type="paragraph" w:styleId="Heading3">
    <w:name w:val="heading 3"/>
    <w:basedOn w:val="Normal"/>
    <w:next w:val="Normal"/>
    <w:link w:val="Heading3Char"/>
    <w:uiPriority w:val="9"/>
    <w:semiHidden/>
    <w:unhideWhenUsed/>
    <w:qFormat/>
    <w:rsid w:val="003038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8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8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8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8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8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8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958"/>
    <w:rPr>
      <w:rFonts w:ascii="Arial" w:eastAsiaTheme="majorEastAsia" w:hAnsi="Arial" w:cstheme="majorBidi"/>
      <w:sz w:val="32"/>
      <w:szCs w:val="40"/>
    </w:rPr>
  </w:style>
  <w:style w:type="character" w:customStyle="1" w:styleId="Heading2Char">
    <w:name w:val="Heading 2 Char"/>
    <w:basedOn w:val="DefaultParagraphFont"/>
    <w:link w:val="Heading2"/>
    <w:uiPriority w:val="9"/>
    <w:rsid w:val="00897852"/>
    <w:rPr>
      <w:rFonts w:ascii="Arial" w:eastAsiaTheme="majorEastAsia" w:hAnsi="Arial" w:cstheme="majorBidi"/>
      <w:sz w:val="32"/>
      <w:szCs w:val="32"/>
    </w:rPr>
  </w:style>
  <w:style w:type="character" w:customStyle="1" w:styleId="Heading3Char">
    <w:name w:val="Heading 3 Char"/>
    <w:basedOn w:val="DefaultParagraphFont"/>
    <w:link w:val="Heading3"/>
    <w:uiPriority w:val="9"/>
    <w:semiHidden/>
    <w:rsid w:val="003038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8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8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8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8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8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8E6"/>
    <w:rPr>
      <w:rFonts w:eastAsiaTheme="majorEastAsia" w:cstheme="majorBidi"/>
      <w:color w:val="272727" w:themeColor="text1" w:themeTint="D8"/>
    </w:rPr>
  </w:style>
  <w:style w:type="paragraph" w:styleId="Title">
    <w:name w:val="Title"/>
    <w:basedOn w:val="Normal"/>
    <w:next w:val="Normal"/>
    <w:link w:val="TitleChar"/>
    <w:uiPriority w:val="10"/>
    <w:qFormat/>
    <w:rsid w:val="003038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8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8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8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8E6"/>
    <w:pPr>
      <w:spacing w:before="160"/>
      <w:jc w:val="center"/>
    </w:pPr>
    <w:rPr>
      <w:i/>
      <w:iCs/>
      <w:color w:val="404040" w:themeColor="text1" w:themeTint="BF"/>
    </w:rPr>
  </w:style>
  <w:style w:type="character" w:customStyle="1" w:styleId="QuoteChar">
    <w:name w:val="Quote Char"/>
    <w:basedOn w:val="DefaultParagraphFont"/>
    <w:link w:val="Quote"/>
    <w:uiPriority w:val="29"/>
    <w:rsid w:val="003038E6"/>
    <w:rPr>
      <w:i/>
      <w:iCs/>
      <w:color w:val="404040" w:themeColor="text1" w:themeTint="BF"/>
    </w:rPr>
  </w:style>
  <w:style w:type="paragraph" w:styleId="ListParagraph">
    <w:name w:val="List Paragraph"/>
    <w:basedOn w:val="Normal"/>
    <w:uiPriority w:val="34"/>
    <w:qFormat/>
    <w:rsid w:val="003038E6"/>
    <w:pPr>
      <w:ind w:left="720"/>
      <w:contextualSpacing/>
    </w:pPr>
  </w:style>
  <w:style w:type="character" w:styleId="IntenseEmphasis">
    <w:name w:val="Intense Emphasis"/>
    <w:basedOn w:val="DefaultParagraphFont"/>
    <w:uiPriority w:val="21"/>
    <w:qFormat/>
    <w:rsid w:val="003038E6"/>
    <w:rPr>
      <w:i/>
      <w:iCs/>
      <w:color w:val="0F4761" w:themeColor="accent1" w:themeShade="BF"/>
    </w:rPr>
  </w:style>
  <w:style w:type="paragraph" w:styleId="IntenseQuote">
    <w:name w:val="Intense Quote"/>
    <w:basedOn w:val="Normal"/>
    <w:next w:val="Normal"/>
    <w:link w:val="IntenseQuoteChar"/>
    <w:uiPriority w:val="30"/>
    <w:qFormat/>
    <w:rsid w:val="003038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8E6"/>
    <w:rPr>
      <w:i/>
      <w:iCs/>
      <w:color w:val="0F4761" w:themeColor="accent1" w:themeShade="BF"/>
    </w:rPr>
  </w:style>
  <w:style w:type="character" w:styleId="IntenseReference">
    <w:name w:val="Intense Reference"/>
    <w:basedOn w:val="DefaultParagraphFont"/>
    <w:uiPriority w:val="32"/>
    <w:qFormat/>
    <w:rsid w:val="003038E6"/>
    <w:rPr>
      <w:b/>
      <w:bCs/>
      <w:smallCaps/>
      <w:color w:val="0F4761" w:themeColor="accent1" w:themeShade="BF"/>
      <w:spacing w:val="5"/>
    </w:rPr>
  </w:style>
  <w:style w:type="character" w:styleId="Hyperlink">
    <w:name w:val="Hyperlink"/>
    <w:basedOn w:val="DefaultParagraphFont"/>
    <w:uiPriority w:val="99"/>
    <w:unhideWhenUsed/>
    <w:rsid w:val="006910DE"/>
    <w:rPr>
      <w:color w:val="467886" w:themeColor="hyperlink"/>
      <w:u w:val="single"/>
    </w:rPr>
  </w:style>
  <w:style w:type="character" w:styleId="UnresolvedMention">
    <w:name w:val="Unresolved Mention"/>
    <w:basedOn w:val="DefaultParagraphFont"/>
    <w:uiPriority w:val="99"/>
    <w:semiHidden/>
    <w:unhideWhenUsed/>
    <w:rsid w:val="006910DE"/>
    <w:rPr>
      <w:color w:val="605E5C"/>
      <w:shd w:val="clear" w:color="auto" w:fill="E1DFDD"/>
    </w:rPr>
  </w:style>
  <w:style w:type="paragraph" w:styleId="TOCHeading">
    <w:name w:val="TOC Heading"/>
    <w:basedOn w:val="Heading1"/>
    <w:next w:val="Normal"/>
    <w:uiPriority w:val="39"/>
    <w:unhideWhenUsed/>
    <w:qFormat/>
    <w:rsid w:val="00B26958"/>
    <w:pPr>
      <w:spacing w:before="240" w:after="0"/>
      <w:outlineLvl w:val="9"/>
    </w:pPr>
    <w:rPr>
      <w:rFonts w:asciiTheme="majorHAnsi" w:hAnsiTheme="majorHAnsi"/>
      <w:color w:val="0F4761" w:themeColor="accent1" w:themeShade="BF"/>
      <w:kern w:val="0"/>
      <w:szCs w:val="32"/>
      <w:lang w:val="en-US"/>
      <w14:ligatures w14:val="none"/>
    </w:rPr>
  </w:style>
  <w:style w:type="paragraph" w:styleId="TOC1">
    <w:name w:val="toc 1"/>
    <w:basedOn w:val="Normal"/>
    <w:next w:val="Normal"/>
    <w:autoRedefine/>
    <w:uiPriority w:val="39"/>
    <w:unhideWhenUsed/>
    <w:rsid w:val="00B26958"/>
    <w:pPr>
      <w:spacing w:after="100"/>
    </w:pPr>
  </w:style>
  <w:style w:type="paragraph" w:styleId="NormalWeb">
    <w:name w:val="Normal (Web)"/>
    <w:basedOn w:val="Normal"/>
    <w:uiPriority w:val="99"/>
    <w:semiHidden/>
    <w:unhideWhenUsed/>
    <w:rsid w:val="009C6ECE"/>
    <w:rPr>
      <w:rFonts w:ascii="Times New Roman" w:hAnsi="Times New Roman" w:cs="Times New Roman"/>
      <w:sz w:val="24"/>
      <w:szCs w:val="24"/>
    </w:rPr>
  </w:style>
  <w:style w:type="table" w:styleId="TableGrid">
    <w:name w:val="Table Grid"/>
    <w:basedOn w:val="TableNormal"/>
    <w:uiPriority w:val="39"/>
    <w:rsid w:val="009A2E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97852"/>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453730">
      <w:bodyDiv w:val="1"/>
      <w:marLeft w:val="0"/>
      <w:marRight w:val="0"/>
      <w:marTop w:val="0"/>
      <w:marBottom w:val="0"/>
      <w:divBdr>
        <w:top w:val="none" w:sz="0" w:space="0" w:color="auto"/>
        <w:left w:val="none" w:sz="0" w:space="0" w:color="auto"/>
        <w:bottom w:val="none" w:sz="0" w:space="0" w:color="auto"/>
        <w:right w:val="none" w:sz="0" w:space="0" w:color="auto"/>
      </w:divBdr>
      <w:divsChild>
        <w:div w:id="1063523166">
          <w:marLeft w:val="0"/>
          <w:marRight w:val="0"/>
          <w:marTop w:val="0"/>
          <w:marBottom w:val="0"/>
          <w:divBdr>
            <w:top w:val="none" w:sz="0" w:space="0" w:color="auto"/>
            <w:left w:val="none" w:sz="0" w:space="0" w:color="auto"/>
            <w:bottom w:val="none" w:sz="0" w:space="0" w:color="auto"/>
            <w:right w:val="none" w:sz="0" w:space="0" w:color="auto"/>
          </w:divBdr>
          <w:divsChild>
            <w:div w:id="84686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94432">
      <w:bodyDiv w:val="1"/>
      <w:marLeft w:val="0"/>
      <w:marRight w:val="0"/>
      <w:marTop w:val="0"/>
      <w:marBottom w:val="0"/>
      <w:divBdr>
        <w:top w:val="none" w:sz="0" w:space="0" w:color="auto"/>
        <w:left w:val="none" w:sz="0" w:space="0" w:color="auto"/>
        <w:bottom w:val="none" w:sz="0" w:space="0" w:color="auto"/>
        <w:right w:val="none" w:sz="0" w:space="0" w:color="auto"/>
      </w:divBdr>
      <w:divsChild>
        <w:div w:id="1432318100">
          <w:marLeft w:val="720"/>
          <w:marRight w:val="0"/>
          <w:marTop w:val="77"/>
          <w:marBottom w:val="0"/>
          <w:divBdr>
            <w:top w:val="none" w:sz="0" w:space="0" w:color="auto"/>
            <w:left w:val="none" w:sz="0" w:space="0" w:color="auto"/>
            <w:bottom w:val="none" w:sz="0" w:space="0" w:color="auto"/>
            <w:right w:val="none" w:sz="0" w:space="0" w:color="auto"/>
          </w:divBdr>
        </w:div>
      </w:divsChild>
    </w:div>
    <w:div w:id="320427685">
      <w:bodyDiv w:val="1"/>
      <w:marLeft w:val="0"/>
      <w:marRight w:val="0"/>
      <w:marTop w:val="0"/>
      <w:marBottom w:val="0"/>
      <w:divBdr>
        <w:top w:val="none" w:sz="0" w:space="0" w:color="auto"/>
        <w:left w:val="none" w:sz="0" w:space="0" w:color="auto"/>
        <w:bottom w:val="none" w:sz="0" w:space="0" w:color="auto"/>
        <w:right w:val="none" w:sz="0" w:space="0" w:color="auto"/>
      </w:divBdr>
      <w:divsChild>
        <w:div w:id="619265169">
          <w:marLeft w:val="0"/>
          <w:marRight w:val="0"/>
          <w:marTop w:val="0"/>
          <w:marBottom w:val="0"/>
          <w:divBdr>
            <w:top w:val="none" w:sz="0" w:space="0" w:color="auto"/>
            <w:left w:val="none" w:sz="0" w:space="0" w:color="auto"/>
            <w:bottom w:val="none" w:sz="0" w:space="0" w:color="auto"/>
            <w:right w:val="none" w:sz="0" w:space="0" w:color="auto"/>
          </w:divBdr>
          <w:divsChild>
            <w:div w:id="103488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0308838">
      <w:bodyDiv w:val="1"/>
      <w:marLeft w:val="0"/>
      <w:marRight w:val="0"/>
      <w:marTop w:val="0"/>
      <w:marBottom w:val="0"/>
      <w:divBdr>
        <w:top w:val="none" w:sz="0" w:space="0" w:color="auto"/>
        <w:left w:val="none" w:sz="0" w:space="0" w:color="auto"/>
        <w:bottom w:val="none" w:sz="0" w:space="0" w:color="auto"/>
        <w:right w:val="none" w:sz="0" w:space="0" w:color="auto"/>
      </w:divBdr>
      <w:divsChild>
        <w:div w:id="101148266">
          <w:marLeft w:val="0"/>
          <w:marRight w:val="0"/>
          <w:marTop w:val="0"/>
          <w:marBottom w:val="0"/>
          <w:divBdr>
            <w:top w:val="none" w:sz="0" w:space="0" w:color="auto"/>
            <w:left w:val="none" w:sz="0" w:space="0" w:color="auto"/>
            <w:bottom w:val="none" w:sz="0" w:space="0" w:color="auto"/>
            <w:right w:val="none" w:sz="0" w:space="0" w:color="auto"/>
          </w:divBdr>
        </w:div>
      </w:divsChild>
    </w:div>
    <w:div w:id="385034375">
      <w:bodyDiv w:val="1"/>
      <w:marLeft w:val="0"/>
      <w:marRight w:val="0"/>
      <w:marTop w:val="0"/>
      <w:marBottom w:val="0"/>
      <w:divBdr>
        <w:top w:val="none" w:sz="0" w:space="0" w:color="auto"/>
        <w:left w:val="none" w:sz="0" w:space="0" w:color="auto"/>
        <w:bottom w:val="none" w:sz="0" w:space="0" w:color="auto"/>
        <w:right w:val="none" w:sz="0" w:space="0" w:color="auto"/>
      </w:divBdr>
      <w:divsChild>
        <w:div w:id="1586497507">
          <w:marLeft w:val="0"/>
          <w:marRight w:val="0"/>
          <w:marTop w:val="0"/>
          <w:marBottom w:val="0"/>
          <w:divBdr>
            <w:top w:val="none" w:sz="0" w:space="0" w:color="auto"/>
            <w:left w:val="none" w:sz="0" w:space="0" w:color="auto"/>
            <w:bottom w:val="none" w:sz="0" w:space="0" w:color="auto"/>
            <w:right w:val="none" w:sz="0" w:space="0" w:color="auto"/>
          </w:divBdr>
          <w:divsChild>
            <w:div w:id="198669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065328">
      <w:bodyDiv w:val="1"/>
      <w:marLeft w:val="0"/>
      <w:marRight w:val="0"/>
      <w:marTop w:val="0"/>
      <w:marBottom w:val="0"/>
      <w:divBdr>
        <w:top w:val="none" w:sz="0" w:space="0" w:color="auto"/>
        <w:left w:val="none" w:sz="0" w:space="0" w:color="auto"/>
        <w:bottom w:val="none" w:sz="0" w:space="0" w:color="auto"/>
        <w:right w:val="none" w:sz="0" w:space="0" w:color="auto"/>
      </w:divBdr>
    </w:div>
    <w:div w:id="522129213">
      <w:bodyDiv w:val="1"/>
      <w:marLeft w:val="0"/>
      <w:marRight w:val="0"/>
      <w:marTop w:val="0"/>
      <w:marBottom w:val="0"/>
      <w:divBdr>
        <w:top w:val="none" w:sz="0" w:space="0" w:color="auto"/>
        <w:left w:val="none" w:sz="0" w:space="0" w:color="auto"/>
        <w:bottom w:val="none" w:sz="0" w:space="0" w:color="auto"/>
        <w:right w:val="none" w:sz="0" w:space="0" w:color="auto"/>
      </w:divBdr>
      <w:divsChild>
        <w:div w:id="858397705">
          <w:marLeft w:val="0"/>
          <w:marRight w:val="0"/>
          <w:marTop w:val="0"/>
          <w:marBottom w:val="0"/>
          <w:divBdr>
            <w:top w:val="none" w:sz="0" w:space="0" w:color="auto"/>
            <w:left w:val="none" w:sz="0" w:space="0" w:color="auto"/>
            <w:bottom w:val="none" w:sz="0" w:space="0" w:color="auto"/>
            <w:right w:val="none" w:sz="0" w:space="0" w:color="auto"/>
          </w:divBdr>
          <w:divsChild>
            <w:div w:id="147412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1134591">
      <w:bodyDiv w:val="1"/>
      <w:marLeft w:val="0"/>
      <w:marRight w:val="0"/>
      <w:marTop w:val="0"/>
      <w:marBottom w:val="0"/>
      <w:divBdr>
        <w:top w:val="none" w:sz="0" w:space="0" w:color="auto"/>
        <w:left w:val="none" w:sz="0" w:space="0" w:color="auto"/>
        <w:bottom w:val="none" w:sz="0" w:space="0" w:color="auto"/>
        <w:right w:val="none" w:sz="0" w:space="0" w:color="auto"/>
      </w:divBdr>
      <w:divsChild>
        <w:div w:id="1508206206">
          <w:marLeft w:val="0"/>
          <w:marRight w:val="0"/>
          <w:marTop w:val="0"/>
          <w:marBottom w:val="0"/>
          <w:divBdr>
            <w:top w:val="none" w:sz="0" w:space="0" w:color="auto"/>
            <w:left w:val="none" w:sz="0" w:space="0" w:color="auto"/>
            <w:bottom w:val="none" w:sz="0" w:space="0" w:color="auto"/>
            <w:right w:val="none" w:sz="0" w:space="0" w:color="auto"/>
          </w:divBdr>
          <w:divsChild>
            <w:div w:id="16032177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602368">
      <w:bodyDiv w:val="1"/>
      <w:marLeft w:val="0"/>
      <w:marRight w:val="0"/>
      <w:marTop w:val="0"/>
      <w:marBottom w:val="0"/>
      <w:divBdr>
        <w:top w:val="none" w:sz="0" w:space="0" w:color="auto"/>
        <w:left w:val="none" w:sz="0" w:space="0" w:color="auto"/>
        <w:bottom w:val="none" w:sz="0" w:space="0" w:color="auto"/>
        <w:right w:val="none" w:sz="0" w:space="0" w:color="auto"/>
      </w:divBdr>
      <w:divsChild>
        <w:div w:id="1124810320">
          <w:marLeft w:val="0"/>
          <w:marRight w:val="0"/>
          <w:marTop w:val="0"/>
          <w:marBottom w:val="0"/>
          <w:divBdr>
            <w:top w:val="none" w:sz="0" w:space="0" w:color="auto"/>
            <w:left w:val="none" w:sz="0" w:space="0" w:color="auto"/>
            <w:bottom w:val="none" w:sz="0" w:space="0" w:color="auto"/>
            <w:right w:val="none" w:sz="0" w:space="0" w:color="auto"/>
          </w:divBdr>
        </w:div>
      </w:divsChild>
    </w:div>
    <w:div w:id="739446277">
      <w:bodyDiv w:val="1"/>
      <w:marLeft w:val="0"/>
      <w:marRight w:val="0"/>
      <w:marTop w:val="0"/>
      <w:marBottom w:val="0"/>
      <w:divBdr>
        <w:top w:val="none" w:sz="0" w:space="0" w:color="auto"/>
        <w:left w:val="none" w:sz="0" w:space="0" w:color="auto"/>
        <w:bottom w:val="none" w:sz="0" w:space="0" w:color="auto"/>
        <w:right w:val="none" w:sz="0" w:space="0" w:color="auto"/>
      </w:divBdr>
      <w:divsChild>
        <w:div w:id="1155729366">
          <w:marLeft w:val="0"/>
          <w:marRight w:val="0"/>
          <w:marTop w:val="0"/>
          <w:marBottom w:val="0"/>
          <w:divBdr>
            <w:top w:val="none" w:sz="0" w:space="0" w:color="auto"/>
            <w:left w:val="none" w:sz="0" w:space="0" w:color="auto"/>
            <w:bottom w:val="none" w:sz="0" w:space="0" w:color="auto"/>
            <w:right w:val="none" w:sz="0" w:space="0" w:color="auto"/>
          </w:divBdr>
          <w:divsChild>
            <w:div w:id="1658067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907804">
      <w:bodyDiv w:val="1"/>
      <w:marLeft w:val="0"/>
      <w:marRight w:val="0"/>
      <w:marTop w:val="0"/>
      <w:marBottom w:val="0"/>
      <w:divBdr>
        <w:top w:val="none" w:sz="0" w:space="0" w:color="auto"/>
        <w:left w:val="none" w:sz="0" w:space="0" w:color="auto"/>
        <w:bottom w:val="none" w:sz="0" w:space="0" w:color="auto"/>
        <w:right w:val="none" w:sz="0" w:space="0" w:color="auto"/>
      </w:divBdr>
      <w:divsChild>
        <w:div w:id="1169829642">
          <w:marLeft w:val="0"/>
          <w:marRight w:val="0"/>
          <w:marTop w:val="0"/>
          <w:marBottom w:val="0"/>
          <w:divBdr>
            <w:top w:val="none" w:sz="0" w:space="0" w:color="auto"/>
            <w:left w:val="none" w:sz="0" w:space="0" w:color="auto"/>
            <w:bottom w:val="none" w:sz="0" w:space="0" w:color="auto"/>
            <w:right w:val="none" w:sz="0" w:space="0" w:color="auto"/>
          </w:divBdr>
          <w:divsChild>
            <w:div w:id="1493062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7017144">
      <w:bodyDiv w:val="1"/>
      <w:marLeft w:val="0"/>
      <w:marRight w:val="0"/>
      <w:marTop w:val="0"/>
      <w:marBottom w:val="0"/>
      <w:divBdr>
        <w:top w:val="none" w:sz="0" w:space="0" w:color="auto"/>
        <w:left w:val="none" w:sz="0" w:space="0" w:color="auto"/>
        <w:bottom w:val="none" w:sz="0" w:space="0" w:color="auto"/>
        <w:right w:val="none" w:sz="0" w:space="0" w:color="auto"/>
      </w:divBdr>
    </w:div>
    <w:div w:id="915088435">
      <w:bodyDiv w:val="1"/>
      <w:marLeft w:val="0"/>
      <w:marRight w:val="0"/>
      <w:marTop w:val="0"/>
      <w:marBottom w:val="0"/>
      <w:divBdr>
        <w:top w:val="none" w:sz="0" w:space="0" w:color="auto"/>
        <w:left w:val="none" w:sz="0" w:space="0" w:color="auto"/>
        <w:bottom w:val="none" w:sz="0" w:space="0" w:color="auto"/>
        <w:right w:val="none" w:sz="0" w:space="0" w:color="auto"/>
      </w:divBdr>
      <w:divsChild>
        <w:div w:id="223107086">
          <w:marLeft w:val="720"/>
          <w:marRight w:val="0"/>
          <w:marTop w:val="67"/>
          <w:marBottom w:val="0"/>
          <w:divBdr>
            <w:top w:val="none" w:sz="0" w:space="0" w:color="auto"/>
            <w:left w:val="none" w:sz="0" w:space="0" w:color="auto"/>
            <w:bottom w:val="none" w:sz="0" w:space="0" w:color="auto"/>
            <w:right w:val="none" w:sz="0" w:space="0" w:color="auto"/>
          </w:divBdr>
        </w:div>
      </w:divsChild>
    </w:div>
    <w:div w:id="967860036">
      <w:bodyDiv w:val="1"/>
      <w:marLeft w:val="0"/>
      <w:marRight w:val="0"/>
      <w:marTop w:val="0"/>
      <w:marBottom w:val="0"/>
      <w:divBdr>
        <w:top w:val="none" w:sz="0" w:space="0" w:color="auto"/>
        <w:left w:val="none" w:sz="0" w:space="0" w:color="auto"/>
        <w:bottom w:val="none" w:sz="0" w:space="0" w:color="auto"/>
        <w:right w:val="none" w:sz="0" w:space="0" w:color="auto"/>
      </w:divBdr>
      <w:divsChild>
        <w:div w:id="1748574989">
          <w:marLeft w:val="0"/>
          <w:marRight w:val="0"/>
          <w:marTop w:val="0"/>
          <w:marBottom w:val="0"/>
          <w:divBdr>
            <w:top w:val="none" w:sz="0" w:space="0" w:color="auto"/>
            <w:left w:val="none" w:sz="0" w:space="0" w:color="auto"/>
            <w:bottom w:val="none" w:sz="0" w:space="0" w:color="auto"/>
            <w:right w:val="none" w:sz="0" w:space="0" w:color="auto"/>
          </w:divBdr>
        </w:div>
      </w:divsChild>
    </w:div>
    <w:div w:id="1108084438">
      <w:bodyDiv w:val="1"/>
      <w:marLeft w:val="0"/>
      <w:marRight w:val="0"/>
      <w:marTop w:val="0"/>
      <w:marBottom w:val="0"/>
      <w:divBdr>
        <w:top w:val="none" w:sz="0" w:space="0" w:color="auto"/>
        <w:left w:val="none" w:sz="0" w:space="0" w:color="auto"/>
        <w:bottom w:val="none" w:sz="0" w:space="0" w:color="auto"/>
        <w:right w:val="none" w:sz="0" w:space="0" w:color="auto"/>
      </w:divBdr>
      <w:divsChild>
        <w:div w:id="1190410653">
          <w:marLeft w:val="0"/>
          <w:marRight w:val="0"/>
          <w:marTop w:val="0"/>
          <w:marBottom w:val="0"/>
          <w:divBdr>
            <w:top w:val="none" w:sz="0" w:space="0" w:color="auto"/>
            <w:left w:val="none" w:sz="0" w:space="0" w:color="auto"/>
            <w:bottom w:val="none" w:sz="0" w:space="0" w:color="auto"/>
            <w:right w:val="none" w:sz="0" w:space="0" w:color="auto"/>
          </w:divBdr>
          <w:divsChild>
            <w:div w:id="1762290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722314">
      <w:bodyDiv w:val="1"/>
      <w:marLeft w:val="0"/>
      <w:marRight w:val="0"/>
      <w:marTop w:val="0"/>
      <w:marBottom w:val="0"/>
      <w:divBdr>
        <w:top w:val="none" w:sz="0" w:space="0" w:color="auto"/>
        <w:left w:val="none" w:sz="0" w:space="0" w:color="auto"/>
        <w:bottom w:val="none" w:sz="0" w:space="0" w:color="auto"/>
        <w:right w:val="none" w:sz="0" w:space="0" w:color="auto"/>
      </w:divBdr>
    </w:div>
    <w:div w:id="1145394573">
      <w:bodyDiv w:val="1"/>
      <w:marLeft w:val="0"/>
      <w:marRight w:val="0"/>
      <w:marTop w:val="0"/>
      <w:marBottom w:val="0"/>
      <w:divBdr>
        <w:top w:val="none" w:sz="0" w:space="0" w:color="auto"/>
        <w:left w:val="none" w:sz="0" w:space="0" w:color="auto"/>
        <w:bottom w:val="none" w:sz="0" w:space="0" w:color="auto"/>
        <w:right w:val="none" w:sz="0" w:space="0" w:color="auto"/>
      </w:divBdr>
    </w:div>
    <w:div w:id="1147864266">
      <w:bodyDiv w:val="1"/>
      <w:marLeft w:val="0"/>
      <w:marRight w:val="0"/>
      <w:marTop w:val="0"/>
      <w:marBottom w:val="0"/>
      <w:divBdr>
        <w:top w:val="none" w:sz="0" w:space="0" w:color="auto"/>
        <w:left w:val="none" w:sz="0" w:space="0" w:color="auto"/>
        <w:bottom w:val="none" w:sz="0" w:space="0" w:color="auto"/>
        <w:right w:val="none" w:sz="0" w:space="0" w:color="auto"/>
      </w:divBdr>
      <w:divsChild>
        <w:div w:id="415591997">
          <w:marLeft w:val="0"/>
          <w:marRight w:val="0"/>
          <w:marTop w:val="0"/>
          <w:marBottom w:val="0"/>
          <w:divBdr>
            <w:top w:val="none" w:sz="0" w:space="0" w:color="auto"/>
            <w:left w:val="none" w:sz="0" w:space="0" w:color="auto"/>
            <w:bottom w:val="none" w:sz="0" w:space="0" w:color="auto"/>
            <w:right w:val="none" w:sz="0" w:space="0" w:color="auto"/>
          </w:divBdr>
          <w:divsChild>
            <w:div w:id="2044745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7955852">
      <w:bodyDiv w:val="1"/>
      <w:marLeft w:val="0"/>
      <w:marRight w:val="0"/>
      <w:marTop w:val="0"/>
      <w:marBottom w:val="0"/>
      <w:divBdr>
        <w:top w:val="none" w:sz="0" w:space="0" w:color="auto"/>
        <w:left w:val="none" w:sz="0" w:space="0" w:color="auto"/>
        <w:bottom w:val="none" w:sz="0" w:space="0" w:color="auto"/>
        <w:right w:val="none" w:sz="0" w:space="0" w:color="auto"/>
      </w:divBdr>
      <w:divsChild>
        <w:div w:id="2047413014">
          <w:marLeft w:val="0"/>
          <w:marRight w:val="0"/>
          <w:marTop w:val="0"/>
          <w:marBottom w:val="0"/>
          <w:divBdr>
            <w:top w:val="none" w:sz="0" w:space="0" w:color="auto"/>
            <w:left w:val="none" w:sz="0" w:space="0" w:color="auto"/>
            <w:bottom w:val="none" w:sz="0" w:space="0" w:color="auto"/>
            <w:right w:val="none" w:sz="0" w:space="0" w:color="auto"/>
          </w:divBdr>
          <w:divsChild>
            <w:div w:id="1943996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509287">
      <w:bodyDiv w:val="1"/>
      <w:marLeft w:val="0"/>
      <w:marRight w:val="0"/>
      <w:marTop w:val="0"/>
      <w:marBottom w:val="0"/>
      <w:divBdr>
        <w:top w:val="none" w:sz="0" w:space="0" w:color="auto"/>
        <w:left w:val="none" w:sz="0" w:space="0" w:color="auto"/>
        <w:bottom w:val="none" w:sz="0" w:space="0" w:color="auto"/>
        <w:right w:val="none" w:sz="0" w:space="0" w:color="auto"/>
      </w:divBdr>
    </w:div>
    <w:div w:id="1221475565">
      <w:bodyDiv w:val="1"/>
      <w:marLeft w:val="0"/>
      <w:marRight w:val="0"/>
      <w:marTop w:val="0"/>
      <w:marBottom w:val="0"/>
      <w:divBdr>
        <w:top w:val="none" w:sz="0" w:space="0" w:color="auto"/>
        <w:left w:val="none" w:sz="0" w:space="0" w:color="auto"/>
        <w:bottom w:val="none" w:sz="0" w:space="0" w:color="auto"/>
        <w:right w:val="none" w:sz="0" w:space="0" w:color="auto"/>
      </w:divBdr>
      <w:divsChild>
        <w:div w:id="1773816672">
          <w:marLeft w:val="0"/>
          <w:marRight w:val="0"/>
          <w:marTop w:val="0"/>
          <w:marBottom w:val="0"/>
          <w:divBdr>
            <w:top w:val="none" w:sz="0" w:space="0" w:color="auto"/>
            <w:left w:val="none" w:sz="0" w:space="0" w:color="auto"/>
            <w:bottom w:val="none" w:sz="0" w:space="0" w:color="auto"/>
            <w:right w:val="none" w:sz="0" w:space="0" w:color="auto"/>
          </w:divBdr>
          <w:divsChild>
            <w:div w:id="1643580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3198663">
      <w:bodyDiv w:val="1"/>
      <w:marLeft w:val="0"/>
      <w:marRight w:val="0"/>
      <w:marTop w:val="0"/>
      <w:marBottom w:val="0"/>
      <w:divBdr>
        <w:top w:val="none" w:sz="0" w:space="0" w:color="auto"/>
        <w:left w:val="none" w:sz="0" w:space="0" w:color="auto"/>
        <w:bottom w:val="none" w:sz="0" w:space="0" w:color="auto"/>
        <w:right w:val="none" w:sz="0" w:space="0" w:color="auto"/>
      </w:divBdr>
    </w:div>
    <w:div w:id="1389377144">
      <w:bodyDiv w:val="1"/>
      <w:marLeft w:val="0"/>
      <w:marRight w:val="0"/>
      <w:marTop w:val="0"/>
      <w:marBottom w:val="0"/>
      <w:divBdr>
        <w:top w:val="none" w:sz="0" w:space="0" w:color="auto"/>
        <w:left w:val="none" w:sz="0" w:space="0" w:color="auto"/>
        <w:bottom w:val="none" w:sz="0" w:space="0" w:color="auto"/>
        <w:right w:val="none" w:sz="0" w:space="0" w:color="auto"/>
      </w:divBdr>
      <w:divsChild>
        <w:div w:id="202329703">
          <w:marLeft w:val="0"/>
          <w:marRight w:val="0"/>
          <w:marTop w:val="0"/>
          <w:marBottom w:val="0"/>
          <w:divBdr>
            <w:top w:val="none" w:sz="0" w:space="0" w:color="auto"/>
            <w:left w:val="none" w:sz="0" w:space="0" w:color="auto"/>
            <w:bottom w:val="none" w:sz="0" w:space="0" w:color="auto"/>
            <w:right w:val="none" w:sz="0" w:space="0" w:color="auto"/>
          </w:divBdr>
          <w:divsChild>
            <w:div w:id="107571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090413">
      <w:bodyDiv w:val="1"/>
      <w:marLeft w:val="0"/>
      <w:marRight w:val="0"/>
      <w:marTop w:val="0"/>
      <w:marBottom w:val="0"/>
      <w:divBdr>
        <w:top w:val="none" w:sz="0" w:space="0" w:color="auto"/>
        <w:left w:val="none" w:sz="0" w:space="0" w:color="auto"/>
        <w:bottom w:val="none" w:sz="0" w:space="0" w:color="auto"/>
        <w:right w:val="none" w:sz="0" w:space="0" w:color="auto"/>
      </w:divBdr>
      <w:divsChild>
        <w:div w:id="1785689155">
          <w:marLeft w:val="0"/>
          <w:marRight w:val="0"/>
          <w:marTop w:val="0"/>
          <w:marBottom w:val="0"/>
          <w:divBdr>
            <w:top w:val="none" w:sz="0" w:space="0" w:color="auto"/>
            <w:left w:val="none" w:sz="0" w:space="0" w:color="auto"/>
            <w:bottom w:val="none" w:sz="0" w:space="0" w:color="auto"/>
            <w:right w:val="none" w:sz="0" w:space="0" w:color="auto"/>
          </w:divBdr>
          <w:divsChild>
            <w:div w:id="200553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349957">
      <w:bodyDiv w:val="1"/>
      <w:marLeft w:val="0"/>
      <w:marRight w:val="0"/>
      <w:marTop w:val="0"/>
      <w:marBottom w:val="0"/>
      <w:divBdr>
        <w:top w:val="none" w:sz="0" w:space="0" w:color="auto"/>
        <w:left w:val="none" w:sz="0" w:space="0" w:color="auto"/>
        <w:bottom w:val="none" w:sz="0" w:space="0" w:color="auto"/>
        <w:right w:val="none" w:sz="0" w:space="0" w:color="auto"/>
      </w:divBdr>
    </w:div>
    <w:div w:id="1445924402">
      <w:bodyDiv w:val="1"/>
      <w:marLeft w:val="0"/>
      <w:marRight w:val="0"/>
      <w:marTop w:val="0"/>
      <w:marBottom w:val="0"/>
      <w:divBdr>
        <w:top w:val="none" w:sz="0" w:space="0" w:color="auto"/>
        <w:left w:val="none" w:sz="0" w:space="0" w:color="auto"/>
        <w:bottom w:val="none" w:sz="0" w:space="0" w:color="auto"/>
        <w:right w:val="none" w:sz="0" w:space="0" w:color="auto"/>
      </w:divBdr>
      <w:divsChild>
        <w:div w:id="313262362">
          <w:marLeft w:val="0"/>
          <w:marRight w:val="0"/>
          <w:marTop w:val="0"/>
          <w:marBottom w:val="0"/>
          <w:divBdr>
            <w:top w:val="none" w:sz="0" w:space="0" w:color="auto"/>
            <w:left w:val="none" w:sz="0" w:space="0" w:color="auto"/>
            <w:bottom w:val="none" w:sz="0" w:space="0" w:color="auto"/>
            <w:right w:val="none" w:sz="0" w:space="0" w:color="auto"/>
          </w:divBdr>
          <w:divsChild>
            <w:div w:id="710687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836510">
      <w:bodyDiv w:val="1"/>
      <w:marLeft w:val="0"/>
      <w:marRight w:val="0"/>
      <w:marTop w:val="0"/>
      <w:marBottom w:val="0"/>
      <w:divBdr>
        <w:top w:val="none" w:sz="0" w:space="0" w:color="auto"/>
        <w:left w:val="none" w:sz="0" w:space="0" w:color="auto"/>
        <w:bottom w:val="none" w:sz="0" w:space="0" w:color="auto"/>
        <w:right w:val="none" w:sz="0" w:space="0" w:color="auto"/>
      </w:divBdr>
      <w:divsChild>
        <w:div w:id="2021882257">
          <w:marLeft w:val="0"/>
          <w:marRight w:val="0"/>
          <w:marTop w:val="0"/>
          <w:marBottom w:val="0"/>
          <w:divBdr>
            <w:top w:val="none" w:sz="0" w:space="0" w:color="auto"/>
            <w:left w:val="none" w:sz="0" w:space="0" w:color="auto"/>
            <w:bottom w:val="none" w:sz="0" w:space="0" w:color="auto"/>
            <w:right w:val="none" w:sz="0" w:space="0" w:color="auto"/>
          </w:divBdr>
          <w:divsChild>
            <w:div w:id="229997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7718204">
      <w:bodyDiv w:val="1"/>
      <w:marLeft w:val="0"/>
      <w:marRight w:val="0"/>
      <w:marTop w:val="0"/>
      <w:marBottom w:val="0"/>
      <w:divBdr>
        <w:top w:val="none" w:sz="0" w:space="0" w:color="auto"/>
        <w:left w:val="none" w:sz="0" w:space="0" w:color="auto"/>
        <w:bottom w:val="none" w:sz="0" w:space="0" w:color="auto"/>
        <w:right w:val="none" w:sz="0" w:space="0" w:color="auto"/>
      </w:divBdr>
    </w:div>
    <w:div w:id="1666008859">
      <w:bodyDiv w:val="1"/>
      <w:marLeft w:val="0"/>
      <w:marRight w:val="0"/>
      <w:marTop w:val="0"/>
      <w:marBottom w:val="0"/>
      <w:divBdr>
        <w:top w:val="none" w:sz="0" w:space="0" w:color="auto"/>
        <w:left w:val="none" w:sz="0" w:space="0" w:color="auto"/>
        <w:bottom w:val="none" w:sz="0" w:space="0" w:color="auto"/>
        <w:right w:val="none" w:sz="0" w:space="0" w:color="auto"/>
      </w:divBdr>
      <w:divsChild>
        <w:div w:id="1890988975">
          <w:marLeft w:val="0"/>
          <w:marRight w:val="0"/>
          <w:marTop w:val="0"/>
          <w:marBottom w:val="0"/>
          <w:divBdr>
            <w:top w:val="none" w:sz="0" w:space="0" w:color="auto"/>
            <w:left w:val="none" w:sz="0" w:space="0" w:color="auto"/>
            <w:bottom w:val="none" w:sz="0" w:space="0" w:color="auto"/>
            <w:right w:val="none" w:sz="0" w:space="0" w:color="auto"/>
          </w:divBdr>
          <w:divsChild>
            <w:div w:id="671955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906985">
      <w:bodyDiv w:val="1"/>
      <w:marLeft w:val="0"/>
      <w:marRight w:val="0"/>
      <w:marTop w:val="0"/>
      <w:marBottom w:val="0"/>
      <w:divBdr>
        <w:top w:val="none" w:sz="0" w:space="0" w:color="auto"/>
        <w:left w:val="none" w:sz="0" w:space="0" w:color="auto"/>
        <w:bottom w:val="none" w:sz="0" w:space="0" w:color="auto"/>
        <w:right w:val="none" w:sz="0" w:space="0" w:color="auto"/>
      </w:divBdr>
      <w:divsChild>
        <w:div w:id="1143891384">
          <w:marLeft w:val="0"/>
          <w:marRight w:val="0"/>
          <w:marTop w:val="0"/>
          <w:marBottom w:val="0"/>
          <w:divBdr>
            <w:top w:val="none" w:sz="0" w:space="0" w:color="auto"/>
            <w:left w:val="none" w:sz="0" w:space="0" w:color="auto"/>
            <w:bottom w:val="none" w:sz="0" w:space="0" w:color="auto"/>
            <w:right w:val="none" w:sz="0" w:space="0" w:color="auto"/>
          </w:divBdr>
        </w:div>
      </w:divsChild>
    </w:div>
    <w:div w:id="1838884095">
      <w:bodyDiv w:val="1"/>
      <w:marLeft w:val="0"/>
      <w:marRight w:val="0"/>
      <w:marTop w:val="0"/>
      <w:marBottom w:val="0"/>
      <w:divBdr>
        <w:top w:val="none" w:sz="0" w:space="0" w:color="auto"/>
        <w:left w:val="none" w:sz="0" w:space="0" w:color="auto"/>
        <w:bottom w:val="none" w:sz="0" w:space="0" w:color="auto"/>
        <w:right w:val="none" w:sz="0" w:space="0" w:color="auto"/>
      </w:divBdr>
      <w:divsChild>
        <w:div w:id="318967832">
          <w:marLeft w:val="720"/>
          <w:marRight w:val="0"/>
          <w:marTop w:val="77"/>
          <w:marBottom w:val="0"/>
          <w:divBdr>
            <w:top w:val="none" w:sz="0" w:space="0" w:color="auto"/>
            <w:left w:val="none" w:sz="0" w:space="0" w:color="auto"/>
            <w:bottom w:val="none" w:sz="0" w:space="0" w:color="auto"/>
            <w:right w:val="none" w:sz="0" w:space="0" w:color="auto"/>
          </w:divBdr>
        </w:div>
        <w:div w:id="603004936">
          <w:marLeft w:val="720"/>
          <w:marRight w:val="0"/>
          <w:marTop w:val="77"/>
          <w:marBottom w:val="0"/>
          <w:divBdr>
            <w:top w:val="none" w:sz="0" w:space="0" w:color="auto"/>
            <w:left w:val="none" w:sz="0" w:space="0" w:color="auto"/>
            <w:bottom w:val="none" w:sz="0" w:space="0" w:color="auto"/>
            <w:right w:val="none" w:sz="0" w:space="0" w:color="auto"/>
          </w:divBdr>
        </w:div>
        <w:div w:id="332270534">
          <w:marLeft w:val="720"/>
          <w:marRight w:val="0"/>
          <w:marTop w:val="77"/>
          <w:marBottom w:val="0"/>
          <w:divBdr>
            <w:top w:val="none" w:sz="0" w:space="0" w:color="auto"/>
            <w:left w:val="none" w:sz="0" w:space="0" w:color="auto"/>
            <w:bottom w:val="none" w:sz="0" w:space="0" w:color="auto"/>
            <w:right w:val="none" w:sz="0" w:space="0" w:color="auto"/>
          </w:divBdr>
        </w:div>
        <w:div w:id="1449007697">
          <w:marLeft w:val="720"/>
          <w:marRight w:val="0"/>
          <w:marTop w:val="77"/>
          <w:marBottom w:val="0"/>
          <w:divBdr>
            <w:top w:val="none" w:sz="0" w:space="0" w:color="auto"/>
            <w:left w:val="none" w:sz="0" w:space="0" w:color="auto"/>
            <w:bottom w:val="none" w:sz="0" w:space="0" w:color="auto"/>
            <w:right w:val="none" w:sz="0" w:space="0" w:color="auto"/>
          </w:divBdr>
        </w:div>
        <w:div w:id="483738875">
          <w:marLeft w:val="720"/>
          <w:marRight w:val="0"/>
          <w:marTop w:val="77"/>
          <w:marBottom w:val="0"/>
          <w:divBdr>
            <w:top w:val="none" w:sz="0" w:space="0" w:color="auto"/>
            <w:left w:val="none" w:sz="0" w:space="0" w:color="auto"/>
            <w:bottom w:val="none" w:sz="0" w:space="0" w:color="auto"/>
            <w:right w:val="none" w:sz="0" w:space="0" w:color="auto"/>
          </w:divBdr>
        </w:div>
      </w:divsChild>
    </w:div>
    <w:div w:id="1886479425">
      <w:bodyDiv w:val="1"/>
      <w:marLeft w:val="0"/>
      <w:marRight w:val="0"/>
      <w:marTop w:val="0"/>
      <w:marBottom w:val="0"/>
      <w:divBdr>
        <w:top w:val="none" w:sz="0" w:space="0" w:color="auto"/>
        <w:left w:val="none" w:sz="0" w:space="0" w:color="auto"/>
        <w:bottom w:val="none" w:sz="0" w:space="0" w:color="auto"/>
        <w:right w:val="none" w:sz="0" w:space="0" w:color="auto"/>
      </w:divBdr>
      <w:divsChild>
        <w:div w:id="2080592061">
          <w:marLeft w:val="0"/>
          <w:marRight w:val="0"/>
          <w:marTop w:val="0"/>
          <w:marBottom w:val="0"/>
          <w:divBdr>
            <w:top w:val="none" w:sz="0" w:space="0" w:color="auto"/>
            <w:left w:val="none" w:sz="0" w:space="0" w:color="auto"/>
            <w:bottom w:val="none" w:sz="0" w:space="0" w:color="auto"/>
            <w:right w:val="none" w:sz="0" w:space="0" w:color="auto"/>
          </w:divBdr>
          <w:divsChild>
            <w:div w:id="526866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3180043">
      <w:bodyDiv w:val="1"/>
      <w:marLeft w:val="0"/>
      <w:marRight w:val="0"/>
      <w:marTop w:val="0"/>
      <w:marBottom w:val="0"/>
      <w:divBdr>
        <w:top w:val="none" w:sz="0" w:space="0" w:color="auto"/>
        <w:left w:val="none" w:sz="0" w:space="0" w:color="auto"/>
        <w:bottom w:val="none" w:sz="0" w:space="0" w:color="auto"/>
        <w:right w:val="none" w:sz="0" w:space="0" w:color="auto"/>
      </w:divBdr>
      <w:divsChild>
        <w:div w:id="345910481">
          <w:marLeft w:val="0"/>
          <w:marRight w:val="0"/>
          <w:marTop w:val="0"/>
          <w:marBottom w:val="0"/>
          <w:divBdr>
            <w:top w:val="none" w:sz="0" w:space="0" w:color="auto"/>
            <w:left w:val="none" w:sz="0" w:space="0" w:color="auto"/>
            <w:bottom w:val="none" w:sz="0" w:space="0" w:color="auto"/>
            <w:right w:val="none" w:sz="0" w:space="0" w:color="auto"/>
          </w:divBdr>
          <w:divsChild>
            <w:div w:id="613512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4580908">
      <w:bodyDiv w:val="1"/>
      <w:marLeft w:val="0"/>
      <w:marRight w:val="0"/>
      <w:marTop w:val="0"/>
      <w:marBottom w:val="0"/>
      <w:divBdr>
        <w:top w:val="none" w:sz="0" w:space="0" w:color="auto"/>
        <w:left w:val="none" w:sz="0" w:space="0" w:color="auto"/>
        <w:bottom w:val="none" w:sz="0" w:space="0" w:color="auto"/>
        <w:right w:val="none" w:sz="0" w:space="0" w:color="auto"/>
      </w:divBdr>
    </w:div>
    <w:div w:id="1934390946">
      <w:bodyDiv w:val="1"/>
      <w:marLeft w:val="0"/>
      <w:marRight w:val="0"/>
      <w:marTop w:val="0"/>
      <w:marBottom w:val="0"/>
      <w:divBdr>
        <w:top w:val="none" w:sz="0" w:space="0" w:color="auto"/>
        <w:left w:val="none" w:sz="0" w:space="0" w:color="auto"/>
        <w:bottom w:val="none" w:sz="0" w:space="0" w:color="auto"/>
        <w:right w:val="none" w:sz="0" w:space="0" w:color="auto"/>
      </w:divBdr>
      <w:divsChild>
        <w:div w:id="1742095925">
          <w:marLeft w:val="720"/>
          <w:marRight w:val="0"/>
          <w:marTop w:val="77"/>
          <w:marBottom w:val="0"/>
          <w:divBdr>
            <w:top w:val="none" w:sz="0" w:space="0" w:color="auto"/>
            <w:left w:val="none" w:sz="0" w:space="0" w:color="auto"/>
            <w:bottom w:val="none" w:sz="0" w:space="0" w:color="auto"/>
            <w:right w:val="none" w:sz="0" w:space="0" w:color="auto"/>
          </w:divBdr>
        </w:div>
      </w:divsChild>
    </w:div>
    <w:div w:id="2039233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B3ED9-7D61-4EE1-99BC-5AA5FA9DED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474</TotalTime>
  <Pages>16</Pages>
  <Words>3482</Words>
  <Characters>22568</Characters>
  <Application>Microsoft Office Word</Application>
  <DocSecurity>0</DocSecurity>
  <Lines>410</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Iftimie (2242919)</dc:creator>
  <cp:keywords/>
  <dc:description/>
  <cp:lastModifiedBy>Constantin Iftimie (2242919)</cp:lastModifiedBy>
  <cp:revision>40</cp:revision>
  <dcterms:created xsi:type="dcterms:W3CDTF">2025-11-28T23:40:00Z</dcterms:created>
  <dcterms:modified xsi:type="dcterms:W3CDTF">2025-11-30T11:42:00Z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d8d7f790-46e9-469f-804c-1234eecf344e</vt:lpwstr>
  </property>
</Properties>
</file>