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3755" w:rsidRDefault="00623755" w:rsidP="00223ACF">
      <w:pPr>
        <w:jc w:val="center"/>
        <w:rPr>
          <w:b/>
          <w:u w:val="single"/>
        </w:rPr>
      </w:pPr>
    </w:p>
    <w:p w:rsidR="00623755" w:rsidRDefault="00623755" w:rsidP="00223ACF">
      <w:pPr>
        <w:jc w:val="center"/>
        <w:rPr>
          <w:b/>
          <w:sz w:val="40"/>
          <w:szCs w:val="40"/>
          <w:u w:val="single"/>
        </w:rPr>
      </w:pPr>
      <w:r>
        <w:rPr>
          <w:b/>
          <w:sz w:val="40"/>
          <w:szCs w:val="40"/>
          <w:u w:val="single"/>
        </w:rPr>
        <w:t>Margaret Morgan</w:t>
      </w:r>
    </w:p>
    <w:p w:rsidR="00623755" w:rsidRDefault="00623755" w:rsidP="00223ACF">
      <w:pPr>
        <w:jc w:val="center"/>
        <w:rPr>
          <w:b/>
          <w:sz w:val="40"/>
          <w:szCs w:val="40"/>
          <w:u w:val="single"/>
        </w:rPr>
      </w:pPr>
    </w:p>
    <w:p w:rsidR="00623755" w:rsidRDefault="00623755" w:rsidP="00223ACF">
      <w:pPr>
        <w:jc w:val="center"/>
        <w:rPr>
          <w:b/>
          <w:sz w:val="40"/>
          <w:szCs w:val="40"/>
          <w:u w:val="single"/>
        </w:rPr>
      </w:pPr>
      <w:r>
        <w:rPr>
          <w:b/>
          <w:sz w:val="40"/>
          <w:szCs w:val="40"/>
          <w:u w:val="single"/>
        </w:rPr>
        <w:t>1902923</w:t>
      </w:r>
    </w:p>
    <w:p w:rsidR="00623755" w:rsidRDefault="00623755" w:rsidP="00223ACF">
      <w:pPr>
        <w:jc w:val="center"/>
        <w:rPr>
          <w:b/>
          <w:sz w:val="40"/>
          <w:szCs w:val="40"/>
          <w:u w:val="single"/>
        </w:rPr>
      </w:pPr>
    </w:p>
    <w:p w:rsidR="00623755" w:rsidRDefault="00623755" w:rsidP="00223ACF">
      <w:pPr>
        <w:jc w:val="center"/>
        <w:rPr>
          <w:b/>
          <w:sz w:val="40"/>
          <w:szCs w:val="40"/>
          <w:u w:val="single"/>
        </w:rPr>
      </w:pPr>
      <w:r w:rsidRPr="00623755">
        <w:rPr>
          <w:b/>
          <w:sz w:val="40"/>
          <w:szCs w:val="40"/>
          <w:u w:val="single"/>
        </w:rPr>
        <w:t>A Critical Evaluation of the Therapeutic Relationship in Person Centred Therapy</w:t>
      </w:r>
    </w:p>
    <w:p w:rsidR="00623755" w:rsidRDefault="00623755" w:rsidP="00223ACF">
      <w:pPr>
        <w:jc w:val="center"/>
        <w:rPr>
          <w:b/>
          <w:sz w:val="40"/>
          <w:szCs w:val="40"/>
          <w:u w:val="single"/>
        </w:rPr>
      </w:pPr>
    </w:p>
    <w:p w:rsidR="00623755" w:rsidRDefault="00623755" w:rsidP="00223ACF">
      <w:pPr>
        <w:jc w:val="center"/>
        <w:rPr>
          <w:b/>
          <w:sz w:val="40"/>
          <w:szCs w:val="40"/>
          <w:u w:val="single"/>
        </w:rPr>
      </w:pPr>
      <w:r>
        <w:rPr>
          <w:b/>
          <w:sz w:val="40"/>
          <w:szCs w:val="40"/>
          <w:u w:val="single"/>
        </w:rPr>
        <w:t>Assignment 1</w:t>
      </w:r>
    </w:p>
    <w:p w:rsidR="00623755" w:rsidRDefault="00623755" w:rsidP="00223ACF">
      <w:pPr>
        <w:jc w:val="center"/>
        <w:rPr>
          <w:b/>
          <w:sz w:val="40"/>
          <w:szCs w:val="40"/>
          <w:u w:val="single"/>
        </w:rPr>
      </w:pPr>
    </w:p>
    <w:p w:rsidR="00623755" w:rsidRPr="00623755" w:rsidRDefault="00623755" w:rsidP="00223ACF">
      <w:pPr>
        <w:jc w:val="center"/>
        <w:rPr>
          <w:b/>
          <w:sz w:val="40"/>
          <w:szCs w:val="40"/>
          <w:u w:val="single"/>
        </w:rPr>
      </w:pPr>
    </w:p>
    <w:p w:rsidR="00623755" w:rsidRDefault="00623755" w:rsidP="00223ACF">
      <w:pPr>
        <w:jc w:val="center"/>
        <w:rPr>
          <w:b/>
          <w:u w:val="single"/>
        </w:rPr>
      </w:pPr>
    </w:p>
    <w:p w:rsidR="00623755" w:rsidRDefault="00623755" w:rsidP="00223ACF">
      <w:pPr>
        <w:jc w:val="center"/>
        <w:rPr>
          <w:b/>
          <w:u w:val="single"/>
        </w:rPr>
      </w:pPr>
    </w:p>
    <w:p w:rsidR="00623755" w:rsidRDefault="00623755" w:rsidP="00223ACF">
      <w:pPr>
        <w:jc w:val="center"/>
        <w:rPr>
          <w:b/>
          <w:u w:val="single"/>
        </w:rPr>
      </w:pPr>
    </w:p>
    <w:p w:rsidR="00623755" w:rsidRDefault="00623755" w:rsidP="00223ACF">
      <w:pPr>
        <w:jc w:val="center"/>
        <w:rPr>
          <w:b/>
          <w:u w:val="single"/>
        </w:rPr>
      </w:pPr>
    </w:p>
    <w:p w:rsidR="00623755" w:rsidRDefault="00623755" w:rsidP="00223ACF">
      <w:pPr>
        <w:jc w:val="center"/>
        <w:rPr>
          <w:b/>
          <w:u w:val="single"/>
        </w:rPr>
      </w:pPr>
    </w:p>
    <w:p w:rsidR="00623755" w:rsidRDefault="00623755" w:rsidP="00223ACF">
      <w:pPr>
        <w:jc w:val="center"/>
        <w:rPr>
          <w:b/>
          <w:u w:val="single"/>
        </w:rPr>
      </w:pPr>
    </w:p>
    <w:p w:rsidR="00623755" w:rsidRDefault="00623755" w:rsidP="00223ACF">
      <w:pPr>
        <w:jc w:val="center"/>
        <w:rPr>
          <w:b/>
          <w:u w:val="single"/>
        </w:rPr>
      </w:pPr>
    </w:p>
    <w:p w:rsidR="00623755" w:rsidRDefault="00623755" w:rsidP="00223ACF">
      <w:pPr>
        <w:jc w:val="center"/>
        <w:rPr>
          <w:b/>
          <w:u w:val="single"/>
        </w:rPr>
      </w:pPr>
    </w:p>
    <w:p w:rsidR="00623755" w:rsidRDefault="00623755" w:rsidP="00223ACF">
      <w:pPr>
        <w:jc w:val="center"/>
        <w:rPr>
          <w:b/>
          <w:u w:val="single"/>
        </w:rPr>
      </w:pPr>
    </w:p>
    <w:p w:rsidR="00623755" w:rsidRDefault="00623755" w:rsidP="00223ACF">
      <w:pPr>
        <w:jc w:val="center"/>
        <w:rPr>
          <w:b/>
          <w:u w:val="single"/>
        </w:rPr>
      </w:pPr>
    </w:p>
    <w:p w:rsidR="00623755" w:rsidRDefault="00623755" w:rsidP="00223ACF">
      <w:pPr>
        <w:jc w:val="center"/>
        <w:rPr>
          <w:b/>
          <w:u w:val="single"/>
        </w:rPr>
      </w:pPr>
    </w:p>
    <w:p w:rsidR="00623755" w:rsidRDefault="00623755" w:rsidP="00223ACF">
      <w:pPr>
        <w:jc w:val="center"/>
        <w:rPr>
          <w:b/>
          <w:u w:val="single"/>
        </w:rPr>
      </w:pPr>
    </w:p>
    <w:p w:rsidR="00623755" w:rsidRDefault="00623755" w:rsidP="00623755">
      <w:pPr>
        <w:rPr>
          <w:b/>
          <w:u w:val="single"/>
        </w:rPr>
      </w:pPr>
    </w:p>
    <w:p w:rsidR="00623755" w:rsidRDefault="00623755" w:rsidP="00223ACF">
      <w:pPr>
        <w:jc w:val="center"/>
        <w:rPr>
          <w:b/>
          <w:u w:val="single"/>
        </w:rPr>
      </w:pPr>
    </w:p>
    <w:p w:rsidR="00623755" w:rsidRDefault="00623755" w:rsidP="00223ACF">
      <w:pPr>
        <w:jc w:val="center"/>
        <w:rPr>
          <w:b/>
          <w:u w:val="single"/>
        </w:rPr>
      </w:pPr>
    </w:p>
    <w:p w:rsidR="003B2964" w:rsidRDefault="00223ACF" w:rsidP="00623755">
      <w:pPr>
        <w:jc w:val="center"/>
        <w:rPr>
          <w:b/>
          <w:u w:val="single"/>
        </w:rPr>
      </w:pPr>
      <w:r w:rsidRPr="00223ACF">
        <w:rPr>
          <w:b/>
          <w:u w:val="single"/>
        </w:rPr>
        <w:lastRenderedPageBreak/>
        <w:t>A Critical Evaluation of the Therapeutic Relationship in Person Centred Therapy.</w:t>
      </w:r>
    </w:p>
    <w:p w:rsidR="00223ACF" w:rsidRDefault="00223ACF" w:rsidP="00223ACF">
      <w:pPr>
        <w:jc w:val="center"/>
        <w:rPr>
          <w:b/>
          <w:u w:val="single"/>
        </w:rPr>
      </w:pPr>
    </w:p>
    <w:p w:rsidR="00223ACF" w:rsidRDefault="00223ACF" w:rsidP="00623755">
      <w:pPr>
        <w:jc w:val="center"/>
        <w:rPr>
          <w:b/>
          <w:u w:val="single"/>
        </w:rPr>
      </w:pPr>
      <w:r>
        <w:rPr>
          <w:b/>
          <w:u w:val="single"/>
        </w:rPr>
        <w:t>Introduction</w:t>
      </w:r>
    </w:p>
    <w:p w:rsidR="00223ACF" w:rsidRDefault="00223ACF" w:rsidP="00223ACF">
      <w:pPr>
        <w:jc w:val="both"/>
      </w:pPr>
      <w:r>
        <w:t xml:space="preserve">Carl Rogers Suggests that the acquisition and development of the </w:t>
      </w:r>
      <w:r w:rsidR="009E618F">
        <w:t>Therapeutic</w:t>
      </w:r>
      <w:r>
        <w:t xml:space="preserve"> relationship within counselling is fundamental in predicting positive change in a </w:t>
      </w:r>
      <w:r w:rsidR="009E618F">
        <w:t>client’s</w:t>
      </w:r>
      <w:r>
        <w:t xml:space="preserve"> treatment</w:t>
      </w:r>
      <w:r w:rsidR="00623755">
        <w:t xml:space="preserve"> (Rogers 1951)</w:t>
      </w:r>
      <w:r>
        <w:t>. R</w:t>
      </w:r>
      <w:r w:rsidR="00876F64">
        <w:t>ogers explored six core conditi</w:t>
      </w:r>
      <w:r>
        <w:t xml:space="preserve">ons that he suggested were essential in order to build a positive rapport with someone that </w:t>
      </w:r>
      <w:r w:rsidR="009E618F">
        <w:t>facilitated</w:t>
      </w:r>
      <w:r w:rsidR="00876F64">
        <w:t xml:space="preserve"> the needs o</w:t>
      </w:r>
      <w:r>
        <w:t xml:space="preserve">f the client. These core conditions will be explored further </w:t>
      </w:r>
      <w:r w:rsidR="009E618F">
        <w:t>within this</w:t>
      </w:r>
      <w:r>
        <w:t xml:space="preserve"> project in order to investigate the</w:t>
      </w:r>
      <w:r w:rsidR="00623755">
        <w:t>ir</w:t>
      </w:r>
      <w:r>
        <w:t xml:space="preserve"> effectiveness and </w:t>
      </w:r>
      <w:r w:rsidR="00876F64">
        <w:t xml:space="preserve">explore the </w:t>
      </w:r>
      <w:r w:rsidR="00623755">
        <w:t xml:space="preserve">evidence </w:t>
      </w:r>
      <w:r>
        <w:t xml:space="preserve">of these aspects according to </w:t>
      </w:r>
      <w:r w:rsidR="009E618F">
        <w:t>Rogers</w:t>
      </w:r>
      <w:r>
        <w:t xml:space="preserve"> when working within a professional helpin</w:t>
      </w:r>
      <w:r w:rsidR="00623755">
        <w:t>g role with another person. Particular attention will be paid to the core</w:t>
      </w:r>
      <w:r>
        <w:t xml:space="preserve"> condition </w:t>
      </w:r>
      <w:r w:rsidR="00623755">
        <w:t xml:space="preserve">‘Empathy’ which </w:t>
      </w:r>
      <w:r>
        <w:t xml:space="preserve">will be discussed in some detail with reference to supporting data and research within the same field </w:t>
      </w:r>
    </w:p>
    <w:p w:rsidR="00223ACF" w:rsidRDefault="00223ACF" w:rsidP="00223ACF">
      <w:pPr>
        <w:jc w:val="both"/>
      </w:pPr>
      <w:r>
        <w:t>Person centred therapy has largely become the most widely used modality of modern day counselling and some of rogers suggested core conditions and ideas of relationship building span across various approaches</w:t>
      </w:r>
      <w:r w:rsidR="00267878">
        <w:t xml:space="preserve"> and modalities</w:t>
      </w:r>
      <w:r>
        <w:t xml:space="preserve">. The development and </w:t>
      </w:r>
      <w:r w:rsidR="009E618F">
        <w:t>maintenance</w:t>
      </w:r>
      <w:r>
        <w:t xml:space="preserve"> of this relationship, the effectiveness of the </w:t>
      </w:r>
      <w:r w:rsidR="009E618F">
        <w:t>skills</w:t>
      </w:r>
      <w:r>
        <w:t xml:space="preserve"> used and displayed by the therapist and the potential issues that may arise should </w:t>
      </w:r>
      <w:r w:rsidR="009E618F">
        <w:t>these</w:t>
      </w:r>
      <w:r>
        <w:t xml:space="preserve"> core conditions be insufficient or absent will </w:t>
      </w:r>
      <w:r w:rsidR="009E618F">
        <w:t>be</w:t>
      </w:r>
      <w:r>
        <w:t xml:space="preserve"> discussed in accordance with </w:t>
      </w:r>
      <w:r w:rsidR="009E618F">
        <w:t xml:space="preserve">some of the more recent studies based upon this. </w:t>
      </w:r>
    </w:p>
    <w:p w:rsidR="003C7912" w:rsidRDefault="003C7912" w:rsidP="00223ACF">
      <w:pPr>
        <w:jc w:val="both"/>
      </w:pPr>
    </w:p>
    <w:p w:rsidR="003C7912" w:rsidRDefault="003C7912" w:rsidP="00223ACF">
      <w:pPr>
        <w:jc w:val="both"/>
      </w:pPr>
    </w:p>
    <w:p w:rsidR="003C7912" w:rsidRDefault="003C7912" w:rsidP="00223ACF">
      <w:pPr>
        <w:jc w:val="both"/>
      </w:pPr>
    </w:p>
    <w:p w:rsidR="003C7912" w:rsidRDefault="003C7912" w:rsidP="00223ACF">
      <w:pPr>
        <w:jc w:val="both"/>
      </w:pPr>
    </w:p>
    <w:p w:rsidR="003C7912" w:rsidRDefault="003C7912" w:rsidP="00223ACF">
      <w:pPr>
        <w:jc w:val="both"/>
      </w:pPr>
    </w:p>
    <w:p w:rsidR="003C7912" w:rsidRDefault="003C7912" w:rsidP="00223ACF">
      <w:pPr>
        <w:jc w:val="both"/>
      </w:pPr>
    </w:p>
    <w:p w:rsidR="003C7912" w:rsidRDefault="003C7912" w:rsidP="00223ACF">
      <w:pPr>
        <w:jc w:val="both"/>
      </w:pPr>
    </w:p>
    <w:p w:rsidR="003C7912" w:rsidRDefault="003C7912" w:rsidP="00223ACF">
      <w:pPr>
        <w:jc w:val="both"/>
      </w:pPr>
    </w:p>
    <w:p w:rsidR="003C7912" w:rsidRDefault="003C7912" w:rsidP="00223ACF">
      <w:pPr>
        <w:jc w:val="both"/>
      </w:pPr>
    </w:p>
    <w:p w:rsidR="003C7912" w:rsidRDefault="003C7912" w:rsidP="00223ACF">
      <w:pPr>
        <w:jc w:val="both"/>
      </w:pPr>
    </w:p>
    <w:p w:rsidR="003C7912" w:rsidRDefault="003C7912" w:rsidP="00223ACF">
      <w:pPr>
        <w:jc w:val="both"/>
      </w:pPr>
    </w:p>
    <w:p w:rsidR="003C7912" w:rsidRDefault="003C7912" w:rsidP="00223ACF">
      <w:pPr>
        <w:jc w:val="both"/>
      </w:pPr>
    </w:p>
    <w:p w:rsidR="003C7912" w:rsidRDefault="003C7912" w:rsidP="00223ACF">
      <w:pPr>
        <w:jc w:val="both"/>
      </w:pPr>
    </w:p>
    <w:p w:rsidR="003C7912" w:rsidRDefault="003C7912" w:rsidP="00223ACF">
      <w:pPr>
        <w:jc w:val="both"/>
      </w:pPr>
    </w:p>
    <w:p w:rsidR="003C7912" w:rsidRDefault="003C7912" w:rsidP="00223ACF">
      <w:pPr>
        <w:jc w:val="both"/>
      </w:pPr>
    </w:p>
    <w:p w:rsidR="003C7912" w:rsidRDefault="003C7912" w:rsidP="00223ACF">
      <w:pPr>
        <w:jc w:val="both"/>
      </w:pPr>
    </w:p>
    <w:p w:rsidR="003C7912" w:rsidRDefault="003C7912" w:rsidP="00223ACF">
      <w:pPr>
        <w:jc w:val="both"/>
      </w:pPr>
    </w:p>
    <w:p w:rsidR="00267878" w:rsidRDefault="00267878" w:rsidP="003C7912">
      <w:pPr>
        <w:jc w:val="both"/>
      </w:pPr>
    </w:p>
    <w:p w:rsidR="006C22CD" w:rsidRDefault="00876F64" w:rsidP="003C7912">
      <w:pPr>
        <w:jc w:val="both"/>
      </w:pPr>
      <w:r>
        <w:lastRenderedPageBreak/>
        <w:t>In 1957 Car</w:t>
      </w:r>
      <w:r w:rsidR="003C7912">
        <w:t xml:space="preserve">l Rogers investigated the </w:t>
      </w:r>
      <w:r w:rsidR="00B11B39">
        <w:t xml:space="preserve">requirements needed </w:t>
      </w:r>
      <w:r w:rsidR="003C7912">
        <w:t>to dev</w:t>
      </w:r>
      <w:r>
        <w:t>e</w:t>
      </w:r>
      <w:r w:rsidR="003C7912">
        <w:t>lop a positive therapeutic relationship when working to establish the most effective form of positive change for a client</w:t>
      </w:r>
      <w:r w:rsidR="00466A20">
        <w:t xml:space="preserve"> (Sanders, 2008)</w:t>
      </w:r>
      <w:r w:rsidR="003C7912">
        <w:t xml:space="preserve">. </w:t>
      </w:r>
      <w:r w:rsidR="006C22CD">
        <w:t xml:space="preserve">In his Journal on </w:t>
      </w:r>
      <w:r w:rsidR="006C22CD" w:rsidRPr="006C22CD">
        <w:t>Functional analytic psychotherapy (FAP),</w:t>
      </w:r>
      <w:r w:rsidR="006C22CD">
        <w:t xml:space="preserve"> </w:t>
      </w:r>
      <w:proofErr w:type="spellStart"/>
      <w:r w:rsidR="006C22CD">
        <w:t>Kohlenburg</w:t>
      </w:r>
      <w:proofErr w:type="spellEnd"/>
      <w:r w:rsidR="006C22CD">
        <w:t xml:space="preserve"> describes the need for the</w:t>
      </w:r>
      <w:r w:rsidR="006C22CD" w:rsidRPr="006C22CD">
        <w:t xml:space="preserve"> </w:t>
      </w:r>
      <w:r w:rsidR="006C22CD" w:rsidRPr="006C22CD">
        <w:rPr>
          <w:i/>
        </w:rPr>
        <w:t>‘creation of a safe, evocative, attuned, authentic, and mutually vulnerable therapeutic relationship’</w:t>
      </w:r>
      <w:r w:rsidR="006C22CD">
        <w:rPr>
          <w:i/>
        </w:rPr>
        <w:t xml:space="preserve"> </w:t>
      </w:r>
      <w:r w:rsidR="006C22CD">
        <w:t>in order for success</w:t>
      </w:r>
      <w:r w:rsidR="00822601">
        <w:t>ful progression in the client (</w:t>
      </w:r>
      <w:proofErr w:type="spellStart"/>
      <w:r w:rsidR="006C22CD">
        <w:t>Kohlenburg</w:t>
      </w:r>
      <w:proofErr w:type="spellEnd"/>
      <w:r w:rsidR="006C22CD">
        <w:t xml:space="preserve">, 2019). </w:t>
      </w:r>
      <w:r w:rsidR="00822601">
        <w:t xml:space="preserve">In his Journal on Secure in-session attachment, </w:t>
      </w:r>
      <w:proofErr w:type="spellStart"/>
      <w:r w:rsidR="00822601">
        <w:t>Muran</w:t>
      </w:r>
      <w:proofErr w:type="spellEnd"/>
      <w:r w:rsidR="00822601">
        <w:t xml:space="preserve"> (2019) suggests that research has shown the importance and quality of attachment as a </w:t>
      </w:r>
      <w:r w:rsidR="00822601" w:rsidRPr="00822601">
        <w:rPr>
          <w:i/>
        </w:rPr>
        <w:t>‘critical influence’</w:t>
      </w:r>
      <w:r w:rsidR="00822601">
        <w:rPr>
          <w:i/>
        </w:rPr>
        <w:t xml:space="preserve"> </w:t>
      </w:r>
      <w:r w:rsidR="00822601">
        <w:t xml:space="preserve">when building the relationship with the therapist </w:t>
      </w:r>
      <w:r w:rsidR="00822601" w:rsidRPr="00822601">
        <w:t>(</w:t>
      </w:r>
      <w:proofErr w:type="spellStart"/>
      <w:r w:rsidR="00822601" w:rsidRPr="00822601">
        <w:t>Lingiardi</w:t>
      </w:r>
      <w:proofErr w:type="spellEnd"/>
      <w:r w:rsidR="00822601" w:rsidRPr="00822601">
        <w:t xml:space="preserve">, </w:t>
      </w:r>
      <w:proofErr w:type="spellStart"/>
      <w:r w:rsidR="00822601" w:rsidRPr="00822601">
        <w:t>Holmqvist</w:t>
      </w:r>
      <w:proofErr w:type="spellEnd"/>
      <w:r w:rsidR="00822601" w:rsidRPr="00822601">
        <w:t xml:space="preserve">, &amp; </w:t>
      </w:r>
      <w:proofErr w:type="spellStart"/>
      <w:r w:rsidR="00822601" w:rsidRPr="00822601">
        <w:t>Safran</w:t>
      </w:r>
      <w:proofErr w:type="spellEnd"/>
      <w:r w:rsidR="00822601" w:rsidRPr="00822601">
        <w:t>, 2016</w:t>
      </w:r>
      <w:r w:rsidR="00822601">
        <w:t xml:space="preserve">, as cited by </w:t>
      </w:r>
      <w:proofErr w:type="spellStart"/>
      <w:r w:rsidR="00822601">
        <w:t>Muran</w:t>
      </w:r>
      <w:proofErr w:type="spellEnd"/>
      <w:r w:rsidR="00822601">
        <w:t xml:space="preserve"> 2019). </w:t>
      </w:r>
      <w:r w:rsidR="008D613F">
        <w:t xml:space="preserve">Martin Buber considered the interaction so crucial he stated that “In the beginning was the relationship”, suggesting a </w:t>
      </w:r>
      <w:proofErr w:type="spellStart"/>
      <w:r w:rsidR="00267878">
        <w:t>pre</w:t>
      </w:r>
      <w:r w:rsidR="008D613F">
        <w:t>quisite</w:t>
      </w:r>
      <w:proofErr w:type="spellEnd"/>
      <w:r w:rsidR="008D613F">
        <w:t xml:space="preserve"> connection is fundamental for any healing work to begin </w:t>
      </w:r>
      <w:r w:rsidR="008D613F" w:rsidRPr="008D613F">
        <w:t>(Buber, 1971, p. 69)</w:t>
      </w:r>
      <w:r w:rsidR="008D613F">
        <w:t xml:space="preserve">. </w:t>
      </w:r>
      <w:r w:rsidR="00822601">
        <w:t xml:space="preserve">However, Baldwin (2007) states </w:t>
      </w:r>
      <w:r w:rsidR="00172E87" w:rsidRPr="006C22CD">
        <w:t xml:space="preserve">that </w:t>
      </w:r>
      <w:r w:rsidR="00822601">
        <w:t xml:space="preserve">the </w:t>
      </w:r>
      <w:r w:rsidR="008358FA">
        <w:t>client’s</w:t>
      </w:r>
      <w:r w:rsidR="00822601">
        <w:t xml:space="preserve"> engagement in the relationship is not as important as what the therapist puts in to their forming alliance </w:t>
      </w:r>
      <w:r w:rsidR="004259DF">
        <w:t>(Baldwin, 2007).</w:t>
      </w:r>
      <w:r w:rsidR="008358FA">
        <w:t xml:space="preserve"> Although Baldwin place</w:t>
      </w:r>
      <w:r w:rsidR="00961B75">
        <w:t>s</w:t>
      </w:r>
      <w:r w:rsidR="008358FA">
        <w:t xml:space="preserve"> much of the responsibility upon the therapist, both r</w:t>
      </w:r>
      <w:r w:rsidR="00961B75">
        <w:t>esearchers highlight the</w:t>
      </w:r>
      <w:r w:rsidR="008358FA">
        <w:t xml:space="preserve"> importance placed on the development of a positive relationship that is needed to make an alliance successful for client progression</w:t>
      </w:r>
      <w:r w:rsidR="00961B75">
        <w:t xml:space="preserve"> in Person Centred Therapy</w:t>
      </w:r>
      <w:r w:rsidR="008358FA">
        <w:t>.</w:t>
      </w:r>
    </w:p>
    <w:p w:rsidR="003C7912" w:rsidRDefault="008358FA" w:rsidP="003C7912">
      <w:pPr>
        <w:jc w:val="both"/>
      </w:pPr>
      <w:r>
        <w:t>In addition to his work on developing the Person centred appr</w:t>
      </w:r>
      <w:r w:rsidR="00961B75">
        <w:t>oach, Carl Rogers (1957)</w:t>
      </w:r>
      <w:r w:rsidR="003C7912">
        <w:t xml:space="preserve"> identified six conditions he believed had to be established </w:t>
      </w:r>
      <w:r w:rsidR="00961B75">
        <w:t xml:space="preserve">in order to build a therapeutic relationship, </w:t>
      </w:r>
      <w:r w:rsidR="003C7912">
        <w:t>b</w:t>
      </w:r>
      <w:r w:rsidR="00961B75">
        <w:t>efore any work could take place. H</w:t>
      </w:r>
      <w:r w:rsidR="003C7912">
        <w:t xml:space="preserve">e considered </w:t>
      </w:r>
      <w:r w:rsidR="00961B75">
        <w:t xml:space="preserve">three of these </w:t>
      </w:r>
      <w:r w:rsidR="003C7912">
        <w:t>to be the true core of the relationship;</w:t>
      </w:r>
      <w:r w:rsidR="00466A20">
        <w:t xml:space="preserve"> Empathy, Congruence and Unconditional Positive Regard. </w:t>
      </w:r>
      <w:r w:rsidR="003C7912">
        <w:t>Further to the three core conditions, Rogers identified three hidden conditions he described as;</w:t>
      </w:r>
    </w:p>
    <w:p w:rsidR="003C7912" w:rsidRDefault="003C7912" w:rsidP="003C7912">
      <w:pPr>
        <w:pStyle w:val="ListParagraph"/>
        <w:numPr>
          <w:ilvl w:val="0"/>
          <w:numId w:val="1"/>
        </w:numPr>
        <w:jc w:val="both"/>
      </w:pPr>
      <w:r>
        <w:t>The patient not feeling nervous, anxious or uneasy</w:t>
      </w:r>
    </w:p>
    <w:p w:rsidR="003C7912" w:rsidRDefault="003C7912" w:rsidP="003C7912">
      <w:pPr>
        <w:pStyle w:val="ListParagraph"/>
        <w:numPr>
          <w:ilvl w:val="0"/>
          <w:numId w:val="1"/>
        </w:numPr>
        <w:jc w:val="both"/>
      </w:pPr>
      <w:r>
        <w:t>Acceptance and non-judgement from the therapist</w:t>
      </w:r>
    </w:p>
    <w:p w:rsidR="003C7912" w:rsidRDefault="003C7912" w:rsidP="003C7912">
      <w:pPr>
        <w:pStyle w:val="ListParagraph"/>
        <w:numPr>
          <w:ilvl w:val="0"/>
          <w:numId w:val="1"/>
        </w:numPr>
        <w:jc w:val="both"/>
      </w:pPr>
      <w:r>
        <w:t xml:space="preserve">Psychological contact and a safe space for which to connect and explore with the </w:t>
      </w:r>
      <w:r w:rsidR="00AC2660">
        <w:t>client</w:t>
      </w:r>
      <w:r w:rsidR="00267878">
        <w:t xml:space="preserve">, also referred to as Presence </w:t>
      </w:r>
      <w:r w:rsidR="00466A20">
        <w:t>(Sanders 2008).</w:t>
      </w:r>
    </w:p>
    <w:p w:rsidR="008F77F1" w:rsidRDefault="00AC2660" w:rsidP="00AC2660">
      <w:pPr>
        <w:jc w:val="both"/>
      </w:pPr>
      <w:r>
        <w:t xml:space="preserve">These conditions have remained consistent within counselling and psychotherapy throughout the years and </w:t>
      </w:r>
      <w:r w:rsidR="00267878">
        <w:t xml:space="preserve">form </w:t>
      </w:r>
      <w:r>
        <w:t>the basis of several further explorative studies leading to adaptions and different modalities of the sa</w:t>
      </w:r>
      <w:r w:rsidR="00B11B39">
        <w:t>m</w:t>
      </w:r>
      <w:r w:rsidR="00034D12">
        <w:t>e original idea,</w:t>
      </w:r>
      <w:r w:rsidR="00961B75">
        <w:t xml:space="preserve"> further supporting Rogers Theory that the relationship between Client and therapist is as important as the therapy itself (Sanders 2008). H</w:t>
      </w:r>
      <w:r w:rsidR="00034D12">
        <w:t>owever they have also been referred to as “Therapist provided conditions” which can be misleading</w:t>
      </w:r>
      <w:r w:rsidR="008358FA">
        <w:t>,</w:t>
      </w:r>
      <w:r w:rsidR="00034D12">
        <w:t xml:space="preserve"> </w:t>
      </w:r>
      <w:r w:rsidR="008358FA">
        <w:t>a</w:t>
      </w:r>
      <w:r w:rsidR="00034D12">
        <w:t>s it suggests that these concepts are strategies that the counsellor is “doing” to the client rather than</w:t>
      </w:r>
      <w:r w:rsidR="008358FA">
        <w:t xml:space="preserve"> a way of incorporating these conditions of</w:t>
      </w:r>
      <w:r w:rsidR="00034D12">
        <w:t xml:space="preserve"> “Being” (Sanders, 2008). </w:t>
      </w:r>
      <w:r>
        <w:t xml:space="preserve"> </w:t>
      </w:r>
      <w:r w:rsidR="008F77F1">
        <w:t>The BACP</w:t>
      </w:r>
      <w:r w:rsidR="008F77F1" w:rsidRPr="008F77F1">
        <w:t xml:space="preserve"> Ethical Framework for the Counselling Professions </w:t>
      </w:r>
      <w:r w:rsidR="008F77F1">
        <w:t xml:space="preserve">supports and reinforces these core conditions as an Ethical basis of good practice that protects both the therapists in their working practice and clients accessing their services (BACP 2018). The framework promotes the development of a good working relationship and outlines the importance of a therapists ethical responsibilities to the client. </w:t>
      </w:r>
      <w:r w:rsidR="00961B75">
        <w:t xml:space="preserve">According to the Framework, </w:t>
      </w:r>
      <w:r w:rsidR="008F77F1">
        <w:t>Five “core” principles must be adhered t</w:t>
      </w:r>
      <w:r w:rsidR="00236D3F">
        <w:t>o</w:t>
      </w:r>
      <w:r w:rsidR="008F77F1">
        <w:t xml:space="preserve">; </w:t>
      </w:r>
    </w:p>
    <w:p w:rsidR="008F77F1" w:rsidRPr="00236D3F" w:rsidRDefault="008F77F1" w:rsidP="00AC2660">
      <w:pPr>
        <w:jc w:val="both"/>
        <w:rPr>
          <w:b/>
          <w:i/>
        </w:rPr>
      </w:pPr>
      <w:r w:rsidRPr="00236D3F">
        <w:rPr>
          <w:b/>
          <w:i/>
        </w:rPr>
        <w:t>“Being trustworthy: honouring the trust placed in the practitioner. Autonomy: respect for the client’s right to be self-governing. Beneficence: a commitment to promoting the client’s wellbeing. Non-maleficence: a commitment to avoiding harm to the client. Justice: the fair and impartial treatment of all clients and the provision of adequate services. Self-respect: fostering the practitioner’s self-knowled</w:t>
      </w:r>
      <w:r w:rsidR="00236D3F" w:rsidRPr="00236D3F">
        <w:rPr>
          <w:b/>
          <w:i/>
        </w:rPr>
        <w:t xml:space="preserve">ge, integrity and care for self” </w:t>
      </w:r>
    </w:p>
    <w:p w:rsidR="008F77F1" w:rsidRDefault="00236D3F" w:rsidP="00AC2660">
      <w:pPr>
        <w:jc w:val="both"/>
      </w:pPr>
      <w:r>
        <w:tab/>
      </w:r>
      <w:r>
        <w:tab/>
      </w:r>
      <w:r>
        <w:tab/>
      </w:r>
      <w:r>
        <w:tab/>
      </w:r>
      <w:r>
        <w:tab/>
      </w:r>
      <w:r>
        <w:tab/>
      </w:r>
      <w:r>
        <w:tab/>
      </w:r>
      <w:r>
        <w:tab/>
        <w:t>(BACP Ethical Framework 2018).</w:t>
      </w:r>
    </w:p>
    <w:p w:rsidR="001915DC" w:rsidRPr="001915DC" w:rsidRDefault="00236D3F" w:rsidP="001915DC">
      <w:pPr>
        <w:jc w:val="both"/>
        <w:rPr>
          <w:iCs/>
        </w:rPr>
      </w:pPr>
      <w:r>
        <w:t xml:space="preserve">These principles highlight the additional importance of the </w:t>
      </w:r>
      <w:r w:rsidR="008358FA">
        <w:t>therapist’s role within the relationship;</w:t>
      </w:r>
      <w:r>
        <w:t xml:space="preserve"> self-care, respect, non-judgment and the promotion of autonomy, empowering the client to take the </w:t>
      </w:r>
      <w:r>
        <w:lastRenderedPageBreak/>
        <w:t>lead in their own process.</w:t>
      </w:r>
      <w:r w:rsidR="00961B75">
        <w:t xml:space="preserve"> In terms </w:t>
      </w:r>
      <w:r w:rsidR="006911E0">
        <w:t xml:space="preserve">of </w:t>
      </w:r>
      <w:r w:rsidR="00961B75">
        <w:t xml:space="preserve">the authors personal </w:t>
      </w:r>
      <w:r w:rsidR="006911E0">
        <w:t xml:space="preserve">skills practice and Triad work, the development of trust and rapport in order to facilitate that relationship has been noted as making a significant impact on the willingness of a client to be open and honest within the session. As the bond </w:t>
      </w:r>
      <w:r w:rsidR="00961B75">
        <w:t>is gradually developed,</w:t>
      </w:r>
      <w:r w:rsidR="00107BAF">
        <w:t xml:space="preserve"> the client has been notably</w:t>
      </w:r>
      <w:r w:rsidR="006911E0">
        <w:t xml:space="preserve"> more comfortable and relaxed, enabling them to fully explore the issues discussed. With the compliance and integration of em</w:t>
      </w:r>
      <w:r w:rsidR="00107BAF">
        <w:t>pathy, this relationship deepened</w:t>
      </w:r>
      <w:r w:rsidR="006911E0">
        <w:t xml:space="preserve"> further and </w:t>
      </w:r>
      <w:r w:rsidR="002C382A">
        <w:t xml:space="preserve">the client has stated the quality of the alliance as a facilitating factor in her ability </w:t>
      </w:r>
      <w:r w:rsidR="00F877E4">
        <w:t>to be congruent. Martin Buber (1971</w:t>
      </w:r>
      <w:r w:rsidR="002C382A">
        <w:t xml:space="preserve">) states that </w:t>
      </w:r>
      <w:r w:rsidR="004F5387" w:rsidRPr="004F5387">
        <w:rPr>
          <w:i/>
        </w:rPr>
        <w:t>“</w:t>
      </w:r>
      <w:r w:rsidR="002C382A" w:rsidRPr="004F5387">
        <w:rPr>
          <w:i/>
        </w:rPr>
        <w:t>t</w:t>
      </w:r>
      <w:r w:rsidR="00172E87" w:rsidRPr="004F5387">
        <w:rPr>
          <w:i/>
        </w:rPr>
        <w:t>he more two people are able to relate empathically to each other, the more probable it is that the relationship between them will be successful and endure.</w:t>
      </w:r>
      <w:r w:rsidR="004F5387" w:rsidRPr="004F5387">
        <w:rPr>
          <w:i/>
        </w:rPr>
        <w:t>”</w:t>
      </w:r>
      <w:r w:rsidR="00107BAF">
        <w:rPr>
          <w:i/>
        </w:rPr>
        <w:t xml:space="preserve"> </w:t>
      </w:r>
      <w:r w:rsidR="00F877E4" w:rsidRPr="00F877E4">
        <w:t>Throughout his work, Buber was very spiritual in his interpretations of empathy and other ‘invisible’ and ‘im</w:t>
      </w:r>
      <w:r w:rsidR="00F877E4">
        <w:t>m</w:t>
      </w:r>
      <w:r w:rsidR="00F877E4" w:rsidRPr="00F877E4">
        <w:t>easurable’</w:t>
      </w:r>
      <w:r w:rsidR="00F877E4">
        <w:t xml:space="preserve"> emotions and senses, yet his depiction and descriptions of the connection and space held between people resonates most with the author. </w:t>
      </w:r>
      <w:r w:rsidR="001915DC">
        <w:t xml:space="preserve">His theory </w:t>
      </w:r>
      <w:r w:rsidR="001915DC" w:rsidRPr="001915DC">
        <w:t xml:space="preserve">‘Through the </w:t>
      </w:r>
      <w:r w:rsidR="001915DC" w:rsidRPr="001915DC">
        <w:rPr>
          <w:i/>
          <w:iCs/>
        </w:rPr>
        <w:t xml:space="preserve">Thou </w:t>
      </w:r>
      <w:r w:rsidR="001915DC" w:rsidRPr="001915DC">
        <w:t xml:space="preserve">a man (sic) becomes </w:t>
      </w:r>
      <w:r w:rsidR="001915DC" w:rsidRPr="001915DC">
        <w:rPr>
          <w:i/>
          <w:iCs/>
        </w:rPr>
        <w:t>I’ (Martin Buber</w:t>
      </w:r>
      <w:r w:rsidR="007E14E7">
        <w:rPr>
          <w:i/>
          <w:iCs/>
        </w:rPr>
        <w:t xml:space="preserve"> 1971</w:t>
      </w:r>
      <w:r w:rsidR="001915DC" w:rsidRPr="001915DC">
        <w:rPr>
          <w:i/>
          <w:iCs/>
        </w:rPr>
        <w:t>)</w:t>
      </w:r>
      <w:r w:rsidR="001915DC">
        <w:rPr>
          <w:i/>
          <w:iCs/>
        </w:rPr>
        <w:t xml:space="preserve"> </w:t>
      </w:r>
      <w:r w:rsidR="001915DC">
        <w:rPr>
          <w:iCs/>
        </w:rPr>
        <w:t xml:space="preserve">proposes the concept that in our daily lives we view others as ‘other’, ‘it’, </w:t>
      </w:r>
      <w:r w:rsidR="007E14E7">
        <w:rPr>
          <w:iCs/>
        </w:rPr>
        <w:t>‘objects’</w:t>
      </w:r>
      <w:r w:rsidR="001915DC">
        <w:rPr>
          <w:iCs/>
        </w:rPr>
        <w:t xml:space="preserve"> and we don’t fully connect with them. Buber suggest that we merely interact with each other on a superficial level to meet our goals and/or needs. He states that when we truly allow ourselves to ‘see and be seen’ we enter in to the ‘I – Thou’</w:t>
      </w:r>
      <w:r w:rsidR="00F34B45">
        <w:rPr>
          <w:iCs/>
        </w:rPr>
        <w:t xml:space="preserve"> relationship of truly connecting with the other person (Buber, 1971).</w:t>
      </w:r>
    </w:p>
    <w:p w:rsidR="00214221" w:rsidRDefault="00214221" w:rsidP="00AC2660">
      <w:pPr>
        <w:jc w:val="both"/>
      </w:pPr>
      <w:r>
        <w:t xml:space="preserve">In addition to conditions that help to build relationships it is also important to note the factors that can hinder it, or cause a rupture in the relationship. </w:t>
      </w:r>
      <w:r w:rsidR="003D2373">
        <w:t xml:space="preserve">In a study investigating the common reasons a counselling alliance could be hindered among university </w:t>
      </w:r>
      <w:r w:rsidR="003D2373" w:rsidRPr="00F877E4">
        <w:t>students</w:t>
      </w:r>
      <w:r w:rsidR="003D2373">
        <w:t xml:space="preserve">, </w:t>
      </w:r>
      <w:proofErr w:type="spellStart"/>
      <w:r w:rsidR="003D2373">
        <w:t>Bedi</w:t>
      </w:r>
      <w:proofErr w:type="spellEnd"/>
      <w:r w:rsidR="003D2373">
        <w:t xml:space="preserve"> and Cook (2012) compared two groups and their experiences with a therapist. The study correlated the most common reasons for a potential rupture in the relationship</w:t>
      </w:r>
      <w:r w:rsidR="00AC31FC">
        <w:t xml:space="preserve"> and concluded that</w:t>
      </w:r>
      <w:r w:rsidR="003D2373">
        <w:t xml:space="preserve"> trusting the counsellor was a major factor that could prevent a successful partnership. Trust could be affected by a lack of confidence in the </w:t>
      </w:r>
      <w:r w:rsidR="00A0567C">
        <w:t>therapist’s</w:t>
      </w:r>
      <w:r w:rsidR="003D2373">
        <w:t xml:space="preserve"> actions, words and behaviour, the counsellor being overly or under directive, th</w:t>
      </w:r>
      <w:r w:rsidR="00AC31FC">
        <w:t>e body language conveyed as</w:t>
      </w:r>
      <w:r w:rsidR="003D2373">
        <w:t xml:space="preserve"> a perceived lack of interest or engagement, and a lack of genuine</w:t>
      </w:r>
      <w:r w:rsidR="000841FF">
        <w:t>ne</w:t>
      </w:r>
      <w:r w:rsidR="003D2373">
        <w:t>ss and</w:t>
      </w:r>
      <w:r w:rsidR="00A0567C">
        <w:t xml:space="preserve"> congruence in the counsellor (</w:t>
      </w:r>
      <w:proofErr w:type="spellStart"/>
      <w:r w:rsidR="00A0567C">
        <w:t>B</w:t>
      </w:r>
      <w:r w:rsidR="003D2373">
        <w:t>edi</w:t>
      </w:r>
      <w:proofErr w:type="spellEnd"/>
      <w:r w:rsidR="003D2373">
        <w:t xml:space="preserve"> &amp; Cook, 2012). </w:t>
      </w:r>
      <w:r w:rsidR="00A0567C">
        <w:t>Although widely agreed reasons for a rupture in a therapeutic relationship, the study seemed to hint at the bias from the student when assessing the responsibility for creating and maintain</w:t>
      </w:r>
      <w:r w:rsidR="000841FF">
        <w:t>ing</w:t>
      </w:r>
      <w:r w:rsidR="00A0567C">
        <w:t xml:space="preserve"> the relationship. This also hinted at the unspoken power balances that can be apparent in a counselling alliance and the expectations clients have from their </w:t>
      </w:r>
      <w:r w:rsidR="000841FF">
        <w:t xml:space="preserve">therapists in </w:t>
      </w:r>
      <w:r w:rsidR="00A0567C">
        <w:t>sessions (</w:t>
      </w:r>
      <w:proofErr w:type="spellStart"/>
      <w:r w:rsidR="00A0567C">
        <w:t>Bedi</w:t>
      </w:r>
      <w:proofErr w:type="spellEnd"/>
      <w:r w:rsidR="00A0567C">
        <w:t xml:space="preserve"> &amp; Cook, 2012). </w:t>
      </w:r>
    </w:p>
    <w:p w:rsidR="00A0567C" w:rsidRDefault="00A0567C" w:rsidP="00A0567C">
      <w:pPr>
        <w:jc w:val="both"/>
      </w:pPr>
      <w:r>
        <w:t xml:space="preserve">In addition, Rogers (as cited in Brown, 2007) noted that therapists often feel more at ease labelling clients in order to assess their issues, needs and ways of moving forward in the therapy which can hinder the empathic response in the relationship. Brown (2007) suggests that therapists can prefer ‘doing’ rather than ‘being’ which can at times be reciprocated from the client through </w:t>
      </w:r>
      <w:r w:rsidR="00D478B8">
        <w:t>the ex</w:t>
      </w:r>
      <w:r>
        <w:t>pectation on the therapist as expert to fix all.</w:t>
      </w:r>
      <w:r w:rsidR="00D478B8">
        <w:t xml:space="preserve"> An important factor to further consider is the therapists own personal attitudes, values and morals and how this can contribute to gender, race and sexual orientation discrimination, which could hinder the empathic process as the therapist becomes incongruent through a lack of understanding or experience in these areas. Brown specifically relates this to Rogers himself, as during his period of work there was a lack of representation and consideration around women’s experiences and perspectives as well as other minority groups (Brown 2007). Her response to this argument was that as Roger had stated through </w:t>
      </w:r>
      <w:r w:rsidR="000841FF">
        <w:t>his work, the</w:t>
      </w:r>
      <w:r w:rsidR="00D478B8">
        <w:t xml:space="preserve"> key to addressing this was for the therapist to be aware of their own thoughts and feelings and to be genuine in their response to this (Brown, 2007).</w:t>
      </w:r>
    </w:p>
    <w:p w:rsidR="00F34B45" w:rsidRDefault="00F34B45" w:rsidP="00A0567C">
      <w:pPr>
        <w:jc w:val="both"/>
      </w:pPr>
      <w:proofErr w:type="spellStart"/>
      <w:r>
        <w:t>Muran</w:t>
      </w:r>
      <w:proofErr w:type="spellEnd"/>
      <w:r>
        <w:t xml:space="preserve"> (2019) </w:t>
      </w:r>
      <w:r w:rsidR="00D60CBA">
        <w:t xml:space="preserve">studied the density of in- session attachments between the client and therapist, and the impact a rupture to the relationship had on this. He further explored the level at which ruptures could be repaired and concluded that should the attachment be secure, the rupture could not only be healed, but could add further depth to the therapeutic relationship and assist in the clients healing of </w:t>
      </w:r>
      <w:r w:rsidR="00D60CBA">
        <w:lastRenderedPageBreak/>
        <w:t xml:space="preserve">those triggers and issues. This continues to support the favour for the importance of the therapeutic relationship as a </w:t>
      </w:r>
      <w:r w:rsidR="00431AD7">
        <w:t>‘secure base’</w:t>
      </w:r>
      <w:r w:rsidR="00D60CBA">
        <w:t xml:space="preserve"> for all person centred counselling work, and a starting point to build on and mature before any real healing work can begin. </w:t>
      </w:r>
      <w:proofErr w:type="spellStart"/>
      <w:r w:rsidR="00D60CBA">
        <w:t>Murans</w:t>
      </w:r>
      <w:proofErr w:type="spellEnd"/>
      <w:r w:rsidR="00D60CBA">
        <w:t xml:space="preserve"> study also highlights the importance of attachment for clients and the impact a positive bond with their therapist can have on their progress in sessions (</w:t>
      </w:r>
      <w:proofErr w:type="spellStart"/>
      <w:r w:rsidR="00D60CBA">
        <w:t>Muran</w:t>
      </w:r>
      <w:proofErr w:type="spellEnd"/>
      <w:r w:rsidR="00D60CBA">
        <w:t>, 2019).</w:t>
      </w:r>
    </w:p>
    <w:p w:rsidR="00431AD7" w:rsidRDefault="00D478B8" w:rsidP="00431AD7">
      <w:pPr>
        <w:jc w:val="both"/>
        <w:rPr>
          <w:i/>
        </w:rPr>
      </w:pPr>
      <w:r>
        <w:t>As the aforementioned research seem</w:t>
      </w:r>
      <w:r w:rsidR="000841FF">
        <w:t>s</w:t>
      </w:r>
      <w:r>
        <w:t xml:space="preserve"> to suggest, perhaps the most significant of</w:t>
      </w:r>
      <w:r w:rsidR="000765A2">
        <w:t xml:space="preserve"> these </w:t>
      </w:r>
      <w:r>
        <w:t xml:space="preserve">core conditions </w:t>
      </w:r>
      <w:r w:rsidR="004F5387">
        <w:t>with</w:t>
      </w:r>
      <w:r w:rsidR="00B11B39">
        <w:t>in the role,</w:t>
      </w:r>
      <w:r w:rsidR="002C382A">
        <w:t xml:space="preserve"> development and maintenance in</w:t>
      </w:r>
      <w:r w:rsidR="00107BAF">
        <w:t xml:space="preserve"> the therapeutic </w:t>
      </w:r>
      <w:r>
        <w:t xml:space="preserve">relationship is considered Empathy, and the ability to understand the </w:t>
      </w:r>
      <w:r w:rsidR="00F16576">
        <w:t>client’s</w:t>
      </w:r>
      <w:r>
        <w:t xml:space="preserve"> feelings in a session. </w:t>
      </w:r>
      <w:r w:rsidRPr="00D478B8">
        <w:t>Empathy</w:t>
      </w:r>
      <w:r w:rsidR="00C02F28" w:rsidRPr="004F5387">
        <w:rPr>
          <w:b/>
        </w:rPr>
        <w:t xml:space="preserve"> </w:t>
      </w:r>
      <w:r w:rsidR="00107BAF">
        <w:t xml:space="preserve">is a term many </w:t>
      </w:r>
      <w:r w:rsidR="00CD1DDB">
        <w:t>have aimed to define and there</w:t>
      </w:r>
      <w:r w:rsidR="0010416E">
        <w:t xml:space="preserve"> are</w:t>
      </w:r>
      <w:r w:rsidR="00107BAF">
        <w:t xml:space="preserve"> several interpretations</w:t>
      </w:r>
      <w:r w:rsidR="0010416E">
        <w:t xml:space="preserve"> of it as discussed in this assignment.</w:t>
      </w:r>
      <w:r w:rsidR="00CD1DDB">
        <w:t xml:space="preserve"> </w:t>
      </w:r>
      <w:r w:rsidR="00107BAF">
        <w:t xml:space="preserve">Rogers’s first referred to empathy when he published the </w:t>
      </w:r>
      <w:r w:rsidR="00107BAF" w:rsidRPr="004F5387">
        <w:t xml:space="preserve">book </w:t>
      </w:r>
      <w:r w:rsidR="00CD1DDB">
        <w:rPr>
          <w:i/>
        </w:rPr>
        <w:t>Client-</w:t>
      </w:r>
      <w:proofErr w:type="spellStart"/>
      <w:r w:rsidR="00CD1DDB">
        <w:rPr>
          <w:i/>
        </w:rPr>
        <w:t>Centered</w:t>
      </w:r>
      <w:proofErr w:type="spellEnd"/>
      <w:r w:rsidR="00CD1DDB">
        <w:rPr>
          <w:i/>
        </w:rPr>
        <w:t xml:space="preserve"> Therapy</w:t>
      </w:r>
      <w:r w:rsidR="0010416E">
        <w:rPr>
          <w:i/>
        </w:rPr>
        <w:t xml:space="preserve"> (1951)</w:t>
      </w:r>
      <w:r w:rsidR="00CD1DDB">
        <w:rPr>
          <w:i/>
        </w:rPr>
        <w:t xml:space="preserve"> </w:t>
      </w:r>
      <w:r w:rsidR="00CD1DDB">
        <w:t xml:space="preserve">and </w:t>
      </w:r>
      <w:r w:rsidR="00107BAF">
        <w:t>associated empathy with a feeling and attitude of ‘</w:t>
      </w:r>
      <w:r w:rsidR="00107BAF" w:rsidRPr="00107BAF">
        <w:t>warmth</w:t>
      </w:r>
      <w:r w:rsidR="00107BAF">
        <w:t>’ which he further developed in to another of the core conditions, Unconditional Positive Regard</w:t>
      </w:r>
      <w:r w:rsidR="00CD1DDB">
        <w:t xml:space="preserve"> (Rogers, 1951). He suggested </w:t>
      </w:r>
      <w:r w:rsidR="00107BAF">
        <w:t>that both</w:t>
      </w:r>
      <w:r w:rsidR="00CD1DDB">
        <w:t xml:space="preserve"> of these conditions</w:t>
      </w:r>
      <w:r w:rsidR="00107BAF">
        <w:t xml:space="preserve"> must be present in order to create</w:t>
      </w:r>
      <w:r w:rsidR="00107BAF" w:rsidRPr="00107BAF">
        <w:t xml:space="preserve"> “a nonthreatening, accepting atmosphere”</w:t>
      </w:r>
      <w:r w:rsidR="00CD1DDB">
        <w:t xml:space="preserve">, </w:t>
      </w:r>
      <w:r w:rsidR="00107BAF">
        <w:t xml:space="preserve">which was vital in forming the therapeutic relationship with the client </w:t>
      </w:r>
      <w:r w:rsidR="00107BAF" w:rsidRPr="00107BAF">
        <w:t>(Tudor 2011).</w:t>
      </w:r>
      <w:r w:rsidR="00107BAF">
        <w:t xml:space="preserve"> When attempting to describe Empathy, Rogers</w:t>
      </w:r>
      <w:r w:rsidR="00CD1DDB">
        <w:t xml:space="preserve"> described it as</w:t>
      </w:r>
      <w:r w:rsidR="00107BAF">
        <w:t xml:space="preserve"> </w:t>
      </w:r>
      <w:r w:rsidR="00CD1DDB" w:rsidRPr="00CD1DDB">
        <w:rPr>
          <w:i/>
        </w:rPr>
        <w:t xml:space="preserve">‘Being sensitive, moment by moment, to the changing felt meanings which flow in this other person’ </w:t>
      </w:r>
      <w:r w:rsidR="00CD1DDB">
        <w:t xml:space="preserve">and </w:t>
      </w:r>
      <w:r w:rsidR="00107BAF">
        <w:t xml:space="preserve">as if </w:t>
      </w:r>
      <w:r w:rsidR="00107BAF" w:rsidRPr="00CD1DDB">
        <w:rPr>
          <w:i/>
        </w:rPr>
        <w:t>“one were the other person, but without ever losing the ‘as if’ condition”</w:t>
      </w:r>
      <w:r w:rsidR="00107BAF">
        <w:t xml:space="preserve"> (</w:t>
      </w:r>
      <w:r w:rsidR="00CD1DDB">
        <w:t xml:space="preserve">Rogers cited in </w:t>
      </w:r>
      <w:r w:rsidR="00FF45A2">
        <w:t xml:space="preserve"> </w:t>
      </w:r>
      <w:r w:rsidR="00107BAF">
        <w:t>Tudor 2011).</w:t>
      </w:r>
      <w:r w:rsidR="0010416E">
        <w:t xml:space="preserve"> </w:t>
      </w:r>
      <w:r w:rsidR="00431AD7">
        <w:t xml:space="preserve">Through his definition, Rogers suggests that empathy is primarily a way of being with the client, although we can never truly understand another person’s experience, as we all experience life differently, Rogers recognises that the key is to be aware, sensitive, present In the moment and engaged in understanding them as best possible. </w:t>
      </w:r>
    </w:p>
    <w:p w:rsidR="004F5387" w:rsidRDefault="004F5387" w:rsidP="004F5387">
      <w:pPr>
        <w:jc w:val="both"/>
      </w:pPr>
      <w:proofErr w:type="spellStart"/>
      <w:r w:rsidRPr="00431AD7">
        <w:rPr>
          <w:iCs/>
        </w:rPr>
        <w:t>Staemmler</w:t>
      </w:r>
      <w:proofErr w:type="spellEnd"/>
      <w:r w:rsidRPr="00431AD7">
        <w:rPr>
          <w:iCs/>
        </w:rPr>
        <w:t xml:space="preserve"> </w:t>
      </w:r>
      <w:r w:rsidR="00431AD7">
        <w:rPr>
          <w:iCs/>
        </w:rPr>
        <w:t>proposes</w:t>
      </w:r>
      <w:r w:rsidR="00431AD7" w:rsidRPr="00431AD7">
        <w:rPr>
          <w:iCs/>
        </w:rPr>
        <w:t xml:space="preserve"> that</w:t>
      </w:r>
      <w:r w:rsidR="00431AD7">
        <w:rPr>
          <w:i/>
          <w:iCs/>
        </w:rPr>
        <w:t xml:space="preserve"> </w:t>
      </w:r>
      <w:r w:rsidR="00431AD7" w:rsidRPr="00431AD7">
        <w:rPr>
          <w:iCs/>
        </w:rPr>
        <w:t>Empathy is the main component of emotional intelligence</w:t>
      </w:r>
      <w:r w:rsidR="00973B60">
        <w:rPr>
          <w:iCs/>
        </w:rPr>
        <w:t xml:space="preserve"> and processing of information, incorporating the way we perceive emotional expressions in ourselves and each other</w:t>
      </w:r>
      <w:r w:rsidR="00973B60" w:rsidRPr="004F5387">
        <w:rPr>
          <w:i/>
          <w:iCs/>
        </w:rPr>
        <w:t xml:space="preserve"> </w:t>
      </w:r>
      <w:r w:rsidR="00172E87" w:rsidRPr="004F5387">
        <w:rPr>
          <w:i/>
          <w:iCs/>
        </w:rPr>
        <w:t>(</w:t>
      </w:r>
      <w:r w:rsidR="00973B60">
        <w:rPr>
          <w:i/>
          <w:iCs/>
        </w:rPr>
        <w:t xml:space="preserve">as cited in </w:t>
      </w:r>
      <w:r w:rsidR="00172E87" w:rsidRPr="004F5387">
        <w:rPr>
          <w:i/>
          <w:iCs/>
        </w:rPr>
        <w:t>Mayer et al. 1995)</w:t>
      </w:r>
      <w:r w:rsidR="00973B60">
        <w:rPr>
          <w:i/>
          <w:iCs/>
        </w:rPr>
        <w:t>.</w:t>
      </w:r>
      <w:r>
        <w:t xml:space="preserve">Tudor </w:t>
      </w:r>
      <w:r w:rsidR="00973B60">
        <w:t>(2011) adds to this theory when he suggest</w:t>
      </w:r>
      <w:r w:rsidR="000841FF">
        <w:t>s</w:t>
      </w:r>
      <w:r w:rsidR="00973B60">
        <w:t xml:space="preserve"> that Empathy can  be perceived as a </w:t>
      </w:r>
      <w:r w:rsidRPr="004F5387">
        <w:t>cognitive process.</w:t>
      </w:r>
      <w:r w:rsidR="00973B60">
        <w:t xml:space="preserve"> </w:t>
      </w:r>
      <w:proofErr w:type="spellStart"/>
      <w:r w:rsidR="00D106B6">
        <w:t>Ginot</w:t>
      </w:r>
      <w:proofErr w:type="spellEnd"/>
      <w:r w:rsidR="00D106B6">
        <w:t xml:space="preserve"> (2009) conducted a study exploring the connection between neuropsychological processes and empathy, touching on the more recent research in to mirror neurons in the right brain and how it is wired to nonverbal emotional forms of communication, similar to empathy. </w:t>
      </w:r>
      <w:r w:rsidR="00064B8F">
        <w:t>Rodrigues (2018) adds to this research further when he explored the way humans copy each other’s movements and synchronise together to learn socially and respond together emotionally. However he identifies a lack of further research and understandin</w:t>
      </w:r>
      <w:r w:rsidR="000841FF">
        <w:t xml:space="preserve">g further in to the field of how </w:t>
      </w:r>
      <w:r w:rsidR="00064B8F">
        <w:t xml:space="preserve">this brain mechanism works in the form of mirror neurons to full capacity </w:t>
      </w:r>
      <w:r w:rsidR="00064B8F" w:rsidRPr="00064B8F">
        <w:t>(Acharya &amp; Shukla, 2012</w:t>
      </w:r>
      <w:r w:rsidR="00064B8F">
        <w:t xml:space="preserve"> as cited by Rodrigues 2018). This leads to a greater knowledge of how the human brain creates emotional responses and senses such as empathy ho</w:t>
      </w:r>
      <w:r w:rsidR="000841FF">
        <w:t xml:space="preserve">wever it does to some extent distance </w:t>
      </w:r>
      <w:r w:rsidR="00064B8F">
        <w:t>it from a human sense of connection and non-verbal communication to a more scientific and measurable process that could lead to devalue the importance</w:t>
      </w:r>
      <w:r w:rsidR="00646316">
        <w:t xml:space="preserve"> and significance</w:t>
      </w:r>
      <w:r w:rsidR="00064B8F">
        <w:t xml:space="preserve"> of empathy.</w:t>
      </w:r>
      <w:r w:rsidR="00A6163F">
        <w:t xml:space="preserve"> </w:t>
      </w:r>
      <w:proofErr w:type="spellStart"/>
      <w:r w:rsidR="00A6163F">
        <w:t>Slote</w:t>
      </w:r>
      <w:proofErr w:type="spellEnd"/>
      <w:r w:rsidR="00A6163F">
        <w:t xml:space="preserve"> (2016) suggests that empathy helps us to learn about the world in a way that is beyond our known realities and states that the way we can empathise with others thoughts and emotions has yet to be fully explained in literature and research, although he does recognise the emerging importance of the studies moving forward with mirror neurons. </w:t>
      </w:r>
    </w:p>
    <w:p w:rsidR="00C6125D" w:rsidRDefault="00A16568" w:rsidP="00C6125D">
      <w:pPr>
        <w:spacing w:before="240"/>
        <w:jc w:val="both"/>
        <w:rPr>
          <w:i/>
        </w:rPr>
      </w:pPr>
      <w:r>
        <w:t xml:space="preserve">Elliot, </w:t>
      </w:r>
      <w:proofErr w:type="spellStart"/>
      <w:r>
        <w:t>Bohart</w:t>
      </w:r>
      <w:proofErr w:type="spellEnd"/>
      <w:r>
        <w:t xml:space="preserve">, Watson &amp; Greenberg (2011) </w:t>
      </w:r>
      <w:r w:rsidRPr="00A16568">
        <w:t>describe three main types of</w:t>
      </w:r>
      <w:r w:rsidR="00F65F8F" w:rsidRPr="00A16568">
        <w:t xml:space="preserve"> therapeutic empathy</w:t>
      </w:r>
      <w:r w:rsidR="00F65F8F" w:rsidRPr="00F65F8F">
        <w:rPr>
          <w:i/>
        </w:rPr>
        <w:t xml:space="preserve">: </w:t>
      </w:r>
      <w:r w:rsidR="00F65F8F" w:rsidRPr="002E66C3">
        <w:t xml:space="preserve">empathic rapport, communicative </w:t>
      </w:r>
      <w:proofErr w:type="spellStart"/>
      <w:r w:rsidR="00F65F8F" w:rsidRPr="002E66C3">
        <w:t>attunement</w:t>
      </w:r>
      <w:proofErr w:type="spellEnd"/>
      <w:r w:rsidRPr="002E66C3">
        <w:t>, and person empathy. They suggest that the first type is the most commonly perceived idea of empathy as ‘</w:t>
      </w:r>
      <w:r w:rsidR="00F65F8F" w:rsidRPr="002E66C3">
        <w:t>empathic rapport and su</w:t>
      </w:r>
      <w:r w:rsidRPr="002E66C3">
        <w:t xml:space="preserve">pport’ and that a </w:t>
      </w:r>
      <w:r w:rsidR="00F65F8F" w:rsidRPr="002E66C3">
        <w:t>compassionate at</w:t>
      </w:r>
      <w:r w:rsidRPr="002E66C3">
        <w:t>titude can display an understanding of the client’s experience.</w:t>
      </w:r>
      <w:r>
        <w:rPr>
          <w:i/>
        </w:rPr>
        <w:t xml:space="preserve"> </w:t>
      </w:r>
      <w:r w:rsidR="002E66C3" w:rsidRPr="002E66C3">
        <w:t>The second form of empathy describes an</w:t>
      </w:r>
      <w:r w:rsidR="00F65F8F" w:rsidRPr="002E66C3">
        <w:t xml:space="preserve"> </w:t>
      </w:r>
      <w:r w:rsidR="002E66C3">
        <w:rPr>
          <w:i/>
        </w:rPr>
        <w:t>‘</w:t>
      </w:r>
      <w:r w:rsidR="00F65F8F" w:rsidRPr="00F65F8F">
        <w:rPr>
          <w:i/>
        </w:rPr>
        <w:t>ongoing effort to stay attuned on a moment-to-moment basis with the client’s communications and unfolding experience</w:t>
      </w:r>
      <w:r w:rsidR="002E66C3">
        <w:rPr>
          <w:i/>
        </w:rPr>
        <w:t>’ (Elliot et al 2011)</w:t>
      </w:r>
      <w:r w:rsidR="00F65F8F" w:rsidRPr="00F65F8F">
        <w:rPr>
          <w:i/>
        </w:rPr>
        <w:t xml:space="preserve">. </w:t>
      </w:r>
      <w:r w:rsidR="002E66C3" w:rsidRPr="002E66C3">
        <w:t>The final kind of Empathy they describe is termed as</w:t>
      </w:r>
      <w:r w:rsidR="00F65F8F" w:rsidRPr="00F65F8F">
        <w:rPr>
          <w:i/>
        </w:rPr>
        <w:t xml:space="preserve"> </w:t>
      </w:r>
      <w:r w:rsidR="002E66C3">
        <w:rPr>
          <w:i/>
        </w:rPr>
        <w:t>‘</w:t>
      </w:r>
      <w:r w:rsidR="00F65F8F" w:rsidRPr="00F65F8F">
        <w:rPr>
          <w:i/>
        </w:rPr>
        <w:t>person empathy</w:t>
      </w:r>
      <w:r w:rsidR="002E66C3">
        <w:rPr>
          <w:i/>
        </w:rPr>
        <w:t>’</w:t>
      </w:r>
      <w:r w:rsidR="00F65F8F" w:rsidRPr="00F65F8F">
        <w:rPr>
          <w:i/>
        </w:rPr>
        <w:t xml:space="preserve"> (Elliott, Watso</w:t>
      </w:r>
      <w:r w:rsidR="002E66C3">
        <w:rPr>
          <w:i/>
        </w:rPr>
        <w:t xml:space="preserve">n, Goldman &amp; Greenberg, 2003) </w:t>
      </w:r>
      <w:r w:rsidR="002E66C3" w:rsidRPr="000841FF">
        <w:t>whereby they</w:t>
      </w:r>
      <w:r w:rsidR="00F65F8F" w:rsidRPr="000841FF">
        <w:t xml:space="preserve"> </w:t>
      </w:r>
      <w:r w:rsidR="002E66C3" w:rsidRPr="000841FF">
        <w:t>experience</w:t>
      </w:r>
      <w:r w:rsidR="002E66C3">
        <w:rPr>
          <w:i/>
        </w:rPr>
        <w:t xml:space="preserve"> ‘</w:t>
      </w:r>
      <w:r w:rsidR="00F65F8F" w:rsidRPr="00F65F8F">
        <w:rPr>
          <w:i/>
        </w:rPr>
        <w:t>near understanding of t</w:t>
      </w:r>
      <w:r w:rsidR="002E66C3">
        <w:rPr>
          <w:i/>
        </w:rPr>
        <w:t xml:space="preserve">he client’s world, with continuous </w:t>
      </w:r>
      <w:r w:rsidR="00F65F8F" w:rsidRPr="00F65F8F">
        <w:rPr>
          <w:i/>
        </w:rPr>
        <w:t xml:space="preserve">effort to understand the kinds of experiences </w:t>
      </w:r>
      <w:r w:rsidR="00F65F8F" w:rsidRPr="00F65F8F">
        <w:rPr>
          <w:i/>
        </w:rPr>
        <w:lastRenderedPageBreak/>
        <w:t>the client has had, both historically and presently, that form the background of the client’s curren</w:t>
      </w:r>
      <w:r w:rsidR="002E66C3">
        <w:rPr>
          <w:i/>
        </w:rPr>
        <w:t xml:space="preserve">t experiencing’ (Elliot et al 2003, 2011). </w:t>
      </w:r>
    </w:p>
    <w:p w:rsidR="003C7912" w:rsidRDefault="002E66C3" w:rsidP="00C6125D">
      <w:pPr>
        <w:spacing w:before="240"/>
        <w:jc w:val="both"/>
      </w:pPr>
      <w:r>
        <w:t xml:space="preserve">Defining empathy in to these three categories demonstrates the many facets and forms empathy can take at differing levels and depths, whilst also highlighting the complexities in empathy research and measurement. </w:t>
      </w:r>
      <w:r w:rsidR="004C3E5C">
        <w:t xml:space="preserve">Through personal skills work in Triads, all three of these modes has been identified and experienced in session with the client, with particular emphasis on the </w:t>
      </w:r>
      <w:proofErr w:type="spellStart"/>
      <w:r w:rsidR="004C3E5C">
        <w:t>attunement</w:t>
      </w:r>
      <w:proofErr w:type="spellEnd"/>
      <w:r w:rsidR="004C3E5C">
        <w:t xml:space="preserve"> with the other person and gaining an experience in to their world where thoughts, feelings and emotions can be imagined as the therapists own. This insight is an incredibly powerful part of building the therapeutic relationship and an essential part in maintaining it and facilitating change and progress moving forward. </w:t>
      </w:r>
      <w:r w:rsidR="004C3E5C" w:rsidRPr="004C3E5C">
        <w:t xml:space="preserve">, Cornell </w:t>
      </w:r>
      <w:r w:rsidR="004C3E5C">
        <w:t xml:space="preserve">(Cornell &amp; </w:t>
      </w:r>
      <w:proofErr w:type="spellStart"/>
      <w:r w:rsidR="004C3E5C">
        <w:t>Landaiche</w:t>
      </w:r>
      <w:proofErr w:type="spellEnd"/>
      <w:r w:rsidR="004C3E5C">
        <w:t xml:space="preserve">, 2007) </w:t>
      </w:r>
      <w:r w:rsidR="004C3E5C" w:rsidRPr="004C3E5C">
        <w:t xml:space="preserve">used the term </w:t>
      </w:r>
      <w:r w:rsidR="004C3E5C">
        <w:t>‘</w:t>
      </w:r>
      <w:r w:rsidR="004C3E5C" w:rsidRPr="004C3E5C">
        <w:rPr>
          <w:i/>
        </w:rPr>
        <w:t>somatic resonance</w:t>
      </w:r>
      <w:r w:rsidR="004C3E5C">
        <w:rPr>
          <w:i/>
        </w:rPr>
        <w:t>’</w:t>
      </w:r>
      <w:r w:rsidR="004C3E5C">
        <w:t xml:space="preserve"> to describe the physical sensation you feel when experiencing empathy with a client, and suggest paying particular attention to sensations noticed when a client discloses or talks about certain issues as this could be attuning to the feelings experienced by the client as they talk, creating a physical empathic response</w:t>
      </w:r>
      <w:r w:rsidR="004C3E5C" w:rsidRPr="004C3E5C">
        <w:t>.</w:t>
      </w:r>
      <w:r w:rsidR="004C3E5C">
        <w:t xml:space="preserve"> </w:t>
      </w:r>
      <w:r w:rsidR="000841FF">
        <w:t>Similarly</w:t>
      </w:r>
      <w:r w:rsidR="004C3E5C">
        <w:t xml:space="preserve"> Rothschild &amp; Rand</w:t>
      </w:r>
      <w:r w:rsidR="004C3E5C" w:rsidRPr="004C3E5C">
        <w:t xml:space="preserve"> </w:t>
      </w:r>
      <w:r w:rsidR="004C3E5C">
        <w:t>(</w:t>
      </w:r>
      <w:r w:rsidR="004C3E5C" w:rsidRPr="004C3E5C">
        <w:t>2008</w:t>
      </w:r>
      <w:r w:rsidR="004C3E5C">
        <w:t>) suggest the importance of the therapist noting any feelings that come up that may be their own emotional response triggered by something that has arisen in the session of personal significance.</w:t>
      </w:r>
    </w:p>
    <w:p w:rsidR="000841FF" w:rsidRDefault="000841FF" w:rsidP="00C6125D">
      <w:pPr>
        <w:spacing w:before="240"/>
        <w:jc w:val="both"/>
      </w:pPr>
    </w:p>
    <w:p w:rsidR="000841FF" w:rsidRDefault="000841FF" w:rsidP="00C6125D">
      <w:pPr>
        <w:spacing w:before="240"/>
        <w:jc w:val="both"/>
      </w:pPr>
    </w:p>
    <w:p w:rsidR="00705167" w:rsidRDefault="00705167" w:rsidP="00C6125D">
      <w:pPr>
        <w:spacing w:before="240"/>
        <w:jc w:val="both"/>
      </w:pPr>
    </w:p>
    <w:p w:rsidR="00705167" w:rsidRDefault="00705167" w:rsidP="00C6125D">
      <w:pPr>
        <w:spacing w:before="240"/>
        <w:jc w:val="both"/>
      </w:pPr>
    </w:p>
    <w:p w:rsidR="00705167" w:rsidRDefault="00705167" w:rsidP="00C6125D">
      <w:pPr>
        <w:spacing w:before="240"/>
        <w:jc w:val="both"/>
      </w:pPr>
    </w:p>
    <w:p w:rsidR="00705167" w:rsidRDefault="00705167" w:rsidP="00C6125D">
      <w:pPr>
        <w:spacing w:before="240"/>
        <w:jc w:val="both"/>
      </w:pPr>
    </w:p>
    <w:p w:rsidR="00705167" w:rsidRDefault="00705167" w:rsidP="00C6125D">
      <w:pPr>
        <w:spacing w:before="240"/>
        <w:jc w:val="both"/>
      </w:pPr>
    </w:p>
    <w:p w:rsidR="00705167" w:rsidRDefault="00705167" w:rsidP="00C6125D">
      <w:pPr>
        <w:spacing w:before="240"/>
        <w:jc w:val="both"/>
      </w:pPr>
    </w:p>
    <w:p w:rsidR="00705167" w:rsidRDefault="00705167" w:rsidP="00C6125D">
      <w:pPr>
        <w:spacing w:before="240"/>
        <w:jc w:val="both"/>
      </w:pPr>
    </w:p>
    <w:p w:rsidR="00705167" w:rsidRDefault="00705167" w:rsidP="00C6125D">
      <w:pPr>
        <w:spacing w:before="240"/>
        <w:jc w:val="both"/>
      </w:pPr>
    </w:p>
    <w:p w:rsidR="00705167" w:rsidRDefault="00705167" w:rsidP="00C6125D">
      <w:pPr>
        <w:spacing w:before="240"/>
        <w:jc w:val="both"/>
      </w:pPr>
    </w:p>
    <w:p w:rsidR="00705167" w:rsidRDefault="00705167" w:rsidP="00C6125D">
      <w:pPr>
        <w:spacing w:before="240"/>
        <w:jc w:val="both"/>
      </w:pPr>
    </w:p>
    <w:p w:rsidR="00705167" w:rsidRDefault="00705167" w:rsidP="00C6125D">
      <w:pPr>
        <w:spacing w:before="240"/>
        <w:jc w:val="both"/>
      </w:pPr>
    </w:p>
    <w:p w:rsidR="00705167" w:rsidRDefault="00705167" w:rsidP="00C6125D">
      <w:pPr>
        <w:spacing w:before="240"/>
        <w:jc w:val="both"/>
      </w:pPr>
    </w:p>
    <w:p w:rsidR="00705167" w:rsidRDefault="00705167" w:rsidP="00C6125D">
      <w:pPr>
        <w:spacing w:before="240"/>
        <w:jc w:val="both"/>
      </w:pPr>
    </w:p>
    <w:p w:rsidR="00705167" w:rsidRDefault="00705167" w:rsidP="00C6125D">
      <w:pPr>
        <w:spacing w:before="240"/>
        <w:jc w:val="both"/>
      </w:pPr>
    </w:p>
    <w:p w:rsidR="00705167" w:rsidRDefault="00705167" w:rsidP="00705167">
      <w:pPr>
        <w:spacing w:before="240"/>
        <w:jc w:val="center"/>
      </w:pPr>
    </w:p>
    <w:p w:rsidR="00705167" w:rsidRPr="00705167" w:rsidRDefault="00705167" w:rsidP="00705167">
      <w:pPr>
        <w:spacing w:before="240"/>
        <w:jc w:val="center"/>
        <w:rPr>
          <w:b/>
          <w:u w:val="single"/>
        </w:rPr>
      </w:pPr>
      <w:r w:rsidRPr="00705167">
        <w:rPr>
          <w:b/>
          <w:u w:val="single"/>
        </w:rPr>
        <w:lastRenderedPageBreak/>
        <w:t>REFERENCES</w:t>
      </w:r>
    </w:p>
    <w:p w:rsidR="00705167" w:rsidRPr="00705167" w:rsidRDefault="00705167" w:rsidP="00705167">
      <w:pPr>
        <w:spacing w:before="240"/>
        <w:jc w:val="both"/>
      </w:pPr>
      <w:r w:rsidRPr="00705167">
        <w:t>BACP Ethical Framework.</w:t>
      </w:r>
      <w:bookmarkStart w:id="0" w:name="_GoBack"/>
      <w:bookmarkEnd w:id="0"/>
    </w:p>
    <w:p w:rsidR="00705167" w:rsidRPr="00705167" w:rsidRDefault="00705167" w:rsidP="00705167">
      <w:pPr>
        <w:spacing w:before="240"/>
        <w:jc w:val="both"/>
      </w:pPr>
      <w:r w:rsidRPr="00705167">
        <w:t>ARAGONA, M., 2016. Empathy in the early 20th century: Moritz Geiger and the importance of conceptual clarification. </w:t>
      </w:r>
      <w:r w:rsidRPr="00705167">
        <w:rPr>
          <w:i/>
          <w:iCs/>
        </w:rPr>
        <w:t>History of psychology, </w:t>
      </w:r>
      <w:r w:rsidRPr="00705167">
        <w:rPr>
          <w:b/>
          <w:bCs/>
        </w:rPr>
        <w:t>19</w:t>
      </w:r>
      <w:r w:rsidRPr="00705167">
        <w:t>(4), pp. 337-351.</w:t>
      </w:r>
    </w:p>
    <w:p w:rsidR="00705167" w:rsidRPr="00705167" w:rsidRDefault="00705167" w:rsidP="00705167">
      <w:pPr>
        <w:spacing w:before="240"/>
        <w:jc w:val="both"/>
      </w:pPr>
      <w:r w:rsidRPr="00705167">
        <w:t>BALDWIN, S.A., WAMPOLD, B.E. and IMEL, Z.E., 2007. Untangling the Alliance-Outcome Correlation. </w:t>
      </w:r>
      <w:r w:rsidRPr="00705167">
        <w:rPr>
          <w:i/>
          <w:iCs/>
        </w:rPr>
        <w:t>Journal of Consulting and Clinical Psychology, </w:t>
      </w:r>
      <w:r w:rsidRPr="00705167">
        <w:rPr>
          <w:b/>
          <w:bCs/>
        </w:rPr>
        <w:t>75</w:t>
      </w:r>
      <w:r w:rsidRPr="00705167">
        <w:t>(6), pp. 842-852.</w:t>
      </w:r>
    </w:p>
    <w:p w:rsidR="00705167" w:rsidRPr="00705167" w:rsidRDefault="00705167" w:rsidP="00705167">
      <w:pPr>
        <w:spacing w:before="240"/>
        <w:jc w:val="both"/>
      </w:pPr>
      <w:r w:rsidRPr="00705167">
        <w:t xml:space="preserve">BEDI, R.P., COOK, M.C. and DOMENE, J.F., 2012. The university student perspective on factors that hinder the </w:t>
      </w:r>
      <w:proofErr w:type="spellStart"/>
      <w:r w:rsidRPr="00705167">
        <w:t>counseling</w:t>
      </w:r>
      <w:proofErr w:type="spellEnd"/>
      <w:r w:rsidRPr="00705167">
        <w:t xml:space="preserve"> alliance. </w:t>
      </w:r>
      <w:r w:rsidRPr="00705167">
        <w:rPr>
          <w:i/>
          <w:iCs/>
        </w:rPr>
        <w:t>College Student Journal, </w:t>
      </w:r>
      <w:r w:rsidRPr="00705167">
        <w:rPr>
          <w:b/>
          <w:bCs/>
        </w:rPr>
        <w:t>46</w:t>
      </w:r>
      <w:r w:rsidRPr="00705167">
        <w:t>(2), pp. 350.</w:t>
      </w:r>
    </w:p>
    <w:p w:rsidR="00705167" w:rsidRPr="00705167" w:rsidRDefault="00705167" w:rsidP="00705167">
      <w:pPr>
        <w:spacing w:before="240"/>
        <w:jc w:val="both"/>
      </w:pPr>
      <w:r w:rsidRPr="00705167">
        <w:t>BEDICS, J.D., 2019. Initiating the therapeutic encounter. </w:t>
      </w:r>
      <w:r w:rsidRPr="00705167">
        <w:rPr>
          <w:i/>
          <w:iCs/>
        </w:rPr>
        <w:t>Psychotherapy (Chicago, Ill.), </w:t>
      </w:r>
      <w:r w:rsidRPr="00705167">
        <w:rPr>
          <w:b/>
          <w:bCs/>
        </w:rPr>
        <w:t>56</w:t>
      </w:r>
      <w:r w:rsidRPr="00705167">
        <w:t>(1), pp. 5-6.</w:t>
      </w:r>
    </w:p>
    <w:p w:rsidR="00705167" w:rsidRPr="00705167" w:rsidRDefault="00705167" w:rsidP="00705167">
      <w:pPr>
        <w:spacing w:before="240"/>
        <w:jc w:val="both"/>
      </w:pPr>
      <w:r w:rsidRPr="00705167">
        <w:t>BUBER, M., 1970. </w:t>
      </w:r>
      <w:r w:rsidRPr="00705167">
        <w:rPr>
          <w:i/>
          <w:iCs/>
        </w:rPr>
        <w:t>I and thou. </w:t>
      </w:r>
      <w:r w:rsidRPr="00705167">
        <w:t xml:space="preserve">1 </w:t>
      </w:r>
      <w:proofErr w:type="spellStart"/>
      <w:r w:rsidRPr="00705167">
        <w:t>edn</w:t>
      </w:r>
      <w:proofErr w:type="spellEnd"/>
      <w:r w:rsidRPr="00705167">
        <w:t>. Edinburgh: Clark.</w:t>
      </w:r>
    </w:p>
    <w:p w:rsidR="00705167" w:rsidRPr="00705167" w:rsidRDefault="00705167" w:rsidP="00705167">
      <w:pPr>
        <w:spacing w:before="240"/>
        <w:jc w:val="both"/>
      </w:pPr>
      <w:r w:rsidRPr="00705167">
        <w:t>CORNELL, W.F. and LANDAICHE, N.M., 2007. Why Body Psychotherapy</w:t>
      </w:r>
      <w:proofErr w:type="gramStart"/>
      <w:r w:rsidRPr="00705167">
        <w:t>?:</w:t>
      </w:r>
      <w:proofErr w:type="gramEnd"/>
      <w:r w:rsidRPr="00705167">
        <w:t xml:space="preserve"> A Conversation. </w:t>
      </w:r>
      <w:r w:rsidRPr="00705167">
        <w:rPr>
          <w:i/>
          <w:iCs/>
        </w:rPr>
        <w:t>Transactional Analysis Journal, </w:t>
      </w:r>
      <w:r w:rsidRPr="00705167">
        <w:rPr>
          <w:b/>
          <w:bCs/>
        </w:rPr>
        <w:t>37</w:t>
      </w:r>
      <w:r w:rsidRPr="00705167">
        <w:t>(4), pp. 256-262.</w:t>
      </w:r>
    </w:p>
    <w:p w:rsidR="00705167" w:rsidRPr="00705167" w:rsidRDefault="00705167" w:rsidP="00705167">
      <w:pPr>
        <w:spacing w:before="240"/>
        <w:jc w:val="both"/>
      </w:pPr>
      <w:r w:rsidRPr="00705167">
        <w:t>DALENBERG, C.J., 2004. MAINTAINING THE SAFE AND EFFECTIVE THERAPEUTIC RELATIONSHIP IN THE CONTEXT OF DISTRUST AND ANGER. </w:t>
      </w:r>
      <w:r w:rsidRPr="00705167">
        <w:rPr>
          <w:i/>
          <w:iCs/>
        </w:rPr>
        <w:t>Psychotherapy: Theory, Research, Practice, Training, </w:t>
      </w:r>
      <w:r w:rsidRPr="00705167">
        <w:rPr>
          <w:b/>
          <w:bCs/>
        </w:rPr>
        <w:t>41</w:t>
      </w:r>
      <w:r w:rsidRPr="00705167">
        <w:t>(4), pp. 438-447.</w:t>
      </w:r>
    </w:p>
    <w:p w:rsidR="00705167" w:rsidRPr="00705167" w:rsidRDefault="00705167" w:rsidP="00705167">
      <w:pPr>
        <w:spacing w:before="240"/>
        <w:jc w:val="both"/>
      </w:pPr>
      <w:r w:rsidRPr="00705167">
        <w:t>DECETY, J. and MEYER, M., 2008. From emotion resonance to empathic understanding: A social developmental neuroscience account. </w:t>
      </w:r>
      <w:r w:rsidRPr="00705167">
        <w:rPr>
          <w:i/>
          <w:iCs/>
        </w:rPr>
        <w:t>Development and Psychopathology, </w:t>
      </w:r>
      <w:r w:rsidRPr="00705167">
        <w:rPr>
          <w:b/>
          <w:bCs/>
        </w:rPr>
        <w:t>20</w:t>
      </w:r>
      <w:r w:rsidRPr="00705167">
        <w:t>(4), pp. 1053-1080.</w:t>
      </w:r>
    </w:p>
    <w:p w:rsidR="00705167" w:rsidRPr="00705167" w:rsidRDefault="00705167" w:rsidP="00705167">
      <w:pPr>
        <w:spacing w:before="240"/>
        <w:jc w:val="both"/>
      </w:pPr>
      <w:r w:rsidRPr="00705167">
        <w:t>FARBER, B.A. and DOOLIN, E.M., 2011. Positive Regard. </w:t>
      </w:r>
      <w:r w:rsidRPr="00705167">
        <w:rPr>
          <w:i/>
          <w:iCs/>
        </w:rPr>
        <w:t>Psychotherapy, </w:t>
      </w:r>
      <w:r w:rsidRPr="00705167">
        <w:rPr>
          <w:b/>
          <w:bCs/>
        </w:rPr>
        <w:t>48</w:t>
      </w:r>
      <w:r w:rsidRPr="00705167">
        <w:t>(1), pp. 58-64.</w:t>
      </w:r>
    </w:p>
    <w:p w:rsidR="00705167" w:rsidRPr="00705167" w:rsidRDefault="00705167" w:rsidP="00705167">
      <w:pPr>
        <w:spacing w:before="240"/>
        <w:jc w:val="both"/>
      </w:pPr>
      <w:r w:rsidRPr="00705167">
        <w:t>FRANKLIN, M., 2010. Affect Regulation, Mirror Neurons, and the Third Hand: Formulating Mindful Empathic Art Interventions. </w:t>
      </w:r>
      <w:r w:rsidRPr="00705167">
        <w:rPr>
          <w:i/>
          <w:iCs/>
        </w:rPr>
        <w:t>Art Therapy, </w:t>
      </w:r>
      <w:r w:rsidRPr="00705167">
        <w:rPr>
          <w:b/>
          <w:bCs/>
        </w:rPr>
        <w:t>27</w:t>
      </w:r>
      <w:r w:rsidRPr="00705167">
        <w:t>(4), pp. 160-167.</w:t>
      </w:r>
    </w:p>
    <w:p w:rsidR="00705167" w:rsidRPr="00705167" w:rsidRDefault="00705167" w:rsidP="00705167">
      <w:pPr>
        <w:spacing w:before="240"/>
        <w:jc w:val="both"/>
      </w:pPr>
      <w:r w:rsidRPr="00705167">
        <w:t>GELLER, S.M. and PORGES, S.W., 2014. Therapeutic presence: Neurophysiological mechanisms mediating feeling safe in therapeutic relationships. </w:t>
      </w:r>
      <w:r w:rsidRPr="00705167">
        <w:rPr>
          <w:i/>
          <w:iCs/>
        </w:rPr>
        <w:t>Journal of Psychotherapy Integration, </w:t>
      </w:r>
      <w:r w:rsidRPr="00705167">
        <w:rPr>
          <w:b/>
          <w:bCs/>
        </w:rPr>
        <w:t>24</w:t>
      </w:r>
      <w:r w:rsidRPr="00705167">
        <w:t>(3), pp. 178-192.</w:t>
      </w:r>
    </w:p>
    <w:p w:rsidR="00705167" w:rsidRPr="00705167" w:rsidRDefault="00705167" w:rsidP="00705167">
      <w:pPr>
        <w:spacing w:before="240"/>
        <w:jc w:val="both"/>
      </w:pPr>
      <w:r w:rsidRPr="00705167">
        <w:t>GINOT, E., 2009. THE EMPATHIC POWER OF ENACTMENTS. </w:t>
      </w:r>
      <w:r w:rsidRPr="00705167">
        <w:rPr>
          <w:i/>
          <w:iCs/>
        </w:rPr>
        <w:t>Psychoanalytic Psychology, </w:t>
      </w:r>
      <w:r w:rsidRPr="00705167">
        <w:rPr>
          <w:b/>
          <w:bCs/>
        </w:rPr>
        <w:t>26</w:t>
      </w:r>
      <w:r w:rsidRPr="00705167">
        <w:t>(3), pp. 290-309.</w:t>
      </w:r>
    </w:p>
    <w:p w:rsidR="00705167" w:rsidRPr="00705167" w:rsidRDefault="00705167" w:rsidP="00705167">
      <w:pPr>
        <w:spacing w:before="240"/>
        <w:jc w:val="both"/>
      </w:pPr>
      <w:r w:rsidRPr="00705167">
        <w:t xml:space="preserve">GOLDMAN, R.N., 2017. The emotion-focused therapeutic relationship: Genuineness, warmth, and acceptance are not neutral: Comment on </w:t>
      </w:r>
      <w:proofErr w:type="spellStart"/>
      <w:r w:rsidRPr="00705167">
        <w:t>Gelso</w:t>
      </w:r>
      <w:proofErr w:type="spellEnd"/>
      <w:r w:rsidRPr="00705167">
        <w:t xml:space="preserve"> and </w:t>
      </w:r>
      <w:proofErr w:type="spellStart"/>
      <w:r w:rsidRPr="00705167">
        <w:t>Kanninen</w:t>
      </w:r>
      <w:proofErr w:type="spellEnd"/>
      <w:r w:rsidRPr="00705167">
        <w:t xml:space="preserve"> (2017). </w:t>
      </w:r>
      <w:r w:rsidRPr="00705167">
        <w:rPr>
          <w:i/>
          <w:iCs/>
        </w:rPr>
        <w:t>Journal of Psychotherapy Integration, </w:t>
      </w:r>
      <w:r w:rsidRPr="00705167">
        <w:rPr>
          <w:b/>
          <w:bCs/>
        </w:rPr>
        <w:t>27</w:t>
      </w:r>
      <w:r w:rsidRPr="00705167">
        <w:t>(3), pp. 350-358.</w:t>
      </w:r>
    </w:p>
    <w:p w:rsidR="00705167" w:rsidRPr="00705167" w:rsidRDefault="00705167" w:rsidP="00705167">
      <w:pPr>
        <w:spacing w:before="240"/>
        <w:jc w:val="both"/>
      </w:pPr>
      <w:r w:rsidRPr="00705167">
        <w:t>HART, T., 1999. The Refinement of Empathy. </w:t>
      </w:r>
      <w:r w:rsidRPr="00705167">
        <w:rPr>
          <w:i/>
          <w:iCs/>
        </w:rPr>
        <w:t>Journal of Humanistic Psychology, </w:t>
      </w:r>
      <w:r w:rsidRPr="00705167">
        <w:rPr>
          <w:b/>
          <w:bCs/>
        </w:rPr>
        <w:t>39</w:t>
      </w:r>
      <w:r w:rsidRPr="00705167">
        <w:t>(4), pp. 111-125.</w:t>
      </w:r>
    </w:p>
    <w:p w:rsidR="00705167" w:rsidRPr="00705167" w:rsidRDefault="00705167" w:rsidP="00705167">
      <w:pPr>
        <w:spacing w:before="240"/>
        <w:jc w:val="both"/>
      </w:pPr>
      <w:r w:rsidRPr="00705167">
        <w:t>HAUGH, S., 2001. </w:t>
      </w:r>
      <w:r w:rsidRPr="00705167">
        <w:rPr>
          <w:i/>
          <w:iCs/>
        </w:rPr>
        <w:t>Empathy. </w:t>
      </w:r>
      <w:r w:rsidRPr="00705167">
        <w:t xml:space="preserve">2 </w:t>
      </w:r>
      <w:proofErr w:type="spellStart"/>
      <w:r w:rsidRPr="00705167">
        <w:t>edn</w:t>
      </w:r>
      <w:proofErr w:type="spellEnd"/>
      <w:r w:rsidRPr="00705167">
        <w:t>. Ross-on-Wye: PCCS Books.</w:t>
      </w:r>
    </w:p>
    <w:p w:rsidR="00705167" w:rsidRPr="00705167" w:rsidRDefault="00705167" w:rsidP="00705167">
      <w:pPr>
        <w:spacing w:before="240"/>
        <w:jc w:val="both"/>
      </w:pPr>
      <w:r w:rsidRPr="00705167">
        <w:t>KNOX, R., 2008. Clients' experiences of relational depth in person-centred counselling. </w:t>
      </w:r>
      <w:r w:rsidRPr="00705167">
        <w:rPr>
          <w:i/>
          <w:iCs/>
        </w:rPr>
        <w:t>Counselling and Psychotherapy Research, </w:t>
      </w:r>
      <w:r w:rsidRPr="00705167">
        <w:rPr>
          <w:b/>
          <w:bCs/>
        </w:rPr>
        <w:t>8</w:t>
      </w:r>
      <w:r w:rsidRPr="00705167">
        <w:t>(3), pp. 182-188.</w:t>
      </w:r>
    </w:p>
    <w:p w:rsidR="00705167" w:rsidRPr="00705167" w:rsidRDefault="00705167" w:rsidP="00705167">
      <w:pPr>
        <w:spacing w:before="240"/>
        <w:jc w:val="both"/>
      </w:pPr>
      <w:r w:rsidRPr="00705167">
        <w:lastRenderedPageBreak/>
        <w:t>KNOX, R. and COOPER, M., 2011. A State of Readiness: An Exploration of the Client’s Role in Meeting at Relational Depth. </w:t>
      </w:r>
      <w:r w:rsidRPr="00705167">
        <w:rPr>
          <w:i/>
          <w:iCs/>
        </w:rPr>
        <w:t>Journal of Humanistic Psychology, </w:t>
      </w:r>
      <w:r w:rsidRPr="00705167">
        <w:rPr>
          <w:b/>
          <w:bCs/>
        </w:rPr>
        <w:t>51</w:t>
      </w:r>
      <w:r w:rsidRPr="00705167">
        <w:t>(1), pp. 61-81.</w:t>
      </w:r>
    </w:p>
    <w:p w:rsidR="00705167" w:rsidRPr="00705167" w:rsidRDefault="00705167" w:rsidP="00705167">
      <w:pPr>
        <w:spacing w:before="240"/>
        <w:jc w:val="both"/>
      </w:pPr>
      <w:r w:rsidRPr="00705167">
        <w:t>LAVIK, K.O., FRØYSA, H., BRATTEBØ, K.F., MCLEOD, J. and MOLTU, C., 2018. The first sessions of psychotherapy: A qualitative meta-analysis of alliance formation processes. </w:t>
      </w:r>
      <w:r w:rsidRPr="00705167">
        <w:rPr>
          <w:i/>
          <w:iCs/>
        </w:rPr>
        <w:t>Journal of Psychotherapy Integration, </w:t>
      </w:r>
      <w:r w:rsidRPr="00705167">
        <w:rPr>
          <w:b/>
          <w:bCs/>
        </w:rPr>
        <w:t>28</w:t>
      </w:r>
      <w:r w:rsidRPr="00705167">
        <w:t>(3), pp. 348-366.</w:t>
      </w:r>
    </w:p>
    <w:p w:rsidR="00705167" w:rsidRPr="00705167" w:rsidRDefault="00705167" w:rsidP="00705167">
      <w:pPr>
        <w:spacing w:before="240"/>
        <w:jc w:val="both"/>
      </w:pPr>
      <w:r w:rsidRPr="00705167">
        <w:t>LIETAER, G., 1990. </w:t>
      </w:r>
      <w:r w:rsidRPr="00705167">
        <w:rPr>
          <w:i/>
          <w:iCs/>
        </w:rPr>
        <w:t xml:space="preserve">Client </w:t>
      </w:r>
      <w:proofErr w:type="spellStart"/>
      <w:r w:rsidRPr="00705167">
        <w:rPr>
          <w:i/>
          <w:iCs/>
        </w:rPr>
        <w:t>centered</w:t>
      </w:r>
      <w:proofErr w:type="spellEnd"/>
      <w:r w:rsidRPr="00705167">
        <w:rPr>
          <w:i/>
          <w:iCs/>
        </w:rPr>
        <w:t xml:space="preserve"> and experiential psychotherapy in the nineties. </w:t>
      </w:r>
      <w:r w:rsidRPr="00705167">
        <w:t>Leuven: Leuven Univ. Press.</w:t>
      </w:r>
    </w:p>
    <w:p w:rsidR="00705167" w:rsidRPr="00705167" w:rsidRDefault="00705167" w:rsidP="00705167">
      <w:pPr>
        <w:spacing w:before="240"/>
        <w:jc w:val="both"/>
      </w:pPr>
      <w:r w:rsidRPr="00705167">
        <w:t>MILLER-BOTTOME, M., TALIA, A., EUBANKS, C.F., SAFRAN, J.D. and MURAN, J.C., 2019. Secure in-session attachment predicts rupture resolution: Negotiating a secure base. </w:t>
      </w:r>
      <w:r w:rsidRPr="00705167">
        <w:rPr>
          <w:i/>
          <w:iCs/>
        </w:rPr>
        <w:t>Psychoanalytic Psychology, </w:t>
      </w:r>
      <w:r w:rsidRPr="00705167">
        <w:rPr>
          <w:b/>
          <w:bCs/>
        </w:rPr>
        <w:t>36</w:t>
      </w:r>
      <w:r w:rsidRPr="00705167">
        <w:t>(2), pp. 132-138.</w:t>
      </w:r>
    </w:p>
    <w:p w:rsidR="00705167" w:rsidRPr="00705167" w:rsidRDefault="00705167" w:rsidP="00705167">
      <w:pPr>
        <w:spacing w:before="240"/>
        <w:jc w:val="both"/>
      </w:pPr>
      <w:r w:rsidRPr="00705167">
        <w:t>NORCROSS, J.C. and LAMBERT, M.J., 2011. Psychotherapy Relationships That Work II. </w:t>
      </w:r>
      <w:r w:rsidRPr="00705167">
        <w:rPr>
          <w:i/>
          <w:iCs/>
        </w:rPr>
        <w:t>Psychotherapy, </w:t>
      </w:r>
      <w:r w:rsidRPr="00705167">
        <w:rPr>
          <w:b/>
          <w:bCs/>
        </w:rPr>
        <w:t>48</w:t>
      </w:r>
      <w:r w:rsidRPr="00705167">
        <w:t>(1), pp. 4-8.</w:t>
      </w:r>
    </w:p>
    <w:p w:rsidR="00705167" w:rsidRPr="00705167" w:rsidRDefault="00705167" w:rsidP="00705167">
      <w:pPr>
        <w:spacing w:before="240"/>
        <w:jc w:val="both"/>
      </w:pPr>
      <w:r w:rsidRPr="00705167">
        <w:t>PALMER, 2000. </w:t>
      </w:r>
      <w:r w:rsidRPr="00705167">
        <w:rPr>
          <w:i/>
          <w:iCs/>
        </w:rPr>
        <w:t>Introduction to Counselling and Psychotherapy: The Essential Guide. </w:t>
      </w:r>
      <w:r w:rsidRPr="00705167">
        <w:t xml:space="preserve">1 </w:t>
      </w:r>
      <w:proofErr w:type="spellStart"/>
      <w:r w:rsidRPr="00705167">
        <w:t>edn</w:t>
      </w:r>
      <w:proofErr w:type="spellEnd"/>
      <w:r w:rsidRPr="00705167">
        <w:t>. London: SAGE.</w:t>
      </w:r>
    </w:p>
    <w:p w:rsidR="00705167" w:rsidRPr="00705167" w:rsidRDefault="00705167" w:rsidP="00705167">
      <w:pPr>
        <w:spacing w:before="240"/>
        <w:jc w:val="both"/>
      </w:pPr>
      <w:r w:rsidRPr="00705167">
        <w:t>PAUL WILKINS, 2010. </w:t>
      </w:r>
      <w:r w:rsidRPr="00705167">
        <w:rPr>
          <w:i/>
          <w:iCs/>
        </w:rPr>
        <w:t>Person-Centred Therapy. </w:t>
      </w:r>
      <w:r w:rsidRPr="00705167">
        <w:t xml:space="preserve">1 </w:t>
      </w:r>
      <w:proofErr w:type="spellStart"/>
      <w:r w:rsidRPr="00705167">
        <w:t>edn</w:t>
      </w:r>
      <w:proofErr w:type="spellEnd"/>
      <w:r w:rsidRPr="00705167">
        <w:t>. HOVE: Routledge.</w:t>
      </w:r>
    </w:p>
    <w:p w:rsidR="00705167" w:rsidRPr="00705167" w:rsidRDefault="00705167" w:rsidP="00705167">
      <w:pPr>
        <w:spacing w:before="240"/>
        <w:jc w:val="both"/>
      </w:pPr>
      <w:r w:rsidRPr="00705167">
        <w:t>RODRIGUES, P.R.G., 2018. The visual neuropsychology of the other. </w:t>
      </w:r>
      <w:r w:rsidRPr="00705167">
        <w:rPr>
          <w:i/>
          <w:iCs/>
        </w:rPr>
        <w:t>Psychology &amp; Neuroscience, </w:t>
      </w:r>
      <w:r w:rsidRPr="00705167">
        <w:rPr>
          <w:b/>
          <w:bCs/>
        </w:rPr>
        <w:t>11</w:t>
      </w:r>
      <w:r w:rsidRPr="00705167">
        <w:t>(3), pp. 231-237.</w:t>
      </w:r>
    </w:p>
    <w:p w:rsidR="00705167" w:rsidRPr="00705167" w:rsidRDefault="00705167" w:rsidP="00705167">
      <w:pPr>
        <w:spacing w:before="240"/>
        <w:jc w:val="both"/>
      </w:pPr>
      <w:r w:rsidRPr="00705167">
        <w:t>ROGERS, C.R., 1992. The necessary and sufficient conditions of therapeutic personality change. 1957. </w:t>
      </w:r>
      <w:r w:rsidRPr="00705167">
        <w:rPr>
          <w:i/>
          <w:iCs/>
        </w:rPr>
        <w:t>Journal of consulting and clinical psychology, </w:t>
      </w:r>
      <w:r w:rsidRPr="00705167">
        <w:rPr>
          <w:b/>
          <w:bCs/>
        </w:rPr>
        <w:t>60</w:t>
      </w:r>
      <w:r w:rsidRPr="00705167">
        <w:t>(6), pp. 827.</w:t>
      </w:r>
    </w:p>
    <w:p w:rsidR="00705167" w:rsidRPr="00705167" w:rsidRDefault="00705167" w:rsidP="00705167">
      <w:pPr>
        <w:spacing w:before="240"/>
        <w:jc w:val="both"/>
      </w:pPr>
      <w:r w:rsidRPr="00705167">
        <w:t>ROGERS, C.R., 1962. The Interpersonal Relationship: The Core of Guidance. </w:t>
      </w:r>
      <w:r w:rsidRPr="00705167">
        <w:rPr>
          <w:i/>
          <w:iCs/>
        </w:rPr>
        <w:t>Harvard Educational Review, </w:t>
      </w:r>
      <w:r w:rsidRPr="00705167">
        <w:rPr>
          <w:b/>
          <w:bCs/>
        </w:rPr>
        <w:t>32</w:t>
      </w:r>
      <w:r w:rsidRPr="00705167">
        <w:t>(4), pp. 416.</w:t>
      </w:r>
    </w:p>
    <w:p w:rsidR="00705167" w:rsidRPr="00705167" w:rsidRDefault="00705167" w:rsidP="00705167">
      <w:pPr>
        <w:spacing w:before="240"/>
        <w:jc w:val="both"/>
      </w:pPr>
      <w:r w:rsidRPr="00705167">
        <w:t>ROGERS, C.R., 1961. </w:t>
      </w:r>
      <w:r w:rsidRPr="00705167">
        <w:rPr>
          <w:i/>
          <w:iCs/>
        </w:rPr>
        <w:t>On becoming a person. </w:t>
      </w:r>
      <w:r w:rsidRPr="00705167">
        <w:t xml:space="preserve">13. </w:t>
      </w:r>
      <w:proofErr w:type="gramStart"/>
      <w:r w:rsidRPr="00705167">
        <w:t>print</w:t>
      </w:r>
      <w:proofErr w:type="gramEnd"/>
      <w:r w:rsidRPr="00705167">
        <w:t xml:space="preserve">. </w:t>
      </w:r>
      <w:proofErr w:type="spellStart"/>
      <w:proofErr w:type="gramStart"/>
      <w:r w:rsidRPr="00705167">
        <w:t>edn</w:t>
      </w:r>
      <w:proofErr w:type="spellEnd"/>
      <w:proofErr w:type="gramEnd"/>
      <w:r w:rsidRPr="00705167">
        <w:t>. Boston: Houghton.</w:t>
      </w:r>
    </w:p>
    <w:p w:rsidR="00705167" w:rsidRPr="00705167" w:rsidRDefault="00705167" w:rsidP="00705167">
      <w:pPr>
        <w:spacing w:before="240"/>
        <w:jc w:val="both"/>
      </w:pPr>
      <w:r w:rsidRPr="00705167">
        <w:t>ROGERS, C.R., 1951. </w:t>
      </w:r>
      <w:r w:rsidRPr="00705167">
        <w:rPr>
          <w:i/>
          <w:iCs/>
        </w:rPr>
        <w:t xml:space="preserve">Client </w:t>
      </w:r>
      <w:proofErr w:type="spellStart"/>
      <w:r w:rsidRPr="00705167">
        <w:rPr>
          <w:i/>
          <w:iCs/>
        </w:rPr>
        <w:t>centered</w:t>
      </w:r>
      <w:proofErr w:type="spellEnd"/>
      <w:r w:rsidRPr="00705167">
        <w:rPr>
          <w:i/>
          <w:iCs/>
        </w:rPr>
        <w:t xml:space="preserve"> therapy. </w:t>
      </w:r>
      <w:r w:rsidRPr="00705167">
        <w:t>Boston: Mifflin.</w:t>
      </w:r>
    </w:p>
    <w:p w:rsidR="00705167" w:rsidRPr="00705167" w:rsidRDefault="00705167" w:rsidP="00705167">
      <w:pPr>
        <w:spacing w:before="240"/>
        <w:jc w:val="both"/>
      </w:pPr>
      <w:r w:rsidRPr="00705167">
        <w:t>ROGERS, C.R. and DORFMAN, E., 1965. </w:t>
      </w:r>
      <w:r w:rsidRPr="00705167">
        <w:rPr>
          <w:i/>
          <w:iCs/>
        </w:rPr>
        <w:t>Client-</w:t>
      </w:r>
      <w:proofErr w:type="spellStart"/>
      <w:r w:rsidRPr="00705167">
        <w:rPr>
          <w:i/>
          <w:iCs/>
        </w:rPr>
        <w:t>centered</w:t>
      </w:r>
      <w:proofErr w:type="spellEnd"/>
      <w:r w:rsidRPr="00705167">
        <w:rPr>
          <w:i/>
          <w:iCs/>
        </w:rPr>
        <w:t xml:space="preserve"> therapy. </w:t>
      </w:r>
      <w:r w:rsidRPr="00705167">
        <w:t>Boston [</w:t>
      </w:r>
      <w:proofErr w:type="spellStart"/>
      <w:r w:rsidRPr="00705167">
        <w:t>u.a</w:t>
      </w:r>
      <w:proofErr w:type="spellEnd"/>
      <w:r w:rsidRPr="00705167">
        <w:t>.]: Houghton Mifflin.</w:t>
      </w:r>
    </w:p>
    <w:p w:rsidR="00705167" w:rsidRPr="00705167" w:rsidRDefault="00705167" w:rsidP="00705167">
      <w:pPr>
        <w:spacing w:before="240"/>
        <w:jc w:val="both"/>
      </w:pPr>
      <w:r w:rsidRPr="00705167">
        <w:t>SANDERS, P., 2008. </w:t>
      </w:r>
      <w:r w:rsidRPr="00705167">
        <w:rPr>
          <w:i/>
          <w:iCs/>
        </w:rPr>
        <w:t>The</w:t>
      </w:r>
      <w:r w:rsidRPr="00705167">
        <w:rPr>
          <w:rFonts w:ascii="Calibri" w:hAnsi="Calibri" w:cs="Calibri"/>
          <w:i/>
          <w:iCs/>
        </w:rPr>
        <w:t></w:t>
      </w:r>
      <w:r w:rsidRPr="00705167">
        <w:rPr>
          <w:i/>
          <w:iCs/>
        </w:rPr>
        <w:t xml:space="preserve"> person-centred counselling primer.</w:t>
      </w:r>
      <w:r w:rsidRPr="00705167">
        <w:rPr>
          <w:rFonts w:ascii="Calibri" w:hAnsi="Calibri" w:cs="Calibri"/>
          <w:i/>
          <w:iCs/>
        </w:rPr>
        <w:t> </w:t>
      </w:r>
      <w:r w:rsidRPr="00705167">
        <w:t xml:space="preserve">1. publ. </w:t>
      </w:r>
      <w:proofErr w:type="spellStart"/>
      <w:r w:rsidRPr="00705167">
        <w:t>edn</w:t>
      </w:r>
      <w:proofErr w:type="spellEnd"/>
      <w:r w:rsidRPr="00705167">
        <w:t>. Ross-on-Wye: PCCS Books.</w:t>
      </w:r>
    </w:p>
    <w:p w:rsidR="00705167" w:rsidRPr="00705167" w:rsidRDefault="00705167" w:rsidP="00705167">
      <w:pPr>
        <w:spacing w:before="240"/>
        <w:jc w:val="both"/>
      </w:pPr>
      <w:r w:rsidRPr="00705167">
        <w:t>SLOTE, M., 2017. The Many Faces of Empathy. </w:t>
      </w:r>
      <w:proofErr w:type="spellStart"/>
      <w:r w:rsidRPr="00705167">
        <w:rPr>
          <w:i/>
          <w:iCs/>
        </w:rPr>
        <w:t>Philosophia</w:t>
      </w:r>
      <w:proofErr w:type="spellEnd"/>
      <w:r w:rsidRPr="00705167">
        <w:rPr>
          <w:i/>
          <w:iCs/>
        </w:rPr>
        <w:t>, </w:t>
      </w:r>
      <w:r w:rsidRPr="00705167">
        <w:rPr>
          <w:b/>
          <w:bCs/>
        </w:rPr>
        <w:t>45</w:t>
      </w:r>
      <w:r w:rsidRPr="00705167">
        <w:t>(3), pp. 843-855.</w:t>
      </w:r>
    </w:p>
    <w:p w:rsidR="00705167" w:rsidRPr="00705167" w:rsidRDefault="00705167" w:rsidP="00705167">
      <w:pPr>
        <w:spacing w:before="240"/>
        <w:jc w:val="both"/>
      </w:pPr>
      <w:r w:rsidRPr="00705167">
        <w:t>TSAI, M., YOO, D., HARDEBECK, E.J., LOUDON, M.P. and KOHLENBERG, R.J., 2019. Creating safe, evocative, attuned, and mutually vulnerable therapeutic beginnings: Strategies from functional analytic psychotherapy. </w:t>
      </w:r>
      <w:r w:rsidRPr="00705167">
        <w:rPr>
          <w:i/>
          <w:iCs/>
        </w:rPr>
        <w:t>Psychotherapy (Chicago, Ill.), </w:t>
      </w:r>
      <w:r w:rsidRPr="00705167">
        <w:rPr>
          <w:b/>
          <w:bCs/>
        </w:rPr>
        <w:t>56</w:t>
      </w:r>
      <w:r w:rsidRPr="00705167">
        <w:t>(1), pp. 55-61.</w:t>
      </w:r>
    </w:p>
    <w:p w:rsidR="00705167" w:rsidRPr="00705167" w:rsidRDefault="00705167" w:rsidP="00705167">
      <w:pPr>
        <w:spacing w:before="240"/>
        <w:jc w:val="both"/>
      </w:pPr>
      <w:r w:rsidRPr="00705167">
        <w:t>TUDOR, K., 2011. Understanding Empathy. </w:t>
      </w:r>
      <w:r w:rsidRPr="00705167">
        <w:rPr>
          <w:i/>
          <w:iCs/>
        </w:rPr>
        <w:t>Transactional Analysis Journal, </w:t>
      </w:r>
      <w:r w:rsidRPr="00705167">
        <w:rPr>
          <w:b/>
          <w:bCs/>
        </w:rPr>
        <w:t>41</w:t>
      </w:r>
      <w:r w:rsidRPr="00705167">
        <w:t>(1), pp. 39-57.</w:t>
      </w:r>
    </w:p>
    <w:p w:rsidR="00705167" w:rsidRDefault="00705167" w:rsidP="00C6125D">
      <w:pPr>
        <w:spacing w:before="240"/>
        <w:jc w:val="both"/>
      </w:pPr>
    </w:p>
    <w:p w:rsidR="000841FF" w:rsidRDefault="000841FF" w:rsidP="00C6125D">
      <w:pPr>
        <w:spacing w:before="240"/>
        <w:jc w:val="both"/>
      </w:pPr>
    </w:p>
    <w:p w:rsidR="000841FF" w:rsidRDefault="000841FF" w:rsidP="00C6125D">
      <w:pPr>
        <w:spacing w:before="240"/>
        <w:jc w:val="both"/>
      </w:pPr>
    </w:p>
    <w:p w:rsidR="000841FF" w:rsidRDefault="000841FF" w:rsidP="00C6125D">
      <w:pPr>
        <w:spacing w:before="240"/>
        <w:jc w:val="both"/>
      </w:pPr>
    </w:p>
    <w:p w:rsidR="000841FF" w:rsidRDefault="000841FF" w:rsidP="00C6125D">
      <w:pPr>
        <w:spacing w:before="240"/>
        <w:jc w:val="both"/>
      </w:pPr>
    </w:p>
    <w:p w:rsidR="000841FF" w:rsidRDefault="000841FF" w:rsidP="00C6125D">
      <w:pPr>
        <w:spacing w:before="240"/>
        <w:jc w:val="both"/>
      </w:pPr>
    </w:p>
    <w:p w:rsidR="000841FF" w:rsidRDefault="000841FF" w:rsidP="00C6125D">
      <w:pPr>
        <w:spacing w:before="240"/>
        <w:jc w:val="both"/>
      </w:pPr>
    </w:p>
    <w:p w:rsidR="000841FF" w:rsidRDefault="000841FF" w:rsidP="00C6125D">
      <w:pPr>
        <w:spacing w:before="240"/>
        <w:jc w:val="both"/>
      </w:pPr>
    </w:p>
    <w:p w:rsidR="000841FF" w:rsidRDefault="000841FF" w:rsidP="00C6125D">
      <w:pPr>
        <w:spacing w:before="240"/>
        <w:jc w:val="both"/>
      </w:pPr>
    </w:p>
    <w:p w:rsidR="000841FF" w:rsidRDefault="000841FF" w:rsidP="00C6125D">
      <w:pPr>
        <w:spacing w:before="240"/>
        <w:jc w:val="both"/>
      </w:pPr>
    </w:p>
    <w:p w:rsidR="000841FF" w:rsidRDefault="000841FF" w:rsidP="00C6125D">
      <w:pPr>
        <w:spacing w:before="240"/>
        <w:jc w:val="both"/>
      </w:pPr>
    </w:p>
    <w:p w:rsidR="000841FF" w:rsidRDefault="000841FF" w:rsidP="00C6125D">
      <w:pPr>
        <w:spacing w:before="240"/>
        <w:jc w:val="both"/>
      </w:pPr>
    </w:p>
    <w:p w:rsidR="000841FF" w:rsidRDefault="000841FF" w:rsidP="00C6125D">
      <w:pPr>
        <w:spacing w:before="240"/>
        <w:jc w:val="both"/>
      </w:pPr>
    </w:p>
    <w:p w:rsidR="000841FF" w:rsidRDefault="000841FF" w:rsidP="00C6125D">
      <w:pPr>
        <w:spacing w:before="240"/>
        <w:jc w:val="both"/>
      </w:pPr>
    </w:p>
    <w:p w:rsidR="000841FF" w:rsidRDefault="000841FF" w:rsidP="00C6125D">
      <w:pPr>
        <w:spacing w:before="240"/>
        <w:jc w:val="both"/>
      </w:pPr>
    </w:p>
    <w:p w:rsidR="000841FF" w:rsidRDefault="000841FF" w:rsidP="00C6125D">
      <w:pPr>
        <w:spacing w:before="240"/>
        <w:jc w:val="both"/>
      </w:pPr>
    </w:p>
    <w:p w:rsidR="000841FF" w:rsidRDefault="000841FF" w:rsidP="00C6125D">
      <w:pPr>
        <w:spacing w:before="240"/>
        <w:jc w:val="both"/>
      </w:pPr>
      <w:r>
        <w:t xml:space="preserve">In conclusion, this assignment has aimed to discuss the different aspects of the therapeutic relationship within Person centred counselling, </w:t>
      </w:r>
      <w:r w:rsidR="00265510">
        <w:t>the components required to build it and factors affecting its development maintenance such as ruptures and moral ethics and values of the therapist as discussed in relation to the study on university students. Carl Rogers’s six core conditions were discussed as well as their relevance and integration in to today’s standards and research such as the BACP Ethical Framework., highlighting the importance of these conditions in today’s counselling modalities. The core condition of Empathy was discussed at length to include differing definitions and descriptions of what is involved, and the impact of newer research in to neurological processes such as mirror neurons and the impact this could have on our perceptions and attitudes towards what we understand Empathy to be. In reference to Martin Buber some of the more spiritual aspects of Empathy were discussed in relation to the author’s personal experience in skill sessions during Triads.</w:t>
      </w:r>
    </w:p>
    <w:p w:rsidR="00265510" w:rsidRDefault="00265510" w:rsidP="00C6125D">
      <w:pPr>
        <w:spacing w:before="240"/>
        <w:jc w:val="both"/>
      </w:pPr>
      <w:r>
        <w:t>Overall, the research explores strongly supports the need to build a therapeutic relationship within many modalities of counselling especially person centred. The core conditions are recognised, although often adapted, as being crucial components in developing the rapport and support required to maintain this alliance in the therapy sessions. Empathy in particular is recognised as a multi-faceted core condition made up of many differing aspects that often cannot be explained physically or scientifically, although research in to mirror neurons in the right side if the brain is increasing our knowledge on how and why we have empathic responses.</w:t>
      </w:r>
      <w:r w:rsidR="00C94531">
        <w:t xml:space="preserve"> Empathy provides the grounding for which the relationship can be formed and the client feels understood, listened too, and comfortable to be congruent and express their feelings. </w:t>
      </w:r>
    </w:p>
    <w:p w:rsidR="008A5A57" w:rsidRDefault="008A5A57" w:rsidP="00C6125D">
      <w:pPr>
        <w:spacing w:before="240"/>
        <w:jc w:val="both"/>
      </w:pPr>
    </w:p>
    <w:p w:rsidR="008A5A57" w:rsidRDefault="008A5A57" w:rsidP="00C6125D">
      <w:pPr>
        <w:spacing w:before="240"/>
        <w:jc w:val="both"/>
      </w:pPr>
    </w:p>
    <w:p w:rsidR="008A5A57" w:rsidRDefault="008A5A57" w:rsidP="00C6125D">
      <w:pPr>
        <w:spacing w:before="240"/>
        <w:jc w:val="both"/>
      </w:pPr>
    </w:p>
    <w:p w:rsidR="008A5A57" w:rsidRDefault="008A5A57" w:rsidP="00C6125D">
      <w:pPr>
        <w:spacing w:before="240"/>
        <w:jc w:val="both"/>
      </w:pPr>
    </w:p>
    <w:p w:rsidR="00E71F2F" w:rsidRPr="00E44DDC" w:rsidRDefault="00E71F2F" w:rsidP="00E44DDC">
      <w:pPr>
        <w:spacing w:before="240"/>
        <w:rPr>
          <w:b/>
          <w:u w:val="single"/>
        </w:rPr>
      </w:pPr>
    </w:p>
    <w:sectPr w:rsidR="00E71F2F" w:rsidRPr="00E44DD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564B" w:rsidRDefault="0017564B" w:rsidP="00876F64">
      <w:pPr>
        <w:spacing w:after="0" w:line="240" w:lineRule="auto"/>
      </w:pPr>
      <w:r>
        <w:separator/>
      </w:r>
    </w:p>
  </w:endnote>
  <w:endnote w:type="continuationSeparator" w:id="0">
    <w:p w:rsidR="0017564B" w:rsidRDefault="0017564B" w:rsidP="00876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4002136"/>
      <w:docPartObj>
        <w:docPartGallery w:val="Page Numbers (Bottom of Page)"/>
        <w:docPartUnique/>
      </w:docPartObj>
    </w:sdtPr>
    <w:sdtEndPr>
      <w:rPr>
        <w:noProof/>
      </w:rPr>
    </w:sdtEndPr>
    <w:sdtContent>
      <w:p w:rsidR="00B11B39" w:rsidRDefault="00B11B39">
        <w:pPr>
          <w:pStyle w:val="Footer"/>
          <w:jc w:val="center"/>
        </w:pPr>
        <w:r>
          <w:fldChar w:fldCharType="begin"/>
        </w:r>
        <w:r>
          <w:instrText xml:space="preserve"> PAGE   \* MERGEFORMAT </w:instrText>
        </w:r>
        <w:r>
          <w:fldChar w:fldCharType="separate"/>
        </w:r>
        <w:r w:rsidR="00705167">
          <w:rPr>
            <w:noProof/>
          </w:rPr>
          <w:t>10</w:t>
        </w:r>
        <w:r>
          <w:rPr>
            <w:noProof/>
          </w:rPr>
          <w:fldChar w:fldCharType="end"/>
        </w:r>
      </w:p>
    </w:sdtContent>
  </w:sdt>
  <w:p w:rsidR="00B11B39" w:rsidRDefault="00B11B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564B" w:rsidRDefault="0017564B" w:rsidP="00876F64">
      <w:pPr>
        <w:spacing w:after="0" w:line="240" w:lineRule="auto"/>
      </w:pPr>
      <w:r>
        <w:separator/>
      </w:r>
    </w:p>
  </w:footnote>
  <w:footnote w:type="continuationSeparator" w:id="0">
    <w:p w:rsidR="0017564B" w:rsidRDefault="0017564B" w:rsidP="00876F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6F64" w:rsidRDefault="00876F64">
    <w:pPr>
      <w:pStyle w:val="Header"/>
    </w:pPr>
    <w:r>
      <w:t>MA (psychotherapeutic practice</w:t>
    </w:r>
    <w:proofErr w:type="gramStart"/>
    <w:r>
      <w:t>)</w:t>
    </w:r>
    <w:proofErr w:type="gramEnd"/>
    <w:r>
      <w:ptab w:relativeTo="margin" w:alignment="center" w:leader="none"/>
    </w:r>
    <w:r>
      <w:t>Assignment 1</w:t>
    </w:r>
    <w:r>
      <w:ptab w:relativeTo="margin" w:alignment="right" w:leader="none"/>
    </w:r>
    <w:r w:rsidR="00961B75">
      <w:t>Margaret</w:t>
    </w:r>
    <w:r>
      <w:t xml:space="preserve"> Morgan</w:t>
    </w:r>
    <w:r w:rsidR="00961B75">
      <w:t xml:space="preserve"> 1902923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7533F"/>
    <w:multiLevelType w:val="hybridMultilevel"/>
    <w:tmpl w:val="C43E3114"/>
    <w:lvl w:ilvl="0" w:tplc="338603C6">
      <w:start w:val="1"/>
      <w:numFmt w:val="bullet"/>
      <w:lvlText w:val="◦"/>
      <w:lvlJc w:val="left"/>
      <w:pPr>
        <w:tabs>
          <w:tab w:val="num" w:pos="720"/>
        </w:tabs>
        <w:ind w:left="720" w:hanging="360"/>
      </w:pPr>
      <w:rPr>
        <w:rFonts w:ascii="Garamond" w:hAnsi="Garamond" w:hint="default"/>
      </w:rPr>
    </w:lvl>
    <w:lvl w:ilvl="1" w:tplc="17C6524C" w:tentative="1">
      <w:start w:val="1"/>
      <w:numFmt w:val="bullet"/>
      <w:lvlText w:val="◦"/>
      <w:lvlJc w:val="left"/>
      <w:pPr>
        <w:tabs>
          <w:tab w:val="num" w:pos="1440"/>
        </w:tabs>
        <w:ind w:left="1440" w:hanging="360"/>
      </w:pPr>
      <w:rPr>
        <w:rFonts w:ascii="Garamond" w:hAnsi="Garamond" w:hint="default"/>
      </w:rPr>
    </w:lvl>
    <w:lvl w:ilvl="2" w:tplc="ADF41C46" w:tentative="1">
      <w:start w:val="1"/>
      <w:numFmt w:val="bullet"/>
      <w:lvlText w:val="◦"/>
      <w:lvlJc w:val="left"/>
      <w:pPr>
        <w:tabs>
          <w:tab w:val="num" w:pos="2160"/>
        </w:tabs>
        <w:ind w:left="2160" w:hanging="360"/>
      </w:pPr>
      <w:rPr>
        <w:rFonts w:ascii="Garamond" w:hAnsi="Garamond" w:hint="default"/>
      </w:rPr>
    </w:lvl>
    <w:lvl w:ilvl="3" w:tplc="F7F87BE2" w:tentative="1">
      <w:start w:val="1"/>
      <w:numFmt w:val="bullet"/>
      <w:lvlText w:val="◦"/>
      <w:lvlJc w:val="left"/>
      <w:pPr>
        <w:tabs>
          <w:tab w:val="num" w:pos="2880"/>
        </w:tabs>
        <w:ind w:left="2880" w:hanging="360"/>
      </w:pPr>
      <w:rPr>
        <w:rFonts w:ascii="Garamond" w:hAnsi="Garamond" w:hint="default"/>
      </w:rPr>
    </w:lvl>
    <w:lvl w:ilvl="4" w:tplc="08341A50" w:tentative="1">
      <w:start w:val="1"/>
      <w:numFmt w:val="bullet"/>
      <w:lvlText w:val="◦"/>
      <w:lvlJc w:val="left"/>
      <w:pPr>
        <w:tabs>
          <w:tab w:val="num" w:pos="3600"/>
        </w:tabs>
        <w:ind w:left="3600" w:hanging="360"/>
      </w:pPr>
      <w:rPr>
        <w:rFonts w:ascii="Garamond" w:hAnsi="Garamond" w:hint="default"/>
      </w:rPr>
    </w:lvl>
    <w:lvl w:ilvl="5" w:tplc="CC7E8BB0" w:tentative="1">
      <w:start w:val="1"/>
      <w:numFmt w:val="bullet"/>
      <w:lvlText w:val="◦"/>
      <w:lvlJc w:val="left"/>
      <w:pPr>
        <w:tabs>
          <w:tab w:val="num" w:pos="4320"/>
        </w:tabs>
        <w:ind w:left="4320" w:hanging="360"/>
      </w:pPr>
      <w:rPr>
        <w:rFonts w:ascii="Garamond" w:hAnsi="Garamond" w:hint="default"/>
      </w:rPr>
    </w:lvl>
    <w:lvl w:ilvl="6" w:tplc="4CD0278A" w:tentative="1">
      <w:start w:val="1"/>
      <w:numFmt w:val="bullet"/>
      <w:lvlText w:val="◦"/>
      <w:lvlJc w:val="left"/>
      <w:pPr>
        <w:tabs>
          <w:tab w:val="num" w:pos="5040"/>
        </w:tabs>
        <w:ind w:left="5040" w:hanging="360"/>
      </w:pPr>
      <w:rPr>
        <w:rFonts w:ascii="Garamond" w:hAnsi="Garamond" w:hint="default"/>
      </w:rPr>
    </w:lvl>
    <w:lvl w:ilvl="7" w:tplc="25801ACE" w:tentative="1">
      <w:start w:val="1"/>
      <w:numFmt w:val="bullet"/>
      <w:lvlText w:val="◦"/>
      <w:lvlJc w:val="left"/>
      <w:pPr>
        <w:tabs>
          <w:tab w:val="num" w:pos="5760"/>
        </w:tabs>
        <w:ind w:left="5760" w:hanging="360"/>
      </w:pPr>
      <w:rPr>
        <w:rFonts w:ascii="Garamond" w:hAnsi="Garamond" w:hint="default"/>
      </w:rPr>
    </w:lvl>
    <w:lvl w:ilvl="8" w:tplc="97C4CFA2" w:tentative="1">
      <w:start w:val="1"/>
      <w:numFmt w:val="bullet"/>
      <w:lvlText w:val="◦"/>
      <w:lvlJc w:val="left"/>
      <w:pPr>
        <w:tabs>
          <w:tab w:val="num" w:pos="6480"/>
        </w:tabs>
        <w:ind w:left="6480" w:hanging="360"/>
      </w:pPr>
      <w:rPr>
        <w:rFonts w:ascii="Garamond" w:hAnsi="Garamond" w:hint="default"/>
      </w:rPr>
    </w:lvl>
  </w:abstractNum>
  <w:abstractNum w:abstractNumId="1" w15:restartNumberingAfterBreak="0">
    <w:nsid w:val="3E87083E"/>
    <w:multiLevelType w:val="hybridMultilevel"/>
    <w:tmpl w:val="D0F6E300"/>
    <w:lvl w:ilvl="0" w:tplc="0F220D4C">
      <w:start w:val="1"/>
      <w:numFmt w:val="bullet"/>
      <w:lvlText w:val="◦"/>
      <w:lvlJc w:val="left"/>
      <w:pPr>
        <w:tabs>
          <w:tab w:val="num" w:pos="720"/>
        </w:tabs>
        <w:ind w:left="720" w:hanging="360"/>
      </w:pPr>
      <w:rPr>
        <w:rFonts w:ascii="Garamond" w:hAnsi="Garamond" w:hint="default"/>
      </w:rPr>
    </w:lvl>
    <w:lvl w:ilvl="1" w:tplc="821A825C" w:tentative="1">
      <w:start w:val="1"/>
      <w:numFmt w:val="bullet"/>
      <w:lvlText w:val="◦"/>
      <w:lvlJc w:val="left"/>
      <w:pPr>
        <w:tabs>
          <w:tab w:val="num" w:pos="1440"/>
        </w:tabs>
        <w:ind w:left="1440" w:hanging="360"/>
      </w:pPr>
      <w:rPr>
        <w:rFonts w:ascii="Garamond" w:hAnsi="Garamond" w:hint="default"/>
      </w:rPr>
    </w:lvl>
    <w:lvl w:ilvl="2" w:tplc="A07C23BA" w:tentative="1">
      <w:start w:val="1"/>
      <w:numFmt w:val="bullet"/>
      <w:lvlText w:val="◦"/>
      <w:lvlJc w:val="left"/>
      <w:pPr>
        <w:tabs>
          <w:tab w:val="num" w:pos="2160"/>
        </w:tabs>
        <w:ind w:left="2160" w:hanging="360"/>
      </w:pPr>
      <w:rPr>
        <w:rFonts w:ascii="Garamond" w:hAnsi="Garamond" w:hint="default"/>
      </w:rPr>
    </w:lvl>
    <w:lvl w:ilvl="3" w:tplc="0BCAC9DE" w:tentative="1">
      <w:start w:val="1"/>
      <w:numFmt w:val="bullet"/>
      <w:lvlText w:val="◦"/>
      <w:lvlJc w:val="left"/>
      <w:pPr>
        <w:tabs>
          <w:tab w:val="num" w:pos="2880"/>
        </w:tabs>
        <w:ind w:left="2880" w:hanging="360"/>
      </w:pPr>
      <w:rPr>
        <w:rFonts w:ascii="Garamond" w:hAnsi="Garamond" w:hint="default"/>
      </w:rPr>
    </w:lvl>
    <w:lvl w:ilvl="4" w:tplc="FD3EC5C8" w:tentative="1">
      <w:start w:val="1"/>
      <w:numFmt w:val="bullet"/>
      <w:lvlText w:val="◦"/>
      <w:lvlJc w:val="left"/>
      <w:pPr>
        <w:tabs>
          <w:tab w:val="num" w:pos="3600"/>
        </w:tabs>
        <w:ind w:left="3600" w:hanging="360"/>
      </w:pPr>
      <w:rPr>
        <w:rFonts w:ascii="Garamond" w:hAnsi="Garamond" w:hint="default"/>
      </w:rPr>
    </w:lvl>
    <w:lvl w:ilvl="5" w:tplc="4628DC16" w:tentative="1">
      <w:start w:val="1"/>
      <w:numFmt w:val="bullet"/>
      <w:lvlText w:val="◦"/>
      <w:lvlJc w:val="left"/>
      <w:pPr>
        <w:tabs>
          <w:tab w:val="num" w:pos="4320"/>
        </w:tabs>
        <w:ind w:left="4320" w:hanging="360"/>
      </w:pPr>
      <w:rPr>
        <w:rFonts w:ascii="Garamond" w:hAnsi="Garamond" w:hint="default"/>
      </w:rPr>
    </w:lvl>
    <w:lvl w:ilvl="6" w:tplc="E2EC054E" w:tentative="1">
      <w:start w:val="1"/>
      <w:numFmt w:val="bullet"/>
      <w:lvlText w:val="◦"/>
      <w:lvlJc w:val="left"/>
      <w:pPr>
        <w:tabs>
          <w:tab w:val="num" w:pos="5040"/>
        </w:tabs>
        <w:ind w:left="5040" w:hanging="360"/>
      </w:pPr>
      <w:rPr>
        <w:rFonts w:ascii="Garamond" w:hAnsi="Garamond" w:hint="default"/>
      </w:rPr>
    </w:lvl>
    <w:lvl w:ilvl="7" w:tplc="D32A9B1C" w:tentative="1">
      <w:start w:val="1"/>
      <w:numFmt w:val="bullet"/>
      <w:lvlText w:val="◦"/>
      <w:lvlJc w:val="left"/>
      <w:pPr>
        <w:tabs>
          <w:tab w:val="num" w:pos="5760"/>
        </w:tabs>
        <w:ind w:left="5760" w:hanging="360"/>
      </w:pPr>
      <w:rPr>
        <w:rFonts w:ascii="Garamond" w:hAnsi="Garamond" w:hint="default"/>
      </w:rPr>
    </w:lvl>
    <w:lvl w:ilvl="8" w:tplc="EED06A1E" w:tentative="1">
      <w:start w:val="1"/>
      <w:numFmt w:val="bullet"/>
      <w:lvlText w:val="◦"/>
      <w:lvlJc w:val="left"/>
      <w:pPr>
        <w:tabs>
          <w:tab w:val="num" w:pos="6480"/>
        </w:tabs>
        <w:ind w:left="6480" w:hanging="360"/>
      </w:pPr>
      <w:rPr>
        <w:rFonts w:ascii="Garamond" w:hAnsi="Garamond" w:hint="default"/>
      </w:rPr>
    </w:lvl>
  </w:abstractNum>
  <w:abstractNum w:abstractNumId="2" w15:restartNumberingAfterBreak="0">
    <w:nsid w:val="41D01401"/>
    <w:multiLevelType w:val="hybridMultilevel"/>
    <w:tmpl w:val="4112ACF6"/>
    <w:lvl w:ilvl="0" w:tplc="03E83C46">
      <w:start w:val="1"/>
      <w:numFmt w:val="bullet"/>
      <w:lvlText w:val="◦"/>
      <w:lvlJc w:val="left"/>
      <w:pPr>
        <w:tabs>
          <w:tab w:val="num" w:pos="720"/>
        </w:tabs>
        <w:ind w:left="720" w:hanging="360"/>
      </w:pPr>
      <w:rPr>
        <w:rFonts w:ascii="Garamond" w:hAnsi="Garamond" w:hint="default"/>
      </w:rPr>
    </w:lvl>
    <w:lvl w:ilvl="1" w:tplc="A8DC9386" w:tentative="1">
      <w:start w:val="1"/>
      <w:numFmt w:val="bullet"/>
      <w:lvlText w:val="◦"/>
      <w:lvlJc w:val="left"/>
      <w:pPr>
        <w:tabs>
          <w:tab w:val="num" w:pos="1440"/>
        </w:tabs>
        <w:ind w:left="1440" w:hanging="360"/>
      </w:pPr>
      <w:rPr>
        <w:rFonts w:ascii="Garamond" w:hAnsi="Garamond" w:hint="default"/>
      </w:rPr>
    </w:lvl>
    <w:lvl w:ilvl="2" w:tplc="FB5A7150" w:tentative="1">
      <w:start w:val="1"/>
      <w:numFmt w:val="bullet"/>
      <w:lvlText w:val="◦"/>
      <w:lvlJc w:val="left"/>
      <w:pPr>
        <w:tabs>
          <w:tab w:val="num" w:pos="2160"/>
        </w:tabs>
        <w:ind w:left="2160" w:hanging="360"/>
      </w:pPr>
      <w:rPr>
        <w:rFonts w:ascii="Garamond" w:hAnsi="Garamond" w:hint="default"/>
      </w:rPr>
    </w:lvl>
    <w:lvl w:ilvl="3" w:tplc="AE5C8050" w:tentative="1">
      <w:start w:val="1"/>
      <w:numFmt w:val="bullet"/>
      <w:lvlText w:val="◦"/>
      <w:lvlJc w:val="left"/>
      <w:pPr>
        <w:tabs>
          <w:tab w:val="num" w:pos="2880"/>
        </w:tabs>
        <w:ind w:left="2880" w:hanging="360"/>
      </w:pPr>
      <w:rPr>
        <w:rFonts w:ascii="Garamond" w:hAnsi="Garamond" w:hint="default"/>
      </w:rPr>
    </w:lvl>
    <w:lvl w:ilvl="4" w:tplc="1452F1D8" w:tentative="1">
      <w:start w:val="1"/>
      <w:numFmt w:val="bullet"/>
      <w:lvlText w:val="◦"/>
      <w:lvlJc w:val="left"/>
      <w:pPr>
        <w:tabs>
          <w:tab w:val="num" w:pos="3600"/>
        </w:tabs>
        <w:ind w:left="3600" w:hanging="360"/>
      </w:pPr>
      <w:rPr>
        <w:rFonts w:ascii="Garamond" w:hAnsi="Garamond" w:hint="default"/>
      </w:rPr>
    </w:lvl>
    <w:lvl w:ilvl="5" w:tplc="893C3A36" w:tentative="1">
      <w:start w:val="1"/>
      <w:numFmt w:val="bullet"/>
      <w:lvlText w:val="◦"/>
      <w:lvlJc w:val="left"/>
      <w:pPr>
        <w:tabs>
          <w:tab w:val="num" w:pos="4320"/>
        </w:tabs>
        <w:ind w:left="4320" w:hanging="360"/>
      </w:pPr>
      <w:rPr>
        <w:rFonts w:ascii="Garamond" w:hAnsi="Garamond" w:hint="default"/>
      </w:rPr>
    </w:lvl>
    <w:lvl w:ilvl="6" w:tplc="A5AE97C2" w:tentative="1">
      <w:start w:val="1"/>
      <w:numFmt w:val="bullet"/>
      <w:lvlText w:val="◦"/>
      <w:lvlJc w:val="left"/>
      <w:pPr>
        <w:tabs>
          <w:tab w:val="num" w:pos="5040"/>
        </w:tabs>
        <w:ind w:left="5040" w:hanging="360"/>
      </w:pPr>
      <w:rPr>
        <w:rFonts w:ascii="Garamond" w:hAnsi="Garamond" w:hint="default"/>
      </w:rPr>
    </w:lvl>
    <w:lvl w:ilvl="7" w:tplc="8AF67B10" w:tentative="1">
      <w:start w:val="1"/>
      <w:numFmt w:val="bullet"/>
      <w:lvlText w:val="◦"/>
      <w:lvlJc w:val="left"/>
      <w:pPr>
        <w:tabs>
          <w:tab w:val="num" w:pos="5760"/>
        </w:tabs>
        <w:ind w:left="5760" w:hanging="360"/>
      </w:pPr>
      <w:rPr>
        <w:rFonts w:ascii="Garamond" w:hAnsi="Garamond" w:hint="default"/>
      </w:rPr>
    </w:lvl>
    <w:lvl w:ilvl="8" w:tplc="8A4C0A04" w:tentative="1">
      <w:start w:val="1"/>
      <w:numFmt w:val="bullet"/>
      <w:lvlText w:val="◦"/>
      <w:lvlJc w:val="left"/>
      <w:pPr>
        <w:tabs>
          <w:tab w:val="num" w:pos="6480"/>
        </w:tabs>
        <w:ind w:left="6480" w:hanging="360"/>
      </w:pPr>
      <w:rPr>
        <w:rFonts w:ascii="Garamond" w:hAnsi="Garamond" w:hint="default"/>
      </w:rPr>
    </w:lvl>
  </w:abstractNum>
  <w:abstractNum w:abstractNumId="3" w15:restartNumberingAfterBreak="0">
    <w:nsid w:val="50F510F6"/>
    <w:multiLevelType w:val="hybridMultilevel"/>
    <w:tmpl w:val="5E102626"/>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4" w15:restartNumberingAfterBreak="0">
    <w:nsid w:val="74022E92"/>
    <w:multiLevelType w:val="hybridMultilevel"/>
    <w:tmpl w:val="C3D8D6A0"/>
    <w:lvl w:ilvl="0" w:tplc="32A68448">
      <w:start w:val="1"/>
      <w:numFmt w:val="bullet"/>
      <w:lvlText w:val="◦"/>
      <w:lvlJc w:val="left"/>
      <w:pPr>
        <w:tabs>
          <w:tab w:val="num" w:pos="720"/>
        </w:tabs>
        <w:ind w:left="720" w:hanging="360"/>
      </w:pPr>
      <w:rPr>
        <w:rFonts w:ascii="Garamond" w:hAnsi="Garamond" w:hint="default"/>
      </w:rPr>
    </w:lvl>
    <w:lvl w:ilvl="1" w:tplc="4648C05E" w:tentative="1">
      <w:start w:val="1"/>
      <w:numFmt w:val="bullet"/>
      <w:lvlText w:val="◦"/>
      <w:lvlJc w:val="left"/>
      <w:pPr>
        <w:tabs>
          <w:tab w:val="num" w:pos="1440"/>
        </w:tabs>
        <w:ind w:left="1440" w:hanging="360"/>
      </w:pPr>
      <w:rPr>
        <w:rFonts w:ascii="Garamond" w:hAnsi="Garamond" w:hint="default"/>
      </w:rPr>
    </w:lvl>
    <w:lvl w:ilvl="2" w:tplc="5282E0B4" w:tentative="1">
      <w:start w:val="1"/>
      <w:numFmt w:val="bullet"/>
      <w:lvlText w:val="◦"/>
      <w:lvlJc w:val="left"/>
      <w:pPr>
        <w:tabs>
          <w:tab w:val="num" w:pos="2160"/>
        </w:tabs>
        <w:ind w:left="2160" w:hanging="360"/>
      </w:pPr>
      <w:rPr>
        <w:rFonts w:ascii="Garamond" w:hAnsi="Garamond" w:hint="default"/>
      </w:rPr>
    </w:lvl>
    <w:lvl w:ilvl="3" w:tplc="08D0791A" w:tentative="1">
      <w:start w:val="1"/>
      <w:numFmt w:val="bullet"/>
      <w:lvlText w:val="◦"/>
      <w:lvlJc w:val="left"/>
      <w:pPr>
        <w:tabs>
          <w:tab w:val="num" w:pos="2880"/>
        </w:tabs>
        <w:ind w:left="2880" w:hanging="360"/>
      </w:pPr>
      <w:rPr>
        <w:rFonts w:ascii="Garamond" w:hAnsi="Garamond" w:hint="default"/>
      </w:rPr>
    </w:lvl>
    <w:lvl w:ilvl="4" w:tplc="7EF86A1C" w:tentative="1">
      <w:start w:val="1"/>
      <w:numFmt w:val="bullet"/>
      <w:lvlText w:val="◦"/>
      <w:lvlJc w:val="left"/>
      <w:pPr>
        <w:tabs>
          <w:tab w:val="num" w:pos="3600"/>
        </w:tabs>
        <w:ind w:left="3600" w:hanging="360"/>
      </w:pPr>
      <w:rPr>
        <w:rFonts w:ascii="Garamond" w:hAnsi="Garamond" w:hint="default"/>
      </w:rPr>
    </w:lvl>
    <w:lvl w:ilvl="5" w:tplc="100AA72E" w:tentative="1">
      <w:start w:val="1"/>
      <w:numFmt w:val="bullet"/>
      <w:lvlText w:val="◦"/>
      <w:lvlJc w:val="left"/>
      <w:pPr>
        <w:tabs>
          <w:tab w:val="num" w:pos="4320"/>
        </w:tabs>
        <w:ind w:left="4320" w:hanging="360"/>
      </w:pPr>
      <w:rPr>
        <w:rFonts w:ascii="Garamond" w:hAnsi="Garamond" w:hint="default"/>
      </w:rPr>
    </w:lvl>
    <w:lvl w:ilvl="6" w:tplc="01324DF2" w:tentative="1">
      <w:start w:val="1"/>
      <w:numFmt w:val="bullet"/>
      <w:lvlText w:val="◦"/>
      <w:lvlJc w:val="left"/>
      <w:pPr>
        <w:tabs>
          <w:tab w:val="num" w:pos="5040"/>
        </w:tabs>
        <w:ind w:left="5040" w:hanging="360"/>
      </w:pPr>
      <w:rPr>
        <w:rFonts w:ascii="Garamond" w:hAnsi="Garamond" w:hint="default"/>
      </w:rPr>
    </w:lvl>
    <w:lvl w:ilvl="7" w:tplc="C60C4BB4" w:tentative="1">
      <w:start w:val="1"/>
      <w:numFmt w:val="bullet"/>
      <w:lvlText w:val="◦"/>
      <w:lvlJc w:val="left"/>
      <w:pPr>
        <w:tabs>
          <w:tab w:val="num" w:pos="5760"/>
        </w:tabs>
        <w:ind w:left="5760" w:hanging="360"/>
      </w:pPr>
      <w:rPr>
        <w:rFonts w:ascii="Garamond" w:hAnsi="Garamond" w:hint="default"/>
      </w:rPr>
    </w:lvl>
    <w:lvl w:ilvl="8" w:tplc="9CACF452" w:tentative="1">
      <w:start w:val="1"/>
      <w:numFmt w:val="bullet"/>
      <w:lvlText w:val="◦"/>
      <w:lvlJc w:val="left"/>
      <w:pPr>
        <w:tabs>
          <w:tab w:val="num" w:pos="6480"/>
        </w:tabs>
        <w:ind w:left="6480" w:hanging="360"/>
      </w:pPr>
      <w:rPr>
        <w:rFonts w:ascii="Garamond" w:hAnsi="Garamond" w:hint="default"/>
      </w:rPr>
    </w:lvl>
  </w:abstractNum>
  <w:abstractNum w:abstractNumId="5" w15:restartNumberingAfterBreak="0">
    <w:nsid w:val="77A3790E"/>
    <w:multiLevelType w:val="hybridMultilevel"/>
    <w:tmpl w:val="D3CAA846"/>
    <w:lvl w:ilvl="0" w:tplc="32AE8778">
      <w:start w:val="1"/>
      <w:numFmt w:val="bullet"/>
      <w:lvlText w:val="◦"/>
      <w:lvlJc w:val="left"/>
      <w:pPr>
        <w:tabs>
          <w:tab w:val="num" w:pos="720"/>
        </w:tabs>
        <w:ind w:left="720" w:hanging="360"/>
      </w:pPr>
      <w:rPr>
        <w:rFonts w:ascii="Garamond" w:hAnsi="Garamond" w:hint="default"/>
      </w:rPr>
    </w:lvl>
    <w:lvl w:ilvl="1" w:tplc="6D027880" w:tentative="1">
      <w:start w:val="1"/>
      <w:numFmt w:val="bullet"/>
      <w:lvlText w:val="◦"/>
      <w:lvlJc w:val="left"/>
      <w:pPr>
        <w:tabs>
          <w:tab w:val="num" w:pos="1440"/>
        </w:tabs>
        <w:ind w:left="1440" w:hanging="360"/>
      </w:pPr>
      <w:rPr>
        <w:rFonts w:ascii="Garamond" w:hAnsi="Garamond" w:hint="default"/>
      </w:rPr>
    </w:lvl>
    <w:lvl w:ilvl="2" w:tplc="64047292" w:tentative="1">
      <w:start w:val="1"/>
      <w:numFmt w:val="bullet"/>
      <w:lvlText w:val="◦"/>
      <w:lvlJc w:val="left"/>
      <w:pPr>
        <w:tabs>
          <w:tab w:val="num" w:pos="2160"/>
        </w:tabs>
        <w:ind w:left="2160" w:hanging="360"/>
      </w:pPr>
      <w:rPr>
        <w:rFonts w:ascii="Garamond" w:hAnsi="Garamond" w:hint="default"/>
      </w:rPr>
    </w:lvl>
    <w:lvl w:ilvl="3" w:tplc="CACEE92A" w:tentative="1">
      <w:start w:val="1"/>
      <w:numFmt w:val="bullet"/>
      <w:lvlText w:val="◦"/>
      <w:lvlJc w:val="left"/>
      <w:pPr>
        <w:tabs>
          <w:tab w:val="num" w:pos="2880"/>
        </w:tabs>
        <w:ind w:left="2880" w:hanging="360"/>
      </w:pPr>
      <w:rPr>
        <w:rFonts w:ascii="Garamond" w:hAnsi="Garamond" w:hint="default"/>
      </w:rPr>
    </w:lvl>
    <w:lvl w:ilvl="4" w:tplc="9A12392E" w:tentative="1">
      <w:start w:val="1"/>
      <w:numFmt w:val="bullet"/>
      <w:lvlText w:val="◦"/>
      <w:lvlJc w:val="left"/>
      <w:pPr>
        <w:tabs>
          <w:tab w:val="num" w:pos="3600"/>
        </w:tabs>
        <w:ind w:left="3600" w:hanging="360"/>
      </w:pPr>
      <w:rPr>
        <w:rFonts w:ascii="Garamond" w:hAnsi="Garamond" w:hint="default"/>
      </w:rPr>
    </w:lvl>
    <w:lvl w:ilvl="5" w:tplc="EE1E8420" w:tentative="1">
      <w:start w:val="1"/>
      <w:numFmt w:val="bullet"/>
      <w:lvlText w:val="◦"/>
      <w:lvlJc w:val="left"/>
      <w:pPr>
        <w:tabs>
          <w:tab w:val="num" w:pos="4320"/>
        </w:tabs>
        <w:ind w:left="4320" w:hanging="360"/>
      </w:pPr>
      <w:rPr>
        <w:rFonts w:ascii="Garamond" w:hAnsi="Garamond" w:hint="default"/>
      </w:rPr>
    </w:lvl>
    <w:lvl w:ilvl="6" w:tplc="23888288" w:tentative="1">
      <w:start w:val="1"/>
      <w:numFmt w:val="bullet"/>
      <w:lvlText w:val="◦"/>
      <w:lvlJc w:val="left"/>
      <w:pPr>
        <w:tabs>
          <w:tab w:val="num" w:pos="5040"/>
        </w:tabs>
        <w:ind w:left="5040" w:hanging="360"/>
      </w:pPr>
      <w:rPr>
        <w:rFonts w:ascii="Garamond" w:hAnsi="Garamond" w:hint="default"/>
      </w:rPr>
    </w:lvl>
    <w:lvl w:ilvl="7" w:tplc="05D4EB6A" w:tentative="1">
      <w:start w:val="1"/>
      <w:numFmt w:val="bullet"/>
      <w:lvlText w:val="◦"/>
      <w:lvlJc w:val="left"/>
      <w:pPr>
        <w:tabs>
          <w:tab w:val="num" w:pos="5760"/>
        </w:tabs>
        <w:ind w:left="5760" w:hanging="360"/>
      </w:pPr>
      <w:rPr>
        <w:rFonts w:ascii="Garamond" w:hAnsi="Garamond" w:hint="default"/>
      </w:rPr>
    </w:lvl>
    <w:lvl w:ilvl="8" w:tplc="E4669C4A" w:tentative="1">
      <w:start w:val="1"/>
      <w:numFmt w:val="bullet"/>
      <w:lvlText w:val="◦"/>
      <w:lvlJc w:val="left"/>
      <w:pPr>
        <w:tabs>
          <w:tab w:val="num" w:pos="6480"/>
        </w:tabs>
        <w:ind w:left="6480" w:hanging="360"/>
      </w:pPr>
      <w:rPr>
        <w:rFonts w:ascii="Garamond" w:hAnsi="Garamond" w:hint="default"/>
      </w:rPr>
    </w:lvl>
  </w:abstractNum>
  <w:abstractNum w:abstractNumId="6" w15:restartNumberingAfterBreak="0">
    <w:nsid w:val="7CBA3D07"/>
    <w:multiLevelType w:val="hybridMultilevel"/>
    <w:tmpl w:val="4AAC19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4"/>
  </w:num>
  <w:num w:numId="4">
    <w:abstractNumId w:val="1"/>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ACF"/>
    <w:rsid w:val="00034D12"/>
    <w:rsid w:val="00064B8F"/>
    <w:rsid w:val="000765A2"/>
    <w:rsid w:val="000841FF"/>
    <w:rsid w:val="0010416E"/>
    <w:rsid w:val="00107BAF"/>
    <w:rsid w:val="00172E87"/>
    <w:rsid w:val="0017564B"/>
    <w:rsid w:val="001915DC"/>
    <w:rsid w:val="001F2A68"/>
    <w:rsid w:val="00214221"/>
    <w:rsid w:val="00223ACF"/>
    <w:rsid w:val="00236D3F"/>
    <w:rsid w:val="00237CB2"/>
    <w:rsid w:val="00265510"/>
    <w:rsid w:val="00267878"/>
    <w:rsid w:val="00270F2D"/>
    <w:rsid w:val="002B5C3F"/>
    <w:rsid w:val="002C382A"/>
    <w:rsid w:val="002E66C3"/>
    <w:rsid w:val="003B2964"/>
    <w:rsid w:val="003C7912"/>
    <w:rsid w:val="003D2373"/>
    <w:rsid w:val="003E1DA2"/>
    <w:rsid w:val="004259DF"/>
    <w:rsid w:val="00431AD7"/>
    <w:rsid w:val="00466A20"/>
    <w:rsid w:val="004A47CA"/>
    <w:rsid w:val="004C3E5C"/>
    <w:rsid w:val="004F5387"/>
    <w:rsid w:val="005B0E22"/>
    <w:rsid w:val="00623755"/>
    <w:rsid w:val="00646316"/>
    <w:rsid w:val="006911E0"/>
    <w:rsid w:val="006C22CD"/>
    <w:rsid w:val="00705167"/>
    <w:rsid w:val="007E14E7"/>
    <w:rsid w:val="00822601"/>
    <w:rsid w:val="008358FA"/>
    <w:rsid w:val="00876F64"/>
    <w:rsid w:val="008A5A57"/>
    <w:rsid w:val="008C58ED"/>
    <w:rsid w:val="008D613F"/>
    <w:rsid w:val="008F77F1"/>
    <w:rsid w:val="008F78F2"/>
    <w:rsid w:val="00961B75"/>
    <w:rsid w:val="00973B60"/>
    <w:rsid w:val="009E618F"/>
    <w:rsid w:val="00A0567C"/>
    <w:rsid w:val="00A07A81"/>
    <w:rsid w:val="00A14CB8"/>
    <w:rsid w:val="00A16568"/>
    <w:rsid w:val="00A6163F"/>
    <w:rsid w:val="00AC2660"/>
    <w:rsid w:val="00AC31FC"/>
    <w:rsid w:val="00B11B39"/>
    <w:rsid w:val="00BC51B8"/>
    <w:rsid w:val="00C02F28"/>
    <w:rsid w:val="00C6125D"/>
    <w:rsid w:val="00C94531"/>
    <w:rsid w:val="00CA3678"/>
    <w:rsid w:val="00CC40B7"/>
    <w:rsid w:val="00CD1DDB"/>
    <w:rsid w:val="00D106B6"/>
    <w:rsid w:val="00D478B8"/>
    <w:rsid w:val="00D60CBA"/>
    <w:rsid w:val="00E44DDC"/>
    <w:rsid w:val="00E71F2F"/>
    <w:rsid w:val="00EC5B81"/>
    <w:rsid w:val="00F16576"/>
    <w:rsid w:val="00F34B45"/>
    <w:rsid w:val="00F65F8F"/>
    <w:rsid w:val="00F877E4"/>
    <w:rsid w:val="00FF4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96AC46-6792-435A-9A0F-F140E731C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A3678"/>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7912"/>
    <w:pPr>
      <w:ind w:left="720"/>
      <w:contextualSpacing/>
    </w:pPr>
  </w:style>
  <w:style w:type="paragraph" w:styleId="Header">
    <w:name w:val="header"/>
    <w:basedOn w:val="Normal"/>
    <w:link w:val="HeaderChar"/>
    <w:uiPriority w:val="99"/>
    <w:unhideWhenUsed/>
    <w:rsid w:val="00876F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F64"/>
  </w:style>
  <w:style w:type="paragraph" w:styleId="Footer">
    <w:name w:val="footer"/>
    <w:basedOn w:val="Normal"/>
    <w:link w:val="FooterChar"/>
    <w:uiPriority w:val="99"/>
    <w:unhideWhenUsed/>
    <w:rsid w:val="00876F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F64"/>
  </w:style>
  <w:style w:type="character" w:customStyle="1" w:styleId="Heading1Char">
    <w:name w:val="Heading 1 Char"/>
    <w:basedOn w:val="DefaultParagraphFont"/>
    <w:link w:val="Heading1"/>
    <w:uiPriority w:val="9"/>
    <w:rsid w:val="00CA3678"/>
    <w:rPr>
      <w:rFonts w:asciiTheme="majorHAnsi" w:eastAsiaTheme="majorEastAsia" w:hAnsiTheme="majorHAnsi" w:cstheme="majorBidi"/>
      <w:color w:val="2E74B5"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6260738">
      <w:bodyDiv w:val="1"/>
      <w:marLeft w:val="0"/>
      <w:marRight w:val="0"/>
      <w:marTop w:val="0"/>
      <w:marBottom w:val="0"/>
      <w:divBdr>
        <w:top w:val="none" w:sz="0" w:space="0" w:color="auto"/>
        <w:left w:val="none" w:sz="0" w:space="0" w:color="auto"/>
        <w:bottom w:val="none" w:sz="0" w:space="0" w:color="auto"/>
        <w:right w:val="none" w:sz="0" w:space="0" w:color="auto"/>
      </w:divBdr>
    </w:div>
    <w:div w:id="535504627">
      <w:bodyDiv w:val="1"/>
      <w:marLeft w:val="0"/>
      <w:marRight w:val="0"/>
      <w:marTop w:val="0"/>
      <w:marBottom w:val="0"/>
      <w:divBdr>
        <w:top w:val="none" w:sz="0" w:space="0" w:color="auto"/>
        <w:left w:val="none" w:sz="0" w:space="0" w:color="auto"/>
        <w:bottom w:val="none" w:sz="0" w:space="0" w:color="auto"/>
        <w:right w:val="none" w:sz="0" w:space="0" w:color="auto"/>
      </w:divBdr>
      <w:divsChild>
        <w:div w:id="1622028259">
          <w:marLeft w:val="288"/>
          <w:marRight w:val="0"/>
          <w:marTop w:val="180"/>
          <w:marBottom w:val="0"/>
          <w:divBdr>
            <w:top w:val="none" w:sz="0" w:space="0" w:color="auto"/>
            <w:left w:val="none" w:sz="0" w:space="0" w:color="auto"/>
            <w:bottom w:val="none" w:sz="0" w:space="0" w:color="auto"/>
            <w:right w:val="none" w:sz="0" w:space="0" w:color="auto"/>
          </w:divBdr>
        </w:div>
      </w:divsChild>
    </w:div>
    <w:div w:id="715814124">
      <w:bodyDiv w:val="1"/>
      <w:marLeft w:val="0"/>
      <w:marRight w:val="0"/>
      <w:marTop w:val="0"/>
      <w:marBottom w:val="0"/>
      <w:divBdr>
        <w:top w:val="none" w:sz="0" w:space="0" w:color="auto"/>
        <w:left w:val="none" w:sz="0" w:space="0" w:color="auto"/>
        <w:bottom w:val="none" w:sz="0" w:space="0" w:color="auto"/>
        <w:right w:val="none" w:sz="0" w:space="0" w:color="auto"/>
      </w:divBdr>
      <w:divsChild>
        <w:div w:id="410739984">
          <w:marLeft w:val="288"/>
          <w:marRight w:val="0"/>
          <w:marTop w:val="180"/>
          <w:marBottom w:val="0"/>
          <w:divBdr>
            <w:top w:val="none" w:sz="0" w:space="0" w:color="auto"/>
            <w:left w:val="none" w:sz="0" w:space="0" w:color="auto"/>
            <w:bottom w:val="none" w:sz="0" w:space="0" w:color="auto"/>
            <w:right w:val="none" w:sz="0" w:space="0" w:color="auto"/>
          </w:divBdr>
        </w:div>
      </w:divsChild>
    </w:div>
    <w:div w:id="727648192">
      <w:bodyDiv w:val="1"/>
      <w:marLeft w:val="0"/>
      <w:marRight w:val="0"/>
      <w:marTop w:val="0"/>
      <w:marBottom w:val="0"/>
      <w:divBdr>
        <w:top w:val="none" w:sz="0" w:space="0" w:color="auto"/>
        <w:left w:val="none" w:sz="0" w:space="0" w:color="auto"/>
        <w:bottom w:val="none" w:sz="0" w:space="0" w:color="auto"/>
        <w:right w:val="none" w:sz="0" w:space="0" w:color="auto"/>
      </w:divBdr>
    </w:div>
    <w:div w:id="821967680">
      <w:bodyDiv w:val="1"/>
      <w:marLeft w:val="0"/>
      <w:marRight w:val="0"/>
      <w:marTop w:val="0"/>
      <w:marBottom w:val="0"/>
      <w:divBdr>
        <w:top w:val="none" w:sz="0" w:space="0" w:color="auto"/>
        <w:left w:val="none" w:sz="0" w:space="0" w:color="auto"/>
        <w:bottom w:val="none" w:sz="0" w:space="0" w:color="auto"/>
        <w:right w:val="none" w:sz="0" w:space="0" w:color="auto"/>
      </w:divBdr>
    </w:div>
    <w:div w:id="1125004588">
      <w:bodyDiv w:val="1"/>
      <w:marLeft w:val="0"/>
      <w:marRight w:val="0"/>
      <w:marTop w:val="0"/>
      <w:marBottom w:val="0"/>
      <w:divBdr>
        <w:top w:val="none" w:sz="0" w:space="0" w:color="auto"/>
        <w:left w:val="none" w:sz="0" w:space="0" w:color="auto"/>
        <w:bottom w:val="none" w:sz="0" w:space="0" w:color="auto"/>
        <w:right w:val="none" w:sz="0" w:space="0" w:color="auto"/>
      </w:divBdr>
    </w:div>
    <w:div w:id="1398819087">
      <w:bodyDiv w:val="1"/>
      <w:marLeft w:val="0"/>
      <w:marRight w:val="0"/>
      <w:marTop w:val="0"/>
      <w:marBottom w:val="0"/>
      <w:divBdr>
        <w:top w:val="none" w:sz="0" w:space="0" w:color="auto"/>
        <w:left w:val="none" w:sz="0" w:space="0" w:color="auto"/>
        <w:bottom w:val="none" w:sz="0" w:space="0" w:color="auto"/>
        <w:right w:val="none" w:sz="0" w:space="0" w:color="auto"/>
      </w:divBdr>
      <w:divsChild>
        <w:div w:id="1457915233">
          <w:marLeft w:val="288"/>
          <w:marRight w:val="0"/>
          <w:marTop w:val="180"/>
          <w:marBottom w:val="0"/>
          <w:divBdr>
            <w:top w:val="none" w:sz="0" w:space="0" w:color="auto"/>
            <w:left w:val="none" w:sz="0" w:space="0" w:color="auto"/>
            <w:bottom w:val="none" w:sz="0" w:space="0" w:color="auto"/>
            <w:right w:val="none" w:sz="0" w:space="0" w:color="auto"/>
          </w:divBdr>
        </w:div>
      </w:divsChild>
    </w:div>
    <w:div w:id="1609774537">
      <w:bodyDiv w:val="1"/>
      <w:marLeft w:val="0"/>
      <w:marRight w:val="0"/>
      <w:marTop w:val="0"/>
      <w:marBottom w:val="0"/>
      <w:divBdr>
        <w:top w:val="none" w:sz="0" w:space="0" w:color="auto"/>
        <w:left w:val="none" w:sz="0" w:space="0" w:color="auto"/>
        <w:bottom w:val="none" w:sz="0" w:space="0" w:color="auto"/>
        <w:right w:val="none" w:sz="0" w:space="0" w:color="auto"/>
      </w:divBdr>
      <w:divsChild>
        <w:div w:id="1899969853">
          <w:marLeft w:val="288"/>
          <w:marRight w:val="0"/>
          <w:marTop w:val="180"/>
          <w:marBottom w:val="0"/>
          <w:divBdr>
            <w:top w:val="none" w:sz="0" w:space="0" w:color="auto"/>
            <w:left w:val="none" w:sz="0" w:space="0" w:color="auto"/>
            <w:bottom w:val="none" w:sz="0" w:space="0" w:color="auto"/>
            <w:right w:val="none" w:sz="0" w:space="0" w:color="auto"/>
          </w:divBdr>
        </w:div>
      </w:divsChild>
    </w:div>
    <w:div w:id="1831141495">
      <w:bodyDiv w:val="1"/>
      <w:marLeft w:val="0"/>
      <w:marRight w:val="0"/>
      <w:marTop w:val="0"/>
      <w:marBottom w:val="0"/>
      <w:divBdr>
        <w:top w:val="none" w:sz="0" w:space="0" w:color="auto"/>
        <w:left w:val="none" w:sz="0" w:space="0" w:color="auto"/>
        <w:bottom w:val="none" w:sz="0" w:space="0" w:color="auto"/>
        <w:right w:val="none" w:sz="0" w:space="0" w:color="auto"/>
      </w:divBdr>
      <w:divsChild>
        <w:div w:id="769548302">
          <w:marLeft w:val="288"/>
          <w:marRight w:val="0"/>
          <w:marTop w:val="180"/>
          <w:marBottom w:val="0"/>
          <w:divBdr>
            <w:top w:val="none" w:sz="0" w:space="0" w:color="auto"/>
            <w:left w:val="none" w:sz="0" w:space="0" w:color="auto"/>
            <w:bottom w:val="none" w:sz="0" w:space="0" w:color="auto"/>
            <w:right w:val="none" w:sz="0" w:space="0" w:color="auto"/>
          </w:divBdr>
        </w:div>
        <w:div w:id="1314719179">
          <w:marLeft w:val="288"/>
          <w:marRight w:val="0"/>
          <w:marTop w:val="180"/>
          <w:marBottom w:val="0"/>
          <w:divBdr>
            <w:top w:val="none" w:sz="0" w:space="0" w:color="auto"/>
            <w:left w:val="none" w:sz="0" w:space="0" w:color="auto"/>
            <w:bottom w:val="none" w:sz="0" w:space="0" w:color="auto"/>
            <w:right w:val="none" w:sz="0" w:space="0" w:color="auto"/>
          </w:divBdr>
        </w:div>
        <w:div w:id="2093621236">
          <w:marLeft w:val="288"/>
          <w:marRight w:val="0"/>
          <w:marTop w:val="180"/>
          <w:marBottom w:val="0"/>
          <w:divBdr>
            <w:top w:val="none" w:sz="0" w:space="0" w:color="auto"/>
            <w:left w:val="none" w:sz="0" w:space="0" w:color="auto"/>
            <w:bottom w:val="none" w:sz="0" w:space="0" w:color="auto"/>
            <w:right w:val="none" w:sz="0" w:space="0" w:color="auto"/>
          </w:divBdr>
        </w:div>
        <w:div w:id="1354115126">
          <w:marLeft w:val="288"/>
          <w:marRight w:val="0"/>
          <w:marTop w:val="180"/>
          <w:marBottom w:val="0"/>
          <w:divBdr>
            <w:top w:val="none" w:sz="0" w:space="0" w:color="auto"/>
            <w:left w:val="none" w:sz="0" w:space="0" w:color="auto"/>
            <w:bottom w:val="none" w:sz="0" w:space="0" w:color="auto"/>
            <w:right w:val="none" w:sz="0" w:space="0" w:color="auto"/>
          </w:divBdr>
        </w:div>
        <w:div w:id="1807967873">
          <w:marLeft w:val="288"/>
          <w:marRight w:val="0"/>
          <w:marTop w:val="180"/>
          <w:marBottom w:val="0"/>
          <w:divBdr>
            <w:top w:val="none" w:sz="0" w:space="0" w:color="auto"/>
            <w:left w:val="none" w:sz="0" w:space="0" w:color="auto"/>
            <w:bottom w:val="none" w:sz="0" w:space="0" w:color="auto"/>
            <w:right w:val="none" w:sz="0" w:space="0" w:color="auto"/>
          </w:divBdr>
        </w:div>
        <w:div w:id="481503097">
          <w:marLeft w:val="288"/>
          <w:marRight w:val="0"/>
          <w:marTop w:val="1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Pau</b:Tag>
    <b:SourceType>JournalArticle</b:SourceType>
    <b:Guid>{96D48337-2BB8-4C69-881C-78C21761D149}</b:Guid>
    <b:Author>
      <b:Author>
        <b:NameList>
          <b:Person>
            <b:Last>rodrigues</b:Last>
            <b:First>Paulo</b:First>
            <b:Middle>roberto graneiro</b:Middle>
          </b:Person>
        </b:NameList>
      </b:Author>
    </b:Author>
    <b:RefOrder>1</b:RefOrder>
  </b:Source>
</b:Sources>
</file>

<file path=customXml/itemProps1.xml><?xml version="1.0" encoding="utf-8"?>
<ds:datastoreItem xmlns:ds="http://schemas.openxmlformats.org/officeDocument/2006/customXml" ds:itemID="{FDB0DFFB-E13C-44C2-80A8-64C708D97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872</TotalTime>
  <Pages>10</Pages>
  <Words>3295</Words>
  <Characters>18788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Morgan</dc:creator>
  <cp:keywords/>
  <dc:description/>
  <cp:lastModifiedBy>Marie Morgan</cp:lastModifiedBy>
  <cp:revision>30</cp:revision>
  <dcterms:created xsi:type="dcterms:W3CDTF">2019-10-15T22:09:00Z</dcterms:created>
  <dcterms:modified xsi:type="dcterms:W3CDTF">2019-11-06T16:39:00Z</dcterms:modified>
</cp:coreProperties>
</file>