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sdt>
      <w:sdtPr>
        <w:id w:val="1174453057"/>
        <w:docPartObj>
          <w:docPartGallery w:val="Cover Pages"/>
          <w:docPartUnique/>
        </w:docPartObj>
      </w:sdtPr>
      <w:sdtEndPr>
        <w:rPr>
          <w:rFonts w:ascii="Times New Roman" w:eastAsia="Times New Roman" w:hAnsi="Times New Roman" w:cs="Times New Roman"/>
          <w:sz w:val="24"/>
          <w:szCs w:val="24"/>
        </w:rPr>
      </w:sdtEndPr>
      <w:sdtContent>
        <w:p w14:paraId="13ABB723" w14:textId="7295305E" w:rsidR="00D371A8" w:rsidRDefault="00D371A8">
          <w:r>
            <w:rPr>
              <w:noProof/>
            </w:rPr>
            <w:drawing>
              <wp:inline distT="0" distB="0" distL="0" distR="0" wp14:anchorId="28AA1024" wp14:editId="1F39FB83">
                <wp:extent cx="3221358" cy="1125855"/>
                <wp:effectExtent l="0" t="0" r="0" b="0"/>
                <wp:docPr id="4"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221358" cy="1125855"/>
                        </a:xfrm>
                        <a:prstGeom prst="rect">
                          <a:avLst/>
                        </a:prstGeom>
                        <a:noFill/>
                        <a:ln>
                          <a:noFill/>
                          <a:prstDash/>
                        </a:ln>
                      </pic:spPr>
                    </pic:pic>
                  </a:graphicData>
                </a:graphic>
              </wp:inline>
            </w:drawing>
          </w:r>
          <w:r>
            <w:rPr>
              <w:noProof/>
            </w:rPr>
            <mc:AlternateContent>
              <mc:Choice Requires="wps">
                <w:drawing>
                  <wp:anchor distT="0" distB="0" distL="114300" distR="114300" simplePos="0" relativeHeight="251660288" behindDoc="0" locked="0" layoutInCell="1" allowOverlap="1" wp14:anchorId="175DC6C3" wp14:editId="20E124FC">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9AFBE" w14:textId="77777777" w:rsidR="00D371A8" w:rsidRDefault="00D371A8" w:rsidP="00D371A8">
                                <w:pPr>
                                  <w:pStyle w:val="NoSpacing"/>
                                  <w:jc w:val="right"/>
                                </w:pPr>
                                <w:r>
                                  <w:rPr>
                                    <w:rFonts w:ascii="Times New Roman" w:hAnsi="Times New Roman"/>
                                    <w:b/>
                                    <w:sz w:val="36"/>
                                    <w:szCs w:val="36"/>
                                  </w:rPr>
                                  <w:t>Lecturer</w:t>
                                </w:r>
                                <w:r>
                                  <w:rPr>
                                    <w:rFonts w:ascii="Times New Roman" w:hAnsi="Times New Roman"/>
                                    <w:color w:val="595959"/>
                                    <w:sz w:val="20"/>
                                    <w:szCs w:val="20"/>
                                  </w:rPr>
                                  <w:t xml:space="preserve"> </w:t>
                                </w:r>
                                <w:r>
                                  <w:rPr>
                                    <w:rFonts w:ascii="Times New Roman" w:hAnsi="Times New Roman"/>
                                    <w:b/>
                                    <w:color w:val="323130"/>
                                    <w:sz w:val="36"/>
                                    <w:szCs w:val="36"/>
                                    <w:shd w:val="clear" w:color="auto" w:fill="FFFFFF"/>
                                  </w:rPr>
                                  <w:t xml:space="preserve">:   Terry Walcott                </w:t>
                                </w:r>
                              </w:p>
                              <w:p w14:paraId="78DE2457" w14:textId="41536BC1" w:rsidR="00D371A8" w:rsidRDefault="00D371A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75DC6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3859AFBE" w14:textId="77777777" w:rsidR="00D371A8" w:rsidRDefault="00D371A8" w:rsidP="00D371A8">
                          <w:pPr>
                            <w:pStyle w:val="NoSpacing"/>
                            <w:jc w:val="right"/>
                          </w:pPr>
                          <w:r>
                            <w:rPr>
                              <w:rFonts w:ascii="Times New Roman" w:hAnsi="Times New Roman"/>
                              <w:b/>
                              <w:sz w:val="36"/>
                              <w:szCs w:val="36"/>
                            </w:rPr>
                            <w:t>Lecturer</w:t>
                          </w:r>
                          <w:r>
                            <w:rPr>
                              <w:rFonts w:ascii="Times New Roman" w:hAnsi="Times New Roman"/>
                              <w:color w:val="595959"/>
                              <w:sz w:val="20"/>
                              <w:szCs w:val="20"/>
                            </w:rPr>
                            <w:t xml:space="preserve"> </w:t>
                          </w:r>
                          <w:r>
                            <w:rPr>
                              <w:rFonts w:ascii="Times New Roman" w:hAnsi="Times New Roman"/>
                              <w:b/>
                              <w:color w:val="323130"/>
                              <w:sz w:val="36"/>
                              <w:szCs w:val="36"/>
                              <w:shd w:val="clear" w:color="auto" w:fill="FFFFFF"/>
                            </w:rPr>
                            <w:t xml:space="preserve">:   Terry Walcott                </w:t>
                          </w:r>
                        </w:p>
                        <w:p w14:paraId="78DE2457" w14:textId="41536BC1" w:rsidR="00D371A8" w:rsidRDefault="00D371A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382F6F" wp14:editId="4080757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spacing w:val="-10"/>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75245A6" w14:textId="68913F04" w:rsidR="00D371A8" w:rsidRDefault="00D371A8" w:rsidP="00D371A8">
                                    <w:pPr>
                                      <w:pStyle w:val="NoSpacing"/>
                                      <w:jc w:val="right"/>
                                      <w:rPr>
                                        <w:color w:val="595959" w:themeColor="text1" w:themeTint="A6"/>
                                        <w:sz w:val="20"/>
                                        <w:szCs w:val="20"/>
                                      </w:rPr>
                                    </w:pPr>
                                    <w:r w:rsidRPr="00D371A8">
                                      <w:rPr>
                                        <w:rFonts w:ascii="Times New Roman" w:eastAsia="Times New Roman" w:hAnsi="Times New Roman" w:cs="Times New Roman"/>
                                        <w:b/>
                                        <w:spacing w:val="-10"/>
                                        <w:sz w:val="36"/>
                                        <w:szCs w:val="36"/>
                                        <w:lang w:val="en-GB"/>
                                      </w:rPr>
                                      <w:t>Student:   Sonya Kyuchukova</w:t>
                                    </w:r>
                                    <w:r>
                                      <w:rPr>
                                        <w:rFonts w:ascii="Times New Roman" w:eastAsia="Times New Roman" w:hAnsi="Times New Roman" w:cs="Times New Roman"/>
                                        <w:b/>
                                        <w:spacing w:val="-10"/>
                                        <w:sz w:val="36"/>
                                        <w:szCs w:val="36"/>
                                        <w:lang w:val="en-GB"/>
                                      </w:rPr>
                                      <w:br/>
                                    </w:r>
                                    <w:r w:rsidRPr="00D371A8">
                                      <w:rPr>
                                        <w:rFonts w:ascii="Times New Roman" w:eastAsia="Times New Roman" w:hAnsi="Times New Roman" w:cs="Times New Roman"/>
                                        <w:b/>
                                        <w:spacing w:val="-10"/>
                                        <w:sz w:val="36"/>
                                        <w:szCs w:val="36"/>
                                        <w:lang w:val="en-GB"/>
                                      </w:rPr>
                                      <w:t xml:space="preserve">                                              ID 1818665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382F6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Times New Roman" w:eastAsia="Times New Roman" w:hAnsi="Times New Roman" w:cs="Times New Roman"/>
                              <w:b/>
                              <w:spacing w:val="-10"/>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75245A6" w14:textId="68913F04" w:rsidR="00D371A8" w:rsidRDefault="00D371A8" w:rsidP="00D371A8">
                              <w:pPr>
                                <w:pStyle w:val="NoSpacing"/>
                                <w:jc w:val="right"/>
                                <w:rPr>
                                  <w:color w:val="595959" w:themeColor="text1" w:themeTint="A6"/>
                                  <w:sz w:val="20"/>
                                  <w:szCs w:val="20"/>
                                </w:rPr>
                              </w:pPr>
                              <w:r w:rsidRPr="00D371A8">
                                <w:rPr>
                                  <w:rFonts w:ascii="Times New Roman" w:eastAsia="Times New Roman" w:hAnsi="Times New Roman" w:cs="Times New Roman"/>
                                  <w:b/>
                                  <w:spacing w:val="-10"/>
                                  <w:sz w:val="36"/>
                                  <w:szCs w:val="36"/>
                                  <w:lang w:val="en-GB"/>
                                </w:rPr>
                                <w:t>Student:   Sonya Kyuchukova</w:t>
                              </w:r>
                              <w:r>
                                <w:rPr>
                                  <w:rFonts w:ascii="Times New Roman" w:eastAsia="Times New Roman" w:hAnsi="Times New Roman" w:cs="Times New Roman"/>
                                  <w:b/>
                                  <w:spacing w:val="-10"/>
                                  <w:sz w:val="36"/>
                                  <w:szCs w:val="36"/>
                                  <w:lang w:val="en-GB"/>
                                </w:rPr>
                                <w:br/>
                              </w:r>
                              <w:r w:rsidRPr="00D371A8">
                                <w:rPr>
                                  <w:rFonts w:ascii="Times New Roman" w:eastAsia="Times New Roman" w:hAnsi="Times New Roman" w:cs="Times New Roman"/>
                                  <w:b/>
                                  <w:spacing w:val="-10"/>
                                  <w:sz w:val="36"/>
                                  <w:szCs w:val="36"/>
                                  <w:lang w:val="en-GB"/>
                                </w:rPr>
                                <w:t xml:space="preserve">                                              ID 1818665</w:t>
                              </w:r>
                            </w:p>
                          </w:sdtContent>
                        </w:sdt>
                      </w:txbxContent>
                    </v:textbox>
                    <w10:wrap type="square" anchorx="page" anchory="page"/>
                  </v:shape>
                </w:pict>
              </mc:Fallback>
            </mc:AlternateContent>
          </w:r>
        </w:p>
        <w:p w14:paraId="703CDA1B" w14:textId="606D7E2F" w:rsidR="00D371A8" w:rsidRDefault="00D371A8">
          <w:pPr>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1B271C4B" wp14:editId="216BD2D7">
                    <wp:simplePos x="0" y="0"/>
                    <wp:positionH relativeFrom="page">
                      <wp:posOffset>407670</wp:posOffset>
                    </wp:positionH>
                    <wp:positionV relativeFrom="page">
                      <wp:posOffset>2750820</wp:posOffset>
                    </wp:positionV>
                    <wp:extent cx="7192010" cy="18732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192010" cy="1873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8C6B7" w14:textId="77777777" w:rsidR="00D371A8" w:rsidRDefault="00D371A8" w:rsidP="00D371A8">
                                <w:pPr>
                                  <w:jc w:val="right"/>
                                </w:pPr>
                                <w:r>
                                  <w:rPr>
                                    <w:rFonts w:ascii="Times New Roman" w:hAnsi="Times New Roman"/>
                                    <w:b/>
                                    <w:bCs/>
                                    <w:caps/>
                                    <w:color w:val="4472C4"/>
                                    <w:sz w:val="44"/>
                                    <w:szCs w:val="44"/>
                                  </w:rPr>
                                  <w:t>Network Operating Systems and Security</w:t>
                                </w:r>
                              </w:p>
                              <w:p w14:paraId="440C20C3" w14:textId="2C3646DC" w:rsidR="00D371A8" w:rsidRDefault="00D371A8" w:rsidP="00D371A8">
                                <w:pPr>
                                  <w:jc w:val="right"/>
                                  <w:rPr>
                                    <w:rFonts w:ascii="Times New Roman" w:hAnsi="Times New Roman"/>
                                    <w:color w:val="404040"/>
                                    <w:sz w:val="36"/>
                                    <w:szCs w:val="36"/>
                                  </w:rPr>
                                </w:pPr>
                                <w:r>
                                  <w:rPr>
                                    <w:rFonts w:ascii="Times New Roman" w:hAnsi="Times New Roman"/>
                                    <w:color w:val="404040"/>
                                    <w:sz w:val="36"/>
                                    <w:szCs w:val="36"/>
                                  </w:rPr>
                                  <w:t>MODULE CODE  ACCC5003</w:t>
                                </w:r>
                              </w:p>
                              <w:p w14:paraId="394936D8" w14:textId="48C9DCE7" w:rsidR="00D371A8" w:rsidRPr="00D371A8" w:rsidRDefault="00D371A8" w:rsidP="00D371A8">
                                <w:pPr>
                                  <w:jc w:val="right"/>
                                  <w:rPr>
                                    <w:rFonts w:ascii="Times New Roman" w:hAnsi="Times New Roman"/>
                                    <w:sz w:val="36"/>
                                    <w:szCs w:val="36"/>
                                  </w:rPr>
                                </w:pPr>
                              </w:p>
                              <w:p w14:paraId="57AB8A47" w14:textId="77777777" w:rsidR="00D371A8" w:rsidRPr="00D371A8" w:rsidRDefault="00D371A8" w:rsidP="00D371A8">
                                <w:pPr>
                                  <w:spacing w:line="480" w:lineRule="auto"/>
                                  <w:jc w:val="center"/>
                                  <w:rPr>
                                    <w:rFonts w:ascii="Times New Roman" w:eastAsia="Times New Roman" w:hAnsi="Times New Roman" w:cs="Times New Roman"/>
                                    <w:sz w:val="36"/>
                                    <w:szCs w:val="36"/>
                                  </w:rPr>
                                </w:pPr>
                                <w:r w:rsidRPr="00D371A8">
                                  <w:rPr>
                                    <w:rFonts w:ascii="Times New Roman" w:eastAsia="Times New Roman" w:hAnsi="Times New Roman" w:cs="Times New Roman"/>
                                    <w:sz w:val="36"/>
                                    <w:szCs w:val="36"/>
                                  </w:rPr>
                                  <w:t xml:space="preserve">Data Protection: A Case of  Republic of </w:t>
                                </w:r>
                                <w:proofErr w:type="spellStart"/>
                                <w:r w:rsidRPr="00D371A8">
                                  <w:rPr>
                                    <w:rFonts w:ascii="Times New Roman" w:eastAsia="Times New Roman" w:hAnsi="Times New Roman" w:cs="Times New Roman"/>
                                    <w:sz w:val="36"/>
                                    <w:szCs w:val="36"/>
                                  </w:rPr>
                                  <w:t>Snowdenia</w:t>
                                </w:r>
                                <w:proofErr w:type="spellEnd"/>
                                <w:r w:rsidRPr="00D371A8">
                                  <w:rPr>
                                    <w:rFonts w:ascii="Times New Roman" w:eastAsia="Times New Roman" w:hAnsi="Times New Roman" w:cs="Times New Roman"/>
                                    <w:sz w:val="36"/>
                                    <w:szCs w:val="36"/>
                                  </w:rPr>
                                  <w:t xml:space="preserve"> County Council</w:t>
                                </w:r>
                              </w:p>
                              <w:p w14:paraId="032C5AFF" w14:textId="77777777" w:rsidR="00D371A8" w:rsidRDefault="00D371A8" w:rsidP="00D371A8">
                                <w:pPr>
                                  <w:jc w:val="right"/>
                                  <w:rPr>
                                    <w:rFonts w:ascii="Times New Roman" w:hAnsi="Times New Roman"/>
                                    <w:color w:val="404040"/>
                                    <w:sz w:val="36"/>
                                    <w:szCs w:val="36"/>
                                  </w:rPr>
                                </w:pPr>
                              </w:p>
                              <w:p w14:paraId="2051C138" w14:textId="77777777" w:rsidR="00D371A8" w:rsidRDefault="00D371A8" w:rsidP="00D371A8">
                                <w:pPr>
                                  <w:jc w:val="right"/>
                                  <w:rPr>
                                    <w:rFonts w:ascii="Times New Roman" w:hAnsi="Times New Roman"/>
                                    <w:color w:val="404040"/>
                                    <w:sz w:val="40"/>
                                    <w:szCs w:val="40"/>
                                  </w:rPr>
                                </w:pPr>
                              </w:p>
                              <w:p w14:paraId="24BE684D" w14:textId="0E60047C" w:rsidR="00D371A8" w:rsidRDefault="00D371A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B271C4B" id="Text Box 154" o:spid="_x0000_s1028" type="#_x0000_t202" style="position:absolute;margin-left:32.1pt;margin-top:216.6pt;width:566.3pt;height:147.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" filled="f" stroked="f" strokeweight=".5pt">
                    <v:textbox inset="126pt,0,54pt,0">
                      <w:txbxContent>
                        <w:p w14:paraId="1498C6B7" w14:textId="77777777" w:rsidR="00D371A8" w:rsidRDefault="00D371A8" w:rsidP="00D371A8">
                          <w:pPr>
                            <w:jc w:val="right"/>
                          </w:pPr>
                          <w:r>
                            <w:rPr>
                              <w:rFonts w:ascii="Times New Roman" w:hAnsi="Times New Roman"/>
                              <w:b/>
                              <w:bCs/>
                              <w:caps/>
                              <w:color w:val="4472C4"/>
                              <w:sz w:val="44"/>
                              <w:szCs w:val="44"/>
                            </w:rPr>
                            <w:t>Network Operating Systems and Security</w:t>
                          </w:r>
                        </w:p>
                        <w:p w14:paraId="440C20C3" w14:textId="2C3646DC" w:rsidR="00D371A8" w:rsidRDefault="00D371A8" w:rsidP="00D371A8">
                          <w:pPr>
                            <w:jc w:val="right"/>
                            <w:rPr>
                              <w:rFonts w:ascii="Times New Roman" w:hAnsi="Times New Roman"/>
                              <w:color w:val="404040"/>
                              <w:sz w:val="36"/>
                              <w:szCs w:val="36"/>
                            </w:rPr>
                          </w:pPr>
                          <w:r>
                            <w:rPr>
                              <w:rFonts w:ascii="Times New Roman" w:hAnsi="Times New Roman"/>
                              <w:color w:val="404040"/>
                              <w:sz w:val="36"/>
                              <w:szCs w:val="36"/>
                            </w:rPr>
                            <w:t>MODULE CODE  ACCC5003</w:t>
                          </w:r>
                        </w:p>
                        <w:p w14:paraId="394936D8" w14:textId="48C9DCE7" w:rsidR="00D371A8" w:rsidRPr="00D371A8" w:rsidRDefault="00D371A8" w:rsidP="00D371A8">
                          <w:pPr>
                            <w:jc w:val="right"/>
                            <w:rPr>
                              <w:rFonts w:ascii="Times New Roman" w:hAnsi="Times New Roman"/>
                              <w:sz w:val="36"/>
                              <w:szCs w:val="36"/>
                            </w:rPr>
                          </w:pPr>
                        </w:p>
                        <w:p w14:paraId="57AB8A47" w14:textId="77777777" w:rsidR="00D371A8" w:rsidRPr="00D371A8" w:rsidRDefault="00D371A8" w:rsidP="00D371A8">
                          <w:pPr>
                            <w:spacing w:line="480" w:lineRule="auto"/>
                            <w:jc w:val="center"/>
                            <w:rPr>
                              <w:rFonts w:ascii="Times New Roman" w:eastAsia="Times New Roman" w:hAnsi="Times New Roman" w:cs="Times New Roman"/>
                              <w:sz w:val="36"/>
                              <w:szCs w:val="36"/>
                            </w:rPr>
                          </w:pPr>
                          <w:r w:rsidRPr="00D371A8">
                            <w:rPr>
                              <w:rFonts w:ascii="Times New Roman" w:eastAsia="Times New Roman" w:hAnsi="Times New Roman" w:cs="Times New Roman"/>
                              <w:sz w:val="36"/>
                              <w:szCs w:val="36"/>
                            </w:rPr>
                            <w:t xml:space="preserve">Data Protection: A Case of  Republic of </w:t>
                          </w:r>
                          <w:proofErr w:type="spellStart"/>
                          <w:r w:rsidRPr="00D371A8">
                            <w:rPr>
                              <w:rFonts w:ascii="Times New Roman" w:eastAsia="Times New Roman" w:hAnsi="Times New Roman" w:cs="Times New Roman"/>
                              <w:sz w:val="36"/>
                              <w:szCs w:val="36"/>
                            </w:rPr>
                            <w:t>Snowdenia</w:t>
                          </w:r>
                          <w:proofErr w:type="spellEnd"/>
                          <w:r w:rsidRPr="00D371A8">
                            <w:rPr>
                              <w:rFonts w:ascii="Times New Roman" w:eastAsia="Times New Roman" w:hAnsi="Times New Roman" w:cs="Times New Roman"/>
                              <w:sz w:val="36"/>
                              <w:szCs w:val="36"/>
                            </w:rPr>
                            <w:t xml:space="preserve"> County Council</w:t>
                          </w:r>
                        </w:p>
                        <w:p w14:paraId="032C5AFF" w14:textId="77777777" w:rsidR="00D371A8" w:rsidRDefault="00D371A8" w:rsidP="00D371A8">
                          <w:pPr>
                            <w:jc w:val="right"/>
                            <w:rPr>
                              <w:rFonts w:ascii="Times New Roman" w:hAnsi="Times New Roman"/>
                              <w:color w:val="404040"/>
                              <w:sz w:val="36"/>
                              <w:szCs w:val="36"/>
                            </w:rPr>
                          </w:pPr>
                        </w:p>
                        <w:p w14:paraId="2051C138" w14:textId="77777777" w:rsidR="00D371A8" w:rsidRDefault="00D371A8" w:rsidP="00D371A8">
                          <w:pPr>
                            <w:jc w:val="right"/>
                            <w:rPr>
                              <w:rFonts w:ascii="Times New Roman" w:hAnsi="Times New Roman"/>
                              <w:color w:val="404040"/>
                              <w:sz w:val="40"/>
                              <w:szCs w:val="40"/>
                            </w:rPr>
                          </w:pPr>
                        </w:p>
                        <w:p w14:paraId="24BE684D" w14:textId="0E60047C" w:rsidR="00D371A8" w:rsidRDefault="00D371A8">
                          <w:pPr>
                            <w:jc w:val="right"/>
                            <w:rPr>
                              <w:smallCaps/>
                              <w:color w:val="404040" w:themeColor="text1" w:themeTint="BF"/>
                              <w:sz w:val="36"/>
                              <w:szCs w:val="36"/>
                            </w:rPr>
                          </w:pPr>
                        </w:p>
                      </w:txbxContent>
                    </v:textbox>
                    <w10:wrap type="square" anchorx="page" anchory="page"/>
                  </v:shape>
                </w:pict>
              </mc:Fallback>
            </mc:AlternateContent>
          </w:r>
          <w:r>
            <w:rPr>
              <w:rFonts w:ascii="Times New Roman" w:eastAsia="Times New Roman" w:hAnsi="Times New Roman" w:cs="Times New Roman"/>
              <w:sz w:val="24"/>
              <w:szCs w:val="24"/>
            </w:rPr>
            <w:br w:type="page"/>
          </w:r>
        </w:p>
      </w:sdtContent>
    </w:sdt>
    <w:sdt>
      <w:sdtPr>
        <w:id w:val="-43834664"/>
        <w:docPartObj>
          <w:docPartGallery w:val="Table of Contents"/>
          <w:docPartUnique/>
        </w:docPartObj>
      </w:sdtPr>
      <w:sdtEndPr>
        <w:rPr>
          <w:rFonts w:ascii="Arial" w:eastAsia="Arial" w:hAnsi="Arial" w:cs="Arial"/>
          <w:b/>
          <w:bCs/>
          <w:noProof/>
          <w:color w:val="auto"/>
          <w:sz w:val="22"/>
          <w:szCs w:val="22"/>
          <w:lang w:val="en" w:eastAsia="en-GB"/>
        </w:rPr>
      </w:sdtEndPr>
      <w:sdtContent>
        <w:p w14:paraId="3F19F940" w14:textId="03D0DCC5" w:rsidR="00D4654D" w:rsidRDefault="00D4654D">
          <w:pPr>
            <w:pStyle w:val="TOCHeading"/>
          </w:pPr>
          <w:r>
            <w:t>Table of Contents</w:t>
          </w:r>
        </w:p>
        <w:p w14:paraId="5FFD9439" w14:textId="77307A64" w:rsidR="00D4654D" w:rsidRDefault="00D4654D">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60408702" w:history="1">
            <w:r w:rsidRPr="00FF67ED">
              <w:rPr>
                <w:rStyle w:val="Hyperlink"/>
                <w:noProof/>
              </w:rPr>
              <w:t>1.Introduction</w:t>
            </w:r>
            <w:r>
              <w:rPr>
                <w:noProof/>
                <w:webHidden/>
              </w:rPr>
              <w:tab/>
            </w:r>
            <w:r>
              <w:rPr>
                <w:noProof/>
                <w:webHidden/>
              </w:rPr>
              <w:fldChar w:fldCharType="begin"/>
            </w:r>
            <w:r>
              <w:rPr>
                <w:noProof/>
                <w:webHidden/>
              </w:rPr>
              <w:instrText xml:space="preserve"> PAGEREF _Toc60408702 \h </w:instrText>
            </w:r>
            <w:r>
              <w:rPr>
                <w:noProof/>
                <w:webHidden/>
              </w:rPr>
            </w:r>
            <w:r>
              <w:rPr>
                <w:noProof/>
                <w:webHidden/>
              </w:rPr>
              <w:fldChar w:fldCharType="separate"/>
            </w:r>
            <w:r>
              <w:rPr>
                <w:noProof/>
                <w:webHidden/>
              </w:rPr>
              <w:t>2</w:t>
            </w:r>
            <w:r>
              <w:rPr>
                <w:noProof/>
                <w:webHidden/>
              </w:rPr>
              <w:fldChar w:fldCharType="end"/>
            </w:r>
          </w:hyperlink>
        </w:p>
        <w:p w14:paraId="1E2C3DAE" w14:textId="245A64DA" w:rsidR="00D4654D" w:rsidRDefault="00D4654D">
          <w:pPr>
            <w:pStyle w:val="TOC1"/>
            <w:tabs>
              <w:tab w:val="right" w:leader="dot" w:pos="9350"/>
            </w:tabs>
            <w:rPr>
              <w:rFonts w:asciiTheme="minorHAnsi" w:eastAsiaTheme="minorEastAsia" w:hAnsiTheme="minorHAnsi" w:cstheme="minorBidi"/>
              <w:noProof/>
              <w:lang w:val="en-GB"/>
            </w:rPr>
          </w:pPr>
          <w:hyperlink w:anchor="_Toc60408703" w:history="1">
            <w:r w:rsidRPr="00FF67ED">
              <w:rPr>
                <w:rStyle w:val="Hyperlink"/>
                <w:bCs/>
                <w:noProof/>
              </w:rPr>
              <w:t>2.Policies and procedures that underpin the security-aware operation</w:t>
            </w:r>
            <w:r>
              <w:rPr>
                <w:noProof/>
                <w:webHidden/>
              </w:rPr>
              <w:tab/>
            </w:r>
            <w:r>
              <w:rPr>
                <w:noProof/>
                <w:webHidden/>
              </w:rPr>
              <w:fldChar w:fldCharType="begin"/>
            </w:r>
            <w:r>
              <w:rPr>
                <w:noProof/>
                <w:webHidden/>
              </w:rPr>
              <w:instrText xml:space="preserve"> PAGEREF _Toc60408703 \h </w:instrText>
            </w:r>
            <w:r>
              <w:rPr>
                <w:noProof/>
                <w:webHidden/>
              </w:rPr>
            </w:r>
            <w:r>
              <w:rPr>
                <w:noProof/>
                <w:webHidden/>
              </w:rPr>
              <w:fldChar w:fldCharType="separate"/>
            </w:r>
            <w:r>
              <w:rPr>
                <w:noProof/>
                <w:webHidden/>
              </w:rPr>
              <w:t>2</w:t>
            </w:r>
            <w:r>
              <w:rPr>
                <w:noProof/>
                <w:webHidden/>
              </w:rPr>
              <w:fldChar w:fldCharType="end"/>
            </w:r>
          </w:hyperlink>
        </w:p>
        <w:p w14:paraId="2246F010" w14:textId="790889FF" w:rsidR="00D4654D" w:rsidRDefault="00D4654D">
          <w:pPr>
            <w:pStyle w:val="TOC1"/>
            <w:tabs>
              <w:tab w:val="right" w:leader="dot" w:pos="9350"/>
            </w:tabs>
            <w:rPr>
              <w:rFonts w:asciiTheme="minorHAnsi" w:eastAsiaTheme="minorEastAsia" w:hAnsiTheme="minorHAnsi" w:cstheme="minorBidi"/>
              <w:noProof/>
              <w:lang w:val="en-GB"/>
            </w:rPr>
          </w:pPr>
          <w:hyperlink w:anchor="_Toc60408704" w:history="1">
            <w:r w:rsidRPr="00FF67ED">
              <w:rPr>
                <w:rStyle w:val="Hyperlink"/>
                <w:noProof/>
              </w:rPr>
              <w:t>3.An analysis in the Case Study</w:t>
            </w:r>
            <w:r>
              <w:rPr>
                <w:noProof/>
                <w:webHidden/>
              </w:rPr>
              <w:tab/>
            </w:r>
            <w:r>
              <w:rPr>
                <w:noProof/>
                <w:webHidden/>
              </w:rPr>
              <w:fldChar w:fldCharType="begin"/>
            </w:r>
            <w:r>
              <w:rPr>
                <w:noProof/>
                <w:webHidden/>
              </w:rPr>
              <w:instrText xml:space="preserve"> PAGEREF _Toc60408704 \h </w:instrText>
            </w:r>
            <w:r>
              <w:rPr>
                <w:noProof/>
                <w:webHidden/>
              </w:rPr>
            </w:r>
            <w:r>
              <w:rPr>
                <w:noProof/>
                <w:webHidden/>
              </w:rPr>
              <w:fldChar w:fldCharType="separate"/>
            </w:r>
            <w:r>
              <w:rPr>
                <w:noProof/>
                <w:webHidden/>
              </w:rPr>
              <w:t>6</w:t>
            </w:r>
            <w:r>
              <w:rPr>
                <w:noProof/>
                <w:webHidden/>
              </w:rPr>
              <w:fldChar w:fldCharType="end"/>
            </w:r>
          </w:hyperlink>
        </w:p>
        <w:p w14:paraId="167463F7" w14:textId="071A3824" w:rsidR="00D4654D" w:rsidRDefault="00D4654D">
          <w:pPr>
            <w:pStyle w:val="TOC2"/>
            <w:tabs>
              <w:tab w:val="right" w:leader="dot" w:pos="9350"/>
            </w:tabs>
            <w:rPr>
              <w:rFonts w:asciiTheme="minorHAnsi" w:eastAsiaTheme="minorEastAsia" w:hAnsiTheme="minorHAnsi" w:cstheme="minorBidi"/>
              <w:noProof/>
              <w:lang w:val="en-GB"/>
            </w:rPr>
          </w:pPr>
          <w:hyperlink w:anchor="_Toc60408705" w:history="1">
            <w:r w:rsidRPr="00FF67ED">
              <w:rPr>
                <w:rStyle w:val="Hyperlink"/>
                <w:noProof/>
              </w:rPr>
              <w:t>3.1 Man-in-the-Middle (ARP poisoning) attack</w:t>
            </w:r>
            <w:r>
              <w:rPr>
                <w:noProof/>
                <w:webHidden/>
              </w:rPr>
              <w:tab/>
            </w:r>
            <w:r>
              <w:rPr>
                <w:noProof/>
                <w:webHidden/>
              </w:rPr>
              <w:fldChar w:fldCharType="begin"/>
            </w:r>
            <w:r>
              <w:rPr>
                <w:noProof/>
                <w:webHidden/>
              </w:rPr>
              <w:instrText xml:space="preserve"> PAGEREF _Toc60408705 \h </w:instrText>
            </w:r>
            <w:r>
              <w:rPr>
                <w:noProof/>
                <w:webHidden/>
              </w:rPr>
            </w:r>
            <w:r>
              <w:rPr>
                <w:noProof/>
                <w:webHidden/>
              </w:rPr>
              <w:fldChar w:fldCharType="separate"/>
            </w:r>
            <w:r>
              <w:rPr>
                <w:noProof/>
                <w:webHidden/>
              </w:rPr>
              <w:t>6</w:t>
            </w:r>
            <w:r>
              <w:rPr>
                <w:noProof/>
                <w:webHidden/>
              </w:rPr>
              <w:fldChar w:fldCharType="end"/>
            </w:r>
          </w:hyperlink>
        </w:p>
        <w:p w14:paraId="0A2BBF85" w14:textId="54A82F7E" w:rsidR="00D4654D" w:rsidRDefault="00D4654D">
          <w:pPr>
            <w:pStyle w:val="TOC2"/>
            <w:tabs>
              <w:tab w:val="right" w:leader="dot" w:pos="9350"/>
            </w:tabs>
            <w:rPr>
              <w:rFonts w:asciiTheme="minorHAnsi" w:eastAsiaTheme="minorEastAsia" w:hAnsiTheme="minorHAnsi" w:cstheme="minorBidi"/>
              <w:noProof/>
              <w:lang w:val="en-GB"/>
            </w:rPr>
          </w:pPr>
          <w:hyperlink w:anchor="_Toc60408706" w:history="1">
            <w:r w:rsidRPr="00FF67ED">
              <w:rPr>
                <w:rStyle w:val="Hyperlink"/>
                <w:noProof/>
              </w:rPr>
              <w:t>3.2 Password cracking</w:t>
            </w:r>
            <w:r>
              <w:rPr>
                <w:noProof/>
                <w:webHidden/>
              </w:rPr>
              <w:tab/>
            </w:r>
            <w:r>
              <w:rPr>
                <w:noProof/>
                <w:webHidden/>
              </w:rPr>
              <w:fldChar w:fldCharType="begin"/>
            </w:r>
            <w:r>
              <w:rPr>
                <w:noProof/>
                <w:webHidden/>
              </w:rPr>
              <w:instrText xml:space="preserve"> PAGEREF _Toc60408706 \h </w:instrText>
            </w:r>
            <w:r>
              <w:rPr>
                <w:noProof/>
                <w:webHidden/>
              </w:rPr>
            </w:r>
            <w:r>
              <w:rPr>
                <w:noProof/>
                <w:webHidden/>
              </w:rPr>
              <w:fldChar w:fldCharType="separate"/>
            </w:r>
            <w:r>
              <w:rPr>
                <w:noProof/>
                <w:webHidden/>
              </w:rPr>
              <w:t>6</w:t>
            </w:r>
            <w:r>
              <w:rPr>
                <w:noProof/>
                <w:webHidden/>
              </w:rPr>
              <w:fldChar w:fldCharType="end"/>
            </w:r>
          </w:hyperlink>
        </w:p>
        <w:p w14:paraId="4B5EFB0D" w14:textId="1C68958F" w:rsidR="00D4654D" w:rsidRDefault="00D4654D">
          <w:pPr>
            <w:pStyle w:val="TOC2"/>
            <w:tabs>
              <w:tab w:val="right" w:leader="dot" w:pos="9350"/>
            </w:tabs>
            <w:rPr>
              <w:rFonts w:asciiTheme="minorHAnsi" w:eastAsiaTheme="minorEastAsia" w:hAnsiTheme="minorHAnsi" w:cstheme="minorBidi"/>
              <w:noProof/>
              <w:lang w:val="en-GB"/>
            </w:rPr>
          </w:pPr>
          <w:hyperlink w:anchor="_Toc60408707" w:history="1">
            <w:r w:rsidRPr="00FF67ED">
              <w:rPr>
                <w:rStyle w:val="Hyperlink"/>
                <w:noProof/>
              </w:rPr>
              <w:t>3.3 Access via an Internet WiFi facility offered for roving staff working at home.</w:t>
            </w:r>
            <w:r>
              <w:rPr>
                <w:noProof/>
                <w:webHidden/>
              </w:rPr>
              <w:tab/>
            </w:r>
            <w:r>
              <w:rPr>
                <w:noProof/>
                <w:webHidden/>
              </w:rPr>
              <w:fldChar w:fldCharType="begin"/>
            </w:r>
            <w:r>
              <w:rPr>
                <w:noProof/>
                <w:webHidden/>
              </w:rPr>
              <w:instrText xml:space="preserve"> PAGEREF _Toc60408707 \h </w:instrText>
            </w:r>
            <w:r>
              <w:rPr>
                <w:noProof/>
                <w:webHidden/>
              </w:rPr>
            </w:r>
            <w:r>
              <w:rPr>
                <w:noProof/>
                <w:webHidden/>
              </w:rPr>
              <w:fldChar w:fldCharType="separate"/>
            </w:r>
            <w:r>
              <w:rPr>
                <w:noProof/>
                <w:webHidden/>
              </w:rPr>
              <w:t>7</w:t>
            </w:r>
            <w:r>
              <w:rPr>
                <w:noProof/>
                <w:webHidden/>
              </w:rPr>
              <w:fldChar w:fldCharType="end"/>
            </w:r>
          </w:hyperlink>
        </w:p>
        <w:p w14:paraId="15D2023C" w14:textId="6287EF3A" w:rsidR="00D4654D" w:rsidRDefault="00D4654D">
          <w:pPr>
            <w:pStyle w:val="TOC1"/>
            <w:tabs>
              <w:tab w:val="right" w:leader="dot" w:pos="9350"/>
            </w:tabs>
            <w:rPr>
              <w:rFonts w:asciiTheme="minorHAnsi" w:eastAsiaTheme="minorEastAsia" w:hAnsiTheme="minorHAnsi" w:cstheme="minorBidi"/>
              <w:noProof/>
              <w:lang w:val="en-GB"/>
            </w:rPr>
          </w:pPr>
          <w:hyperlink w:anchor="_Toc60408708" w:history="1">
            <w:r w:rsidRPr="00FF67ED">
              <w:rPr>
                <w:rStyle w:val="Hyperlink"/>
                <w:noProof/>
              </w:rPr>
              <w:t>4. Auditing or Testing Approach (COMPLIANCE with regulation)</w:t>
            </w:r>
            <w:r>
              <w:rPr>
                <w:noProof/>
                <w:webHidden/>
              </w:rPr>
              <w:tab/>
            </w:r>
            <w:r>
              <w:rPr>
                <w:noProof/>
                <w:webHidden/>
              </w:rPr>
              <w:fldChar w:fldCharType="begin"/>
            </w:r>
            <w:r>
              <w:rPr>
                <w:noProof/>
                <w:webHidden/>
              </w:rPr>
              <w:instrText xml:space="preserve"> PAGEREF _Toc60408708 \h </w:instrText>
            </w:r>
            <w:r>
              <w:rPr>
                <w:noProof/>
                <w:webHidden/>
              </w:rPr>
            </w:r>
            <w:r>
              <w:rPr>
                <w:noProof/>
                <w:webHidden/>
              </w:rPr>
              <w:fldChar w:fldCharType="separate"/>
            </w:r>
            <w:r>
              <w:rPr>
                <w:noProof/>
                <w:webHidden/>
              </w:rPr>
              <w:t>8</w:t>
            </w:r>
            <w:r>
              <w:rPr>
                <w:noProof/>
                <w:webHidden/>
              </w:rPr>
              <w:fldChar w:fldCharType="end"/>
            </w:r>
          </w:hyperlink>
        </w:p>
        <w:p w14:paraId="34AC697A" w14:textId="5638B669" w:rsidR="00D4654D" w:rsidRDefault="00D4654D">
          <w:pPr>
            <w:pStyle w:val="TOC1"/>
            <w:tabs>
              <w:tab w:val="right" w:leader="dot" w:pos="9350"/>
            </w:tabs>
            <w:rPr>
              <w:rFonts w:asciiTheme="minorHAnsi" w:eastAsiaTheme="minorEastAsia" w:hAnsiTheme="minorHAnsi" w:cstheme="minorBidi"/>
              <w:noProof/>
              <w:lang w:val="en-GB"/>
            </w:rPr>
          </w:pPr>
          <w:hyperlink w:anchor="_Toc60408709" w:history="1">
            <w:r w:rsidRPr="00FF67ED">
              <w:rPr>
                <w:rStyle w:val="Hyperlink"/>
                <w:noProof/>
              </w:rPr>
              <w:t>5. Summary and Conclusion</w:t>
            </w:r>
            <w:r>
              <w:rPr>
                <w:noProof/>
                <w:webHidden/>
              </w:rPr>
              <w:tab/>
            </w:r>
            <w:r>
              <w:rPr>
                <w:noProof/>
                <w:webHidden/>
              </w:rPr>
              <w:fldChar w:fldCharType="begin"/>
            </w:r>
            <w:r>
              <w:rPr>
                <w:noProof/>
                <w:webHidden/>
              </w:rPr>
              <w:instrText xml:space="preserve"> PAGEREF _Toc60408709 \h </w:instrText>
            </w:r>
            <w:r>
              <w:rPr>
                <w:noProof/>
                <w:webHidden/>
              </w:rPr>
            </w:r>
            <w:r>
              <w:rPr>
                <w:noProof/>
                <w:webHidden/>
              </w:rPr>
              <w:fldChar w:fldCharType="separate"/>
            </w:r>
            <w:r>
              <w:rPr>
                <w:noProof/>
                <w:webHidden/>
              </w:rPr>
              <w:t>12</w:t>
            </w:r>
            <w:r>
              <w:rPr>
                <w:noProof/>
                <w:webHidden/>
              </w:rPr>
              <w:fldChar w:fldCharType="end"/>
            </w:r>
          </w:hyperlink>
        </w:p>
        <w:p w14:paraId="55573134" w14:textId="2F5AA02F" w:rsidR="00D4654D" w:rsidRDefault="00D4654D">
          <w:pPr>
            <w:pStyle w:val="TOC1"/>
            <w:tabs>
              <w:tab w:val="right" w:leader="dot" w:pos="9350"/>
            </w:tabs>
            <w:rPr>
              <w:rFonts w:asciiTheme="minorHAnsi" w:eastAsiaTheme="minorEastAsia" w:hAnsiTheme="minorHAnsi" w:cstheme="minorBidi"/>
              <w:noProof/>
              <w:lang w:val="en-GB"/>
            </w:rPr>
          </w:pPr>
          <w:hyperlink w:anchor="_Toc60408710" w:history="1">
            <w:r w:rsidRPr="00FF67ED">
              <w:rPr>
                <w:rStyle w:val="Hyperlink"/>
                <w:noProof/>
              </w:rPr>
              <w:t>6. Recommendation</w:t>
            </w:r>
            <w:r>
              <w:rPr>
                <w:noProof/>
                <w:webHidden/>
              </w:rPr>
              <w:tab/>
            </w:r>
            <w:r>
              <w:rPr>
                <w:noProof/>
                <w:webHidden/>
              </w:rPr>
              <w:fldChar w:fldCharType="begin"/>
            </w:r>
            <w:r>
              <w:rPr>
                <w:noProof/>
                <w:webHidden/>
              </w:rPr>
              <w:instrText xml:space="preserve"> PAGEREF _Toc60408710 \h </w:instrText>
            </w:r>
            <w:r>
              <w:rPr>
                <w:noProof/>
                <w:webHidden/>
              </w:rPr>
            </w:r>
            <w:r>
              <w:rPr>
                <w:noProof/>
                <w:webHidden/>
              </w:rPr>
              <w:fldChar w:fldCharType="separate"/>
            </w:r>
            <w:r>
              <w:rPr>
                <w:noProof/>
                <w:webHidden/>
              </w:rPr>
              <w:t>12</w:t>
            </w:r>
            <w:r>
              <w:rPr>
                <w:noProof/>
                <w:webHidden/>
              </w:rPr>
              <w:fldChar w:fldCharType="end"/>
            </w:r>
          </w:hyperlink>
        </w:p>
        <w:p w14:paraId="0D078776" w14:textId="538FF99B" w:rsidR="00D4654D" w:rsidRDefault="00D4654D">
          <w:pPr>
            <w:pStyle w:val="TOC1"/>
            <w:tabs>
              <w:tab w:val="right" w:leader="dot" w:pos="9350"/>
            </w:tabs>
            <w:rPr>
              <w:rFonts w:asciiTheme="minorHAnsi" w:eastAsiaTheme="minorEastAsia" w:hAnsiTheme="minorHAnsi" w:cstheme="minorBidi"/>
              <w:noProof/>
              <w:lang w:val="en-GB"/>
            </w:rPr>
          </w:pPr>
          <w:hyperlink w:anchor="_Toc60408711" w:history="1">
            <w:r w:rsidRPr="00FF67ED">
              <w:rPr>
                <w:rStyle w:val="Hyperlink"/>
                <w:noProof/>
              </w:rPr>
              <w:t>7.References</w:t>
            </w:r>
            <w:r>
              <w:rPr>
                <w:noProof/>
                <w:webHidden/>
              </w:rPr>
              <w:tab/>
            </w:r>
            <w:r>
              <w:rPr>
                <w:noProof/>
                <w:webHidden/>
              </w:rPr>
              <w:fldChar w:fldCharType="begin"/>
            </w:r>
            <w:r>
              <w:rPr>
                <w:noProof/>
                <w:webHidden/>
              </w:rPr>
              <w:instrText xml:space="preserve"> PAGEREF _Toc60408711 \h </w:instrText>
            </w:r>
            <w:r>
              <w:rPr>
                <w:noProof/>
                <w:webHidden/>
              </w:rPr>
            </w:r>
            <w:r>
              <w:rPr>
                <w:noProof/>
                <w:webHidden/>
              </w:rPr>
              <w:fldChar w:fldCharType="separate"/>
            </w:r>
            <w:r>
              <w:rPr>
                <w:noProof/>
                <w:webHidden/>
              </w:rPr>
              <w:t>13</w:t>
            </w:r>
            <w:r>
              <w:rPr>
                <w:noProof/>
                <w:webHidden/>
              </w:rPr>
              <w:fldChar w:fldCharType="end"/>
            </w:r>
          </w:hyperlink>
        </w:p>
        <w:p w14:paraId="627BDAB3" w14:textId="5567A279" w:rsidR="00D4654D" w:rsidRDefault="00D4654D">
          <w:r>
            <w:rPr>
              <w:b/>
              <w:bCs/>
              <w:noProof/>
            </w:rPr>
            <w:fldChar w:fldCharType="end"/>
          </w:r>
        </w:p>
      </w:sdtContent>
    </w:sdt>
    <w:p w14:paraId="7907A65C" w14:textId="77777777" w:rsidR="00677C1E" w:rsidRDefault="00677C1E">
      <w:pPr>
        <w:spacing w:line="480" w:lineRule="auto"/>
        <w:jc w:val="center"/>
        <w:rPr>
          <w:rFonts w:ascii="Times New Roman" w:eastAsia="Times New Roman" w:hAnsi="Times New Roman" w:cs="Times New Roman"/>
          <w:sz w:val="24"/>
          <w:szCs w:val="24"/>
        </w:rPr>
      </w:pPr>
    </w:p>
    <w:p w14:paraId="698843C7" w14:textId="77777777" w:rsidR="00677C1E" w:rsidRDefault="00677C1E">
      <w:pPr>
        <w:spacing w:line="480" w:lineRule="auto"/>
        <w:jc w:val="center"/>
        <w:rPr>
          <w:rFonts w:ascii="Times New Roman" w:eastAsia="Times New Roman" w:hAnsi="Times New Roman" w:cs="Times New Roman"/>
          <w:sz w:val="24"/>
          <w:szCs w:val="24"/>
        </w:rPr>
      </w:pPr>
    </w:p>
    <w:p w14:paraId="2B9D20CE" w14:textId="77777777" w:rsidR="00677C1E" w:rsidRDefault="00677C1E">
      <w:pPr>
        <w:spacing w:line="480" w:lineRule="auto"/>
        <w:jc w:val="center"/>
        <w:rPr>
          <w:rFonts w:ascii="Times New Roman" w:eastAsia="Times New Roman" w:hAnsi="Times New Roman" w:cs="Times New Roman"/>
          <w:sz w:val="24"/>
          <w:szCs w:val="24"/>
        </w:rPr>
      </w:pPr>
    </w:p>
    <w:p w14:paraId="46004DCF" w14:textId="77777777" w:rsidR="00677C1E" w:rsidRDefault="00677C1E">
      <w:pPr>
        <w:spacing w:line="480" w:lineRule="auto"/>
        <w:jc w:val="center"/>
        <w:rPr>
          <w:rFonts w:ascii="Times New Roman" w:eastAsia="Times New Roman" w:hAnsi="Times New Roman" w:cs="Times New Roman"/>
          <w:sz w:val="24"/>
          <w:szCs w:val="24"/>
        </w:rPr>
      </w:pPr>
    </w:p>
    <w:p w14:paraId="14B5E946" w14:textId="77777777" w:rsidR="00677C1E" w:rsidRDefault="00677C1E">
      <w:pPr>
        <w:spacing w:line="480" w:lineRule="auto"/>
        <w:jc w:val="center"/>
        <w:rPr>
          <w:rFonts w:ascii="Times New Roman" w:eastAsia="Times New Roman" w:hAnsi="Times New Roman" w:cs="Times New Roman"/>
          <w:sz w:val="24"/>
          <w:szCs w:val="24"/>
        </w:rPr>
      </w:pPr>
    </w:p>
    <w:p w14:paraId="21C2EB90" w14:textId="77777777" w:rsidR="00677C1E" w:rsidRDefault="00677C1E">
      <w:pPr>
        <w:spacing w:line="480" w:lineRule="auto"/>
        <w:jc w:val="center"/>
        <w:rPr>
          <w:rFonts w:ascii="Times New Roman" w:eastAsia="Times New Roman" w:hAnsi="Times New Roman" w:cs="Times New Roman"/>
          <w:sz w:val="24"/>
          <w:szCs w:val="24"/>
        </w:rPr>
      </w:pPr>
    </w:p>
    <w:p w14:paraId="4DD3B194" w14:textId="77777777" w:rsidR="00677C1E" w:rsidRDefault="00677C1E">
      <w:pPr>
        <w:spacing w:line="480" w:lineRule="auto"/>
        <w:jc w:val="center"/>
        <w:rPr>
          <w:rFonts w:ascii="Times New Roman" w:eastAsia="Times New Roman" w:hAnsi="Times New Roman" w:cs="Times New Roman"/>
          <w:sz w:val="24"/>
          <w:szCs w:val="24"/>
        </w:rPr>
      </w:pPr>
    </w:p>
    <w:p w14:paraId="4D50526E" w14:textId="77777777" w:rsidR="00677C1E" w:rsidRDefault="00677C1E">
      <w:pPr>
        <w:spacing w:line="480" w:lineRule="auto"/>
        <w:jc w:val="center"/>
        <w:rPr>
          <w:rFonts w:ascii="Times New Roman" w:eastAsia="Times New Roman" w:hAnsi="Times New Roman" w:cs="Times New Roman"/>
          <w:sz w:val="24"/>
          <w:szCs w:val="24"/>
        </w:rPr>
      </w:pPr>
    </w:p>
    <w:p w14:paraId="1D7733BC" w14:textId="77777777" w:rsidR="00677C1E" w:rsidRDefault="00677C1E">
      <w:pPr>
        <w:spacing w:line="480" w:lineRule="auto"/>
        <w:jc w:val="center"/>
        <w:rPr>
          <w:rFonts w:ascii="Times New Roman" w:eastAsia="Times New Roman" w:hAnsi="Times New Roman" w:cs="Times New Roman"/>
          <w:sz w:val="24"/>
          <w:szCs w:val="24"/>
        </w:rPr>
      </w:pPr>
    </w:p>
    <w:p w14:paraId="01086ABF" w14:textId="77777777" w:rsidR="00677C1E" w:rsidRDefault="00677C1E">
      <w:pPr>
        <w:spacing w:line="480" w:lineRule="auto"/>
        <w:jc w:val="center"/>
        <w:rPr>
          <w:rFonts w:ascii="Times New Roman" w:eastAsia="Times New Roman" w:hAnsi="Times New Roman" w:cs="Times New Roman"/>
          <w:sz w:val="24"/>
          <w:szCs w:val="24"/>
        </w:rPr>
      </w:pPr>
    </w:p>
    <w:p w14:paraId="3AF3E4BF" w14:textId="77777777" w:rsidR="00677C1E" w:rsidRDefault="00677C1E">
      <w:pPr>
        <w:spacing w:line="480" w:lineRule="auto"/>
        <w:jc w:val="center"/>
        <w:rPr>
          <w:rFonts w:ascii="Times New Roman" w:eastAsia="Times New Roman" w:hAnsi="Times New Roman" w:cs="Times New Roman"/>
          <w:sz w:val="24"/>
          <w:szCs w:val="24"/>
        </w:rPr>
      </w:pPr>
    </w:p>
    <w:p w14:paraId="39EBA8CB" w14:textId="77777777" w:rsidR="00677C1E" w:rsidRDefault="00677C1E">
      <w:pPr>
        <w:spacing w:line="480" w:lineRule="auto"/>
        <w:rPr>
          <w:rFonts w:ascii="Times New Roman" w:eastAsia="Times New Roman" w:hAnsi="Times New Roman" w:cs="Times New Roman"/>
          <w:sz w:val="24"/>
          <w:szCs w:val="24"/>
        </w:rPr>
        <w:sectPr w:rsidR="00677C1E" w:rsidSect="00D371A8">
          <w:headerReference w:type="default" r:id="rId10"/>
          <w:footerReference w:type="default" r:id="rId11"/>
          <w:pgSz w:w="12240" w:h="15840"/>
          <w:pgMar w:top="1440" w:right="1440" w:bottom="1440" w:left="1440" w:header="720" w:footer="720" w:gutter="0"/>
          <w:pgNumType w:start="0"/>
          <w:cols w:space="720"/>
          <w:titlePg/>
          <w:docGrid w:linePitch="299"/>
        </w:sectPr>
      </w:pPr>
    </w:p>
    <w:p w14:paraId="20B73A08" w14:textId="1F43C296" w:rsidR="00677C1E" w:rsidRDefault="00D371A8" w:rsidP="00D371A8">
      <w:pPr>
        <w:pStyle w:val="Heading1"/>
      </w:pPr>
      <w:bookmarkStart w:id="0" w:name="_Toc60408702"/>
      <w:r>
        <w:lastRenderedPageBreak/>
        <w:t>1.</w:t>
      </w:r>
      <w:r w:rsidR="007B5BDC">
        <w:t>Introduction</w:t>
      </w:r>
      <w:bookmarkEnd w:id="0"/>
    </w:p>
    <w:p w14:paraId="303A06EB"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Every organization responsible for using personal data has to conform to the data protection principles. This report addresses the basic requirements of security in regard to availability, confidentiality and integrity, the policies and procedures that underpin security-aware operations possible, and the basic details that govern auditing and testing approaches to ensure conformity with data protection regulations and also prevent data breaches (</w:t>
      </w:r>
      <w:proofErr w:type="spellStart"/>
      <w:r>
        <w:rPr>
          <w:rFonts w:ascii="Times New Roman" w:eastAsia="Times New Roman" w:hAnsi="Times New Roman" w:cs="Times New Roman"/>
          <w:sz w:val="24"/>
          <w:szCs w:val="24"/>
        </w:rPr>
        <w:t>Shakelford</w:t>
      </w:r>
      <w:proofErr w:type="spellEnd"/>
      <w:r>
        <w:rPr>
          <w:rFonts w:ascii="Times New Roman" w:eastAsia="Times New Roman" w:hAnsi="Times New Roman" w:cs="Times New Roman"/>
          <w:sz w:val="24"/>
          <w:szCs w:val="24"/>
        </w:rPr>
        <w:t xml:space="preserve">, 2020). These aspects will be discussed in relation to the Republic of </w:t>
      </w:r>
      <w:proofErr w:type="spellStart"/>
      <w:r>
        <w:rPr>
          <w:rFonts w:ascii="Times New Roman" w:eastAsia="Times New Roman" w:hAnsi="Times New Roman" w:cs="Times New Roman"/>
          <w:sz w:val="24"/>
          <w:szCs w:val="24"/>
        </w:rPr>
        <w:t>Snowdenia</w:t>
      </w:r>
      <w:proofErr w:type="spellEnd"/>
      <w:r>
        <w:rPr>
          <w:rFonts w:ascii="Times New Roman" w:eastAsia="Times New Roman" w:hAnsi="Times New Roman" w:cs="Times New Roman"/>
          <w:sz w:val="24"/>
          <w:szCs w:val="24"/>
        </w:rPr>
        <w:t xml:space="preserve"> County Council and in the context of the low-level hacking incident of the council’s data. </w:t>
      </w:r>
    </w:p>
    <w:p w14:paraId="3D28402F" w14:textId="77777777" w:rsidR="00677C1E" w:rsidRDefault="00677C1E" w:rsidP="00D371A8">
      <w:pPr>
        <w:pStyle w:val="Heading1"/>
      </w:pPr>
    </w:p>
    <w:p w14:paraId="4C332A9B" w14:textId="0896190E" w:rsidR="00677C1E" w:rsidRPr="0060705A" w:rsidRDefault="00D371A8" w:rsidP="00D371A8">
      <w:pPr>
        <w:pStyle w:val="Heading1"/>
        <w:rPr>
          <w:bCs/>
          <w:i/>
        </w:rPr>
      </w:pPr>
      <w:bookmarkStart w:id="1" w:name="_Toc60408703"/>
      <w:r w:rsidRPr="0060705A">
        <w:rPr>
          <w:bCs/>
        </w:rPr>
        <w:t>2.</w:t>
      </w:r>
      <w:r w:rsidR="007B5BDC" w:rsidRPr="0060705A">
        <w:rPr>
          <w:bCs/>
        </w:rPr>
        <w:t>Policies and procedures that underpin the security-aware operation</w:t>
      </w:r>
      <w:bookmarkEnd w:id="1"/>
    </w:p>
    <w:p w14:paraId="61F66CD9"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Security: </w:t>
      </w:r>
      <w:r>
        <w:rPr>
          <w:rFonts w:ascii="Times New Roman" w:eastAsia="Times New Roman" w:hAnsi="Times New Roman" w:cs="Times New Roman"/>
          <w:sz w:val="24"/>
          <w:szCs w:val="24"/>
        </w:rPr>
        <w:t>Data security refers to the practice of protecting digital information from corruption, unauthorized access, or theft throughout its entire life cycle.  The concept of data security encompasses both all the aspects of information security including the security of storage devices,  access and administrative controls and the logical security of software applications (</w:t>
      </w:r>
      <w:r>
        <w:rPr>
          <w:rFonts w:ascii="Times New Roman" w:eastAsia="Times New Roman" w:hAnsi="Times New Roman" w:cs="Times New Roman"/>
          <w:color w:val="222222"/>
          <w:sz w:val="24"/>
          <w:szCs w:val="24"/>
        </w:rPr>
        <w:t>Lewallen, 2020</w:t>
      </w:r>
      <w:r>
        <w:rPr>
          <w:rFonts w:ascii="Times New Roman" w:eastAsia="Times New Roman" w:hAnsi="Times New Roman" w:cs="Times New Roman"/>
          <w:sz w:val="24"/>
          <w:szCs w:val="24"/>
        </w:rPr>
        <w:t xml:space="preserve">). Additionally, data security also includes organizational procedures and policies that govern the use of organizational data. Choo et al. (2020) observe that when an organization properly implements a robust data security strategy, it is possible to protect organizational information assets against cybercriminal activities. Most importantly, the procedures help protect data against insider threats as well as a human error which constitutes a leading cause of data breaches (Gonzalez-Gil, Martinez &amp; </w:t>
      </w:r>
      <w:proofErr w:type="spellStart"/>
      <w:r>
        <w:rPr>
          <w:rFonts w:ascii="Times New Roman" w:eastAsia="Times New Roman" w:hAnsi="Times New Roman" w:cs="Times New Roman"/>
          <w:sz w:val="24"/>
          <w:szCs w:val="24"/>
        </w:rPr>
        <w:t>Skarmeta</w:t>
      </w:r>
      <w:proofErr w:type="spellEnd"/>
      <w:r>
        <w:rPr>
          <w:rFonts w:ascii="Times New Roman" w:eastAsia="Times New Roman" w:hAnsi="Times New Roman" w:cs="Times New Roman"/>
          <w:sz w:val="24"/>
          <w:szCs w:val="24"/>
        </w:rPr>
        <w:t xml:space="preserve">, 2020). </w:t>
      </w:r>
    </w:p>
    <w:p w14:paraId="45BABA4A" w14:textId="77777777" w:rsidR="00677C1E" w:rsidRDefault="00677C1E">
      <w:pPr>
        <w:spacing w:line="480" w:lineRule="auto"/>
        <w:rPr>
          <w:rFonts w:ascii="Times New Roman" w:eastAsia="Times New Roman" w:hAnsi="Times New Roman" w:cs="Times New Roman"/>
          <w:i/>
          <w:sz w:val="24"/>
          <w:szCs w:val="24"/>
        </w:rPr>
      </w:pPr>
    </w:p>
    <w:p w14:paraId="27899395"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Date Confidentiality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Sarker</w:t>
      </w:r>
      <w:proofErr w:type="spellEnd"/>
      <w:r>
        <w:rPr>
          <w:rFonts w:ascii="Times New Roman" w:eastAsia="Times New Roman" w:hAnsi="Times New Roman" w:cs="Times New Roman"/>
          <w:sz w:val="24"/>
          <w:szCs w:val="24"/>
        </w:rPr>
        <w:t xml:space="preserve"> et al. (2020) data confidentiality refers to protecting sensitive organizational information from being accessed by parties without authorization while ensuring only authorized entities gain access to the data (</w:t>
      </w:r>
      <w:proofErr w:type="spellStart"/>
      <w:r>
        <w:rPr>
          <w:rFonts w:ascii="Times New Roman" w:eastAsia="Times New Roman" w:hAnsi="Times New Roman" w:cs="Times New Roman"/>
          <w:color w:val="222222"/>
          <w:sz w:val="24"/>
          <w:szCs w:val="24"/>
        </w:rPr>
        <w:t>Möllers</w:t>
      </w:r>
      <w:proofErr w:type="spellEnd"/>
      <w:r>
        <w:rPr>
          <w:rFonts w:ascii="Times New Roman" w:eastAsia="Times New Roman" w:hAnsi="Times New Roman" w:cs="Times New Roman"/>
          <w:color w:val="222222"/>
          <w:sz w:val="24"/>
          <w:szCs w:val="24"/>
        </w:rPr>
        <w:t>, 2020</w:t>
      </w:r>
      <w:r>
        <w:rPr>
          <w:rFonts w:ascii="Times New Roman" w:eastAsia="Times New Roman" w:hAnsi="Times New Roman" w:cs="Times New Roman"/>
          <w:sz w:val="24"/>
          <w:szCs w:val="24"/>
        </w:rPr>
        <w:t>). Therefore a breach in data confidentiality implies that a cybercriminal gains access to organizational information they should not have access to, a breach against confidentiality cannot be remedied and thus should be prevented. A recent report shows that nearly all the major cybersecurity incidences that are media reported involve major losses of confidentiality (</w:t>
      </w:r>
      <w:proofErr w:type="spellStart"/>
      <w:r>
        <w:rPr>
          <w:rFonts w:ascii="Times New Roman" w:eastAsia="Times New Roman" w:hAnsi="Times New Roman" w:cs="Times New Roman"/>
          <w:sz w:val="24"/>
          <w:szCs w:val="24"/>
        </w:rPr>
        <w:t>Bayuk</w:t>
      </w:r>
      <w:proofErr w:type="spellEnd"/>
      <w:r>
        <w:rPr>
          <w:rFonts w:ascii="Times New Roman" w:eastAsia="Times New Roman" w:hAnsi="Times New Roman" w:cs="Times New Roman"/>
          <w:sz w:val="24"/>
          <w:szCs w:val="24"/>
        </w:rPr>
        <w:t xml:space="preserve"> et al., 2012). </w:t>
      </w:r>
    </w:p>
    <w:p w14:paraId="63EF87C7" w14:textId="77777777" w:rsidR="00677C1E" w:rsidRDefault="00677C1E">
      <w:pPr>
        <w:spacing w:line="480" w:lineRule="auto"/>
        <w:rPr>
          <w:rFonts w:ascii="Times New Roman" w:eastAsia="Times New Roman" w:hAnsi="Times New Roman" w:cs="Times New Roman"/>
          <w:sz w:val="24"/>
          <w:szCs w:val="24"/>
        </w:rPr>
      </w:pPr>
    </w:p>
    <w:p w14:paraId="7738D686"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Integrity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Data integrity refers to ensuring organizational data authenticity.  Data integrity policies and procedures and policies help ensure that organizational information remains unaltered and that the source of information is genuine (Gonzalez-Gil, Martinez &amp; </w:t>
      </w:r>
      <w:proofErr w:type="spellStart"/>
      <w:r>
        <w:rPr>
          <w:rFonts w:ascii="Times New Roman" w:eastAsia="Times New Roman" w:hAnsi="Times New Roman" w:cs="Times New Roman"/>
          <w:sz w:val="24"/>
          <w:szCs w:val="24"/>
        </w:rPr>
        <w:t>Skarmeta</w:t>
      </w:r>
      <w:proofErr w:type="spellEnd"/>
      <w:r>
        <w:rPr>
          <w:rFonts w:ascii="Times New Roman" w:eastAsia="Times New Roman" w:hAnsi="Times New Roman" w:cs="Times New Roman"/>
          <w:sz w:val="24"/>
          <w:szCs w:val="24"/>
        </w:rPr>
        <w:t>, 2020).</w:t>
      </w:r>
    </w:p>
    <w:p w14:paraId="5A8ACED6" w14:textId="77777777" w:rsidR="00677C1E" w:rsidRDefault="00677C1E">
      <w:pPr>
        <w:spacing w:line="480" w:lineRule="auto"/>
        <w:rPr>
          <w:rFonts w:ascii="Times New Roman" w:eastAsia="Times New Roman" w:hAnsi="Times New Roman" w:cs="Times New Roman"/>
          <w:sz w:val="24"/>
          <w:szCs w:val="24"/>
        </w:rPr>
      </w:pPr>
    </w:p>
    <w:p w14:paraId="1A2DC0D6"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Data Availability</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Data availability refers to ensuring the accessibility of organizational data to authorized users. Thus if a cybercriminal is unable to compromise data integrity and confidentiality, they could try to execute cyber-attacks such as a denial of service attack that would bring down organizational servers that make the sites unavailable to legitimate users as a result of lack of availability (</w:t>
      </w:r>
      <w:proofErr w:type="spellStart"/>
      <w:r>
        <w:rPr>
          <w:rFonts w:ascii="Times New Roman" w:eastAsia="Times New Roman" w:hAnsi="Times New Roman" w:cs="Times New Roman"/>
          <w:sz w:val="24"/>
          <w:szCs w:val="24"/>
        </w:rPr>
        <w:t>Sarker</w:t>
      </w:r>
      <w:proofErr w:type="spellEnd"/>
      <w:r>
        <w:rPr>
          <w:rFonts w:ascii="Times New Roman" w:eastAsia="Times New Roman" w:hAnsi="Times New Roman" w:cs="Times New Roman"/>
          <w:sz w:val="24"/>
          <w:szCs w:val="24"/>
        </w:rPr>
        <w:t xml:space="preserve"> et al., 2020)</w:t>
      </w:r>
    </w:p>
    <w:p w14:paraId="684B8418" w14:textId="77777777" w:rsidR="00677C1E" w:rsidRDefault="00677C1E">
      <w:pPr>
        <w:spacing w:line="480" w:lineRule="auto"/>
        <w:rPr>
          <w:rFonts w:ascii="Times New Roman" w:eastAsia="Times New Roman" w:hAnsi="Times New Roman" w:cs="Times New Roman"/>
          <w:i/>
          <w:sz w:val="24"/>
          <w:szCs w:val="24"/>
        </w:rPr>
      </w:pPr>
    </w:p>
    <w:p w14:paraId="341768F5"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Elements of Policies and procedures</w:t>
      </w:r>
    </w:p>
    <w:p w14:paraId="0122497D"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Organizational data security policies and procedures ensure that organizational data is kept private and used appropriately. Thus,  when formulating a data security policy, it is imperative </w:t>
      </w:r>
      <w:r>
        <w:rPr>
          <w:rFonts w:ascii="Times New Roman" w:eastAsia="Times New Roman" w:hAnsi="Times New Roman" w:cs="Times New Roman"/>
          <w:sz w:val="24"/>
          <w:szCs w:val="24"/>
        </w:rPr>
        <w:lastRenderedPageBreak/>
        <w:t xml:space="preserve">that an organization need to put into consideration all the threats and to ensure to cover beyond the basic security threats (Gonzalez-Gil, Martinez &amp; </w:t>
      </w:r>
      <w:proofErr w:type="spellStart"/>
      <w:r>
        <w:rPr>
          <w:rFonts w:ascii="Times New Roman" w:eastAsia="Times New Roman" w:hAnsi="Times New Roman" w:cs="Times New Roman"/>
          <w:sz w:val="24"/>
          <w:szCs w:val="24"/>
        </w:rPr>
        <w:t>Skarmeta</w:t>
      </w:r>
      <w:proofErr w:type="spellEnd"/>
      <w:r>
        <w:rPr>
          <w:rFonts w:ascii="Times New Roman" w:eastAsia="Times New Roman" w:hAnsi="Times New Roman" w:cs="Times New Roman"/>
          <w:sz w:val="24"/>
          <w:szCs w:val="24"/>
        </w:rPr>
        <w:t xml:space="preserve">, 2020). The Republic of </w:t>
      </w:r>
      <w:proofErr w:type="spellStart"/>
      <w:r>
        <w:rPr>
          <w:rFonts w:ascii="Times New Roman" w:eastAsia="Times New Roman" w:hAnsi="Times New Roman" w:cs="Times New Roman"/>
          <w:sz w:val="24"/>
          <w:szCs w:val="24"/>
        </w:rPr>
        <w:t>Snowdenia</w:t>
      </w:r>
      <w:proofErr w:type="spellEnd"/>
      <w:r>
        <w:rPr>
          <w:rFonts w:ascii="Times New Roman" w:eastAsia="Times New Roman" w:hAnsi="Times New Roman" w:cs="Times New Roman"/>
          <w:sz w:val="24"/>
          <w:szCs w:val="24"/>
        </w:rPr>
        <w:t xml:space="preserve"> County Council can consider the following elements for inclusion in the data security policy: ensuring data security accountability. In this regard, the organization should ensure that the workforce, IT staff and managers are made aware of what is expected of them and their responsibilities. There is a need to classify the types of data to both management and workers in order to create awareness regarding their differences so that they know how to handle each category (</w:t>
      </w:r>
      <w:proofErr w:type="spellStart"/>
      <w:r>
        <w:rPr>
          <w:rFonts w:ascii="Times New Roman" w:eastAsia="Times New Roman" w:hAnsi="Times New Roman" w:cs="Times New Roman"/>
          <w:sz w:val="24"/>
          <w:szCs w:val="24"/>
        </w:rPr>
        <w:t>Sarker</w:t>
      </w:r>
      <w:proofErr w:type="spellEnd"/>
      <w:r>
        <w:rPr>
          <w:rFonts w:ascii="Times New Roman" w:eastAsia="Times New Roman" w:hAnsi="Times New Roman" w:cs="Times New Roman"/>
          <w:sz w:val="24"/>
          <w:szCs w:val="24"/>
        </w:rPr>
        <w:t xml:space="preserve"> et al., 2020) </w:t>
      </w:r>
    </w:p>
    <w:p w14:paraId="1B69E2A8" w14:textId="77777777" w:rsidR="00677C1E" w:rsidRDefault="00677C1E">
      <w:pPr>
        <w:spacing w:line="480" w:lineRule="auto"/>
        <w:rPr>
          <w:rFonts w:ascii="Times New Roman" w:eastAsia="Times New Roman" w:hAnsi="Times New Roman" w:cs="Times New Roman"/>
          <w:sz w:val="24"/>
          <w:szCs w:val="24"/>
        </w:rPr>
      </w:pPr>
    </w:p>
    <w:p w14:paraId="4828FAE2"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categories could comprise, the general data, confidential data, data meant for external parties data meant to be used internally within the organization (Junior et al., 2020). Another important element in policy formulation that governs network services; this element dictates how the organization handles aspects such as, management and configuring IP addresses and remote access, as well as the detection of intrusion in the organizational network. </w:t>
      </w:r>
    </w:p>
    <w:p w14:paraId="672D89C0" w14:textId="77777777" w:rsidR="00677C1E" w:rsidRDefault="00677C1E">
      <w:pPr>
        <w:spacing w:line="480" w:lineRule="auto"/>
        <w:rPr>
          <w:rFonts w:ascii="Times New Roman" w:eastAsia="Times New Roman" w:hAnsi="Times New Roman" w:cs="Times New Roman"/>
          <w:sz w:val="24"/>
          <w:szCs w:val="24"/>
        </w:rPr>
      </w:pPr>
    </w:p>
    <w:p w14:paraId="590A8495"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Account monitoring and control elements help keep track of who is accessing, the policy would help prevent exploitation of inactive accounts from being used for illegal access or activity. Other important aspects that should be included in the policy include data and network segmentation, identity and access management, Scanning for Vulnerabilities, managing patches, the Response to Incidents, system data security policies (firewall, database and antivirus policies), monitoring compliance, monitoring acceptable use among other elements addressing also every aspect of the organizational security posture, monitoring all activity across every IT asset looking for suspicious or abnormal activity patterns and activities (</w:t>
      </w:r>
      <w:proofErr w:type="spellStart"/>
      <w:r>
        <w:rPr>
          <w:rFonts w:ascii="Times New Roman" w:eastAsia="Times New Roman" w:hAnsi="Times New Roman" w:cs="Times New Roman"/>
          <w:sz w:val="24"/>
          <w:szCs w:val="24"/>
        </w:rPr>
        <w:t>Bayuk</w:t>
      </w:r>
      <w:proofErr w:type="spellEnd"/>
      <w:r>
        <w:rPr>
          <w:rFonts w:ascii="Times New Roman" w:eastAsia="Times New Roman" w:hAnsi="Times New Roman" w:cs="Times New Roman"/>
          <w:sz w:val="24"/>
          <w:szCs w:val="24"/>
        </w:rPr>
        <w:t xml:space="preserve"> et al., 2012).</w:t>
      </w:r>
    </w:p>
    <w:p w14:paraId="038D2F4F" w14:textId="77777777" w:rsidR="00677C1E" w:rsidRDefault="00677C1E">
      <w:pPr>
        <w:spacing w:line="480" w:lineRule="auto"/>
        <w:rPr>
          <w:rFonts w:ascii="Times New Roman" w:eastAsia="Times New Roman" w:hAnsi="Times New Roman" w:cs="Times New Roman"/>
          <w:sz w:val="24"/>
          <w:szCs w:val="24"/>
        </w:rPr>
      </w:pPr>
    </w:p>
    <w:p w14:paraId="5A5CA1BF"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Yang, </w:t>
      </w:r>
      <w:proofErr w:type="spellStart"/>
      <w:r>
        <w:rPr>
          <w:rFonts w:ascii="Times New Roman" w:eastAsia="Times New Roman" w:hAnsi="Times New Roman" w:cs="Times New Roman"/>
          <w:sz w:val="24"/>
          <w:szCs w:val="24"/>
        </w:rPr>
        <w:t>Xiong</w:t>
      </w:r>
      <w:proofErr w:type="spellEnd"/>
      <w:r>
        <w:rPr>
          <w:rFonts w:ascii="Times New Roman" w:eastAsia="Times New Roman" w:hAnsi="Times New Roman" w:cs="Times New Roman"/>
          <w:sz w:val="24"/>
          <w:szCs w:val="24"/>
        </w:rPr>
        <w:t xml:space="preserve">, &amp; Ren (2020) add that upon the institutionalization of the security policies a review should be done at least twice annually, particularly, when there is a significant upgrade in the network infrastructure of the organization to bring it to current. </w:t>
      </w:r>
    </w:p>
    <w:p w14:paraId="2EB5F122" w14:textId="77777777" w:rsidR="00677C1E" w:rsidRDefault="00677C1E">
      <w:pPr>
        <w:spacing w:line="480" w:lineRule="auto"/>
        <w:jc w:val="center"/>
        <w:rPr>
          <w:rFonts w:ascii="Times New Roman" w:eastAsia="Times New Roman" w:hAnsi="Times New Roman" w:cs="Times New Roman"/>
          <w:b/>
          <w:sz w:val="24"/>
          <w:szCs w:val="24"/>
        </w:rPr>
        <w:sectPr w:rsidR="00677C1E">
          <w:pgSz w:w="12240" w:h="15840"/>
          <w:pgMar w:top="1440" w:right="1440" w:bottom="1440" w:left="1440" w:header="720" w:footer="720" w:gutter="0"/>
          <w:cols w:space="720"/>
        </w:sectPr>
      </w:pPr>
    </w:p>
    <w:p w14:paraId="14F0698A" w14:textId="2C3BAADD" w:rsidR="00677C1E" w:rsidRDefault="00D371A8" w:rsidP="00D371A8">
      <w:pPr>
        <w:pStyle w:val="Heading1"/>
      </w:pPr>
      <w:bookmarkStart w:id="2" w:name="_Toc60408704"/>
      <w:r>
        <w:lastRenderedPageBreak/>
        <w:t>3.</w:t>
      </w:r>
      <w:r w:rsidR="007B5BDC">
        <w:t>An analysis in the Case Study</w:t>
      </w:r>
      <w:bookmarkEnd w:id="2"/>
    </w:p>
    <w:p w14:paraId="660D91D9" w14:textId="261DA335" w:rsidR="00677C1E" w:rsidRDefault="0060705A" w:rsidP="0060705A">
      <w:pPr>
        <w:pStyle w:val="Heading2"/>
      </w:pPr>
      <w:bookmarkStart w:id="3" w:name="_Toc60408705"/>
      <w:r>
        <w:t xml:space="preserve">3.1 </w:t>
      </w:r>
      <w:r w:rsidR="007B5BDC">
        <w:t>Man-in-the-Middle (ARP poisoning) attack</w:t>
      </w:r>
      <w:bookmarkEnd w:id="3"/>
    </w:p>
    <w:p w14:paraId="31A10CF2"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involves an attacker posing as another host responding to MAC address requests illegally by precisely placing packets to sniff the private traffic between the hosts (</w:t>
      </w:r>
      <w:proofErr w:type="spellStart"/>
      <w:r>
        <w:rPr>
          <w:rFonts w:ascii="Times New Roman" w:eastAsia="Times New Roman" w:hAnsi="Times New Roman" w:cs="Times New Roman"/>
          <w:color w:val="222222"/>
          <w:sz w:val="24"/>
          <w:szCs w:val="24"/>
        </w:rPr>
        <w:t>Prabadevi</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Jeyanthi</w:t>
      </w:r>
      <w:proofErr w:type="spellEnd"/>
      <w:r>
        <w:rPr>
          <w:rFonts w:ascii="Times New Roman" w:eastAsia="Times New Roman" w:hAnsi="Times New Roman" w:cs="Times New Roman"/>
          <w:color w:val="222222"/>
          <w:sz w:val="24"/>
          <w:szCs w:val="24"/>
        </w:rPr>
        <w:t xml:space="preserve"> &amp; Abraham, 2020; Ben Linus et al., 2020</w:t>
      </w:r>
      <w:r>
        <w:rPr>
          <w:rFonts w:ascii="Times New Roman" w:eastAsia="Times New Roman" w:hAnsi="Times New Roman" w:cs="Times New Roman"/>
          <w:sz w:val="24"/>
          <w:szCs w:val="24"/>
        </w:rPr>
        <w:t>). This approach can result in the extraction of valuable information from the traffic including session tokens exchanges which could provide full access to application accounts that should be inaccessible to the attacker (</w:t>
      </w:r>
      <w:proofErr w:type="spellStart"/>
      <w:r>
        <w:rPr>
          <w:rFonts w:ascii="Times New Roman" w:eastAsia="Times New Roman" w:hAnsi="Times New Roman" w:cs="Times New Roman"/>
          <w:sz w:val="24"/>
          <w:szCs w:val="24"/>
        </w:rPr>
        <w:t>Ogiela</w:t>
      </w:r>
      <w:proofErr w:type="spellEnd"/>
      <w:r>
        <w:rPr>
          <w:rFonts w:ascii="Times New Roman" w:eastAsia="Times New Roman" w:hAnsi="Times New Roman" w:cs="Times New Roman"/>
          <w:sz w:val="24"/>
          <w:szCs w:val="24"/>
        </w:rPr>
        <w:t xml:space="preserve">, 2020). This kind of attack could have been easily prevented by having a strong encryption mechanism on wireless access points prevents brute-force, using strong user login credentials, using Virtual Private Network (VPN) to help create a secure environment for sensitive organizational information, deploying HTTPS, or the public key pair based authentication (Li et al., 2019; </w:t>
      </w:r>
      <w:r>
        <w:rPr>
          <w:rFonts w:ascii="Times New Roman" w:eastAsia="Times New Roman" w:hAnsi="Times New Roman" w:cs="Times New Roman"/>
          <w:color w:val="222222"/>
          <w:sz w:val="24"/>
          <w:szCs w:val="24"/>
        </w:rPr>
        <w:t>Priya &amp; Singh, 2020</w:t>
      </w:r>
      <w:r>
        <w:rPr>
          <w:rFonts w:ascii="Times New Roman" w:eastAsia="Times New Roman" w:hAnsi="Times New Roman" w:cs="Times New Roman"/>
          <w:sz w:val="24"/>
          <w:szCs w:val="24"/>
        </w:rPr>
        <w:t>).</w:t>
      </w:r>
    </w:p>
    <w:p w14:paraId="0A7A74F6" w14:textId="77777777" w:rsidR="00677C1E" w:rsidRDefault="00677C1E">
      <w:pPr>
        <w:spacing w:line="480" w:lineRule="auto"/>
        <w:rPr>
          <w:rFonts w:ascii="Times New Roman" w:eastAsia="Times New Roman" w:hAnsi="Times New Roman" w:cs="Times New Roman"/>
          <w:b/>
          <w:sz w:val="24"/>
          <w:szCs w:val="24"/>
        </w:rPr>
      </w:pPr>
    </w:p>
    <w:p w14:paraId="16E5BB11" w14:textId="3E2BB76A" w:rsidR="00677C1E" w:rsidRDefault="0060705A" w:rsidP="0060705A">
      <w:pPr>
        <w:pStyle w:val="Heading2"/>
      </w:pPr>
      <w:bookmarkStart w:id="4" w:name="_Toc60408706"/>
      <w:r>
        <w:t xml:space="preserve">3.2 </w:t>
      </w:r>
      <w:r w:rsidR="007B5BDC">
        <w:t>Password cracking</w:t>
      </w:r>
      <w:bookmarkEnd w:id="4"/>
    </w:p>
    <w:p w14:paraId="06462969"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Password cracking involves the use of software programs (cracking dictionaries with a list of common passwords, unique words and iterations of common passwords collected from public domains) (</w:t>
      </w:r>
      <w:r>
        <w:rPr>
          <w:rFonts w:ascii="Times New Roman" w:eastAsia="Times New Roman" w:hAnsi="Times New Roman" w:cs="Times New Roman"/>
          <w:color w:val="222222"/>
          <w:sz w:val="24"/>
          <w:szCs w:val="24"/>
        </w:rPr>
        <w:t>Pan, Yang &amp; Hwang, 2020</w:t>
      </w:r>
      <w:r>
        <w:rPr>
          <w:rFonts w:ascii="Times New Roman" w:eastAsia="Times New Roman" w:hAnsi="Times New Roman" w:cs="Times New Roman"/>
          <w:sz w:val="24"/>
          <w:szCs w:val="24"/>
        </w:rPr>
        <w:t>). Password cracking can be prevented by appropriate password policies that compel users to create and maintain dependable, safe passwords; the policies include using linger passwords, not using personal details in passwords, use different passwords for different accounts, adopting passphrases, as well as discourage sharing of passwords (Harsha et al., 2020). Other measures include password screening based on the known lists of dictionary passwords or compromised passwords (Junior et al., 2020).</w:t>
      </w:r>
    </w:p>
    <w:p w14:paraId="4CAF5764" w14:textId="36F311FB" w:rsidR="00677C1E" w:rsidRDefault="0060705A" w:rsidP="0060705A">
      <w:pPr>
        <w:pStyle w:val="Heading2"/>
      </w:pPr>
      <w:bookmarkStart w:id="5" w:name="_Toc60408707"/>
      <w:r>
        <w:lastRenderedPageBreak/>
        <w:t xml:space="preserve">3.3 </w:t>
      </w:r>
      <w:r w:rsidR="007B5BDC">
        <w:t xml:space="preserve">Access via an Internet </w:t>
      </w:r>
      <w:proofErr w:type="spellStart"/>
      <w:r w:rsidR="007B5BDC">
        <w:t>WiFi</w:t>
      </w:r>
      <w:proofErr w:type="spellEnd"/>
      <w:r w:rsidR="007B5BDC">
        <w:t xml:space="preserve"> facility offered for roving staff working at home.</w:t>
      </w:r>
      <w:bookmarkEnd w:id="5"/>
    </w:p>
    <w:p w14:paraId="7DB884A5" w14:textId="77777777" w:rsidR="00677C1E" w:rsidRDefault="00677C1E">
      <w:pPr>
        <w:spacing w:line="480" w:lineRule="auto"/>
        <w:rPr>
          <w:rFonts w:ascii="Times New Roman" w:eastAsia="Times New Roman" w:hAnsi="Times New Roman" w:cs="Times New Roman"/>
          <w:b/>
          <w:sz w:val="24"/>
          <w:szCs w:val="24"/>
        </w:rPr>
      </w:pPr>
    </w:p>
    <w:p w14:paraId="2AC5AEAB"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Organizational proprietary data could be in danger in the event a sizable number of employees are accessing their organizational accounts and sensitive data using personal devices at home. To help protect the company network while employees are working remotely, it could be necessary to provide VPN access to the remote employees to ensure an extra layer of security by hiding their IP addresses, encrypting data being transferred between devices as well as mask the sender's location. The organization could also have deployed MAC binding to control the devices that have access to the company network as well as use multi-factor authentication for all users.</w:t>
      </w:r>
    </w:p>
    <w:p w14:paraId="7CCAB25B" w14:textId="77777777" w:rsidR="00677C1E" w:rsidRDefault="00677C1E">
      <w:pPr>
        <w:spacing w:line="480" w:lineRule="auto"/>
        <w:rPr>
          <w:rFonts w:ascii="Times New Roman" w:eastAsia="Times New Roman" w:hAnsi="Times New Roman" w:cs="Times New Roman"/>
          <w:sz w:val="24"/>
          <w:szCs w:val="24"/>
        </w:rPr>
      </w:pPr>
    </w:p>
    <w:p w14:paraId="07293DE8"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critical measures that the republic of </w:t>
      </w:r>
      <w:proofErr w:type="spellStart"/>
      <w:r>
        <w:rPr>
          <w:rFonts w:ascii="Times New Roman" w:eastAsia="Times New Roman" w:hAnsi="Times New Roman" w:cs="Times New Roman"/>
          <w:sz w:val="24"/>
          <w:szCs w:val="24"/>
        </w:rPr>
        <w:t>Snowdenia</w:t>
      </w:r>
      <w:proofErr w:type="spellEnd"/>
      <w:r>
        <w:rPr>
          <w:rFonts w:ascii="Times New Roman" w:eastAsia="Times New Roman" w:hAnsi="Times New Roman" w:cs="Times New Roman"/>
          <w:sz w:val="24"/>
          <w:szCs w:val="24"/>
        </w:rPr>
        <w:t xml:space="preserve"> County council could have used include; ensure software updates for the remote users, ensure the use of secure, approved cloud services, reset default WI-FI routers password and configure them with secure passwords, ensure mandatory backups, run password audits, discourage the use of USB sticks and most importantly provide employees with basic data security knowledge (Yang, </w:t>
      </w:r>
      <w:proofErr w:type="spellStart"/>
      <w:r>
        <w:rPr>
          <w:rFonts w:ascii="Times New Roman" w:eastAsia="Times New Roman" w:hAnsi="Times New Roman" w:cs="Times New Roman"/>
          <w:sz w:val="24"/>
          <w:szCs w:val="24"/>
        </w:rPr>
        <w:t>Xiong</w:t>
      </w:r>
      <w:proofErr w:type="spellEnd"/>
      <w:r>
        <w:rPr>
          <w:rFonts w:ascii="Times New Roman" w:eastAsia="Times New Roman" w:hAnsi="Times New Roman" w:cs="Times New Roman"/>
          <w:sz w:val="24"/>
          <w:szCs w:val="24"/>
        </w:rPr>
        <w:t>, &amp; Ren, 2020).</w:t>
      </w:r>
    </w:p>
    <w:p w14:paraId="54388FAC" w14:textId="77777777" w:rsidR="00677C1E" w:rsidRDefault="00677C1E">
      <w:pPr>
        <w:spacing w:line="480" w:lineRule="auto"/>
        <w:jc w:val="center"/>
        <w:rPr>
          <w:rFonts w:ascii="Times New Roman" w:eastAsia="Times New Roman" w:hAnsi="Times New Roman" w:cs="Times New Roman"/>
          <w:b/>
          <w:sz w:val="24"/>
          <w:szCs w:val="24"/>
        </w:rPr>
      </w:pPr>
    </w:p>
    <w:p w14:paraId="18ECA1A3" w14:textId="77777777" w:rsidR="00677C1E" w:rsidRDefault="00677C1E">
      <w:pPr>
        <w:spacing w:line="480" w:lineRule="auto"/>
        <w:jc w:val="center"/>
        <w:rPr>
          <w:rFonts w:ascii="Times New Roman" w:eastAsia="Times New Roman" w:hAnsi="Times New Roman" w:cs="Times New Roman"/>
          <w:b/>
          <w:sz w:val="24"/>
          <w:szCs w:val="24"/>
        </w:rPr>
        <w:sectPr w:rsidR="00677C1E">
          <w:pgSz w:w="12240" w:h="15840"/>
          <w:pgMar w:top="1440" w:right="1440" w:bottom="1440" w:left="1440" w:header="720" w:footer="720" w:gutter="0"/>
          <w:cols w:space="720"/>
        </w:sectPr>
      </w:pPr>
    </w:p>
    <w:p w14:paraId="4901B01F" w14:textId="1E8A879F" w:rsidR="00677C1E" w:rsidRDefault="0060705A" w:rsidP="0060705A">
      <w:pPr>
        <w:pStyle w:val="Heading1"/>
      </w:pPr>
      <w:bookmarkStart w:id="6" w:name="_Toc60408708"/>
      <w:r>
        <w:lastRenderedPageBreak/>
        <w:t xml:space="preserve">4. </w:t>
      </w:r>
      <w:r w:rsidR="007B5BDC">
        <w:t>Auditing or Testing Approach (COMPLIANCE with regulation)</w:t>
      </w:r>
      <w:bookmarkEnd w:id="6"/>
    </w:p>
    <w:p w14:paraId="60CE8128"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proposes a three-pronged approach to help </w:t>
      </w:r>
      <w:proofErr w:type="spellStart"/>
      <w:r>
        <w:rPr>
          <w:rFonts w:ascii="Times New Roman" w:eastAsia="Times New Roman" w:hAnsi="Times New Roman" w:cs="Times New Roman"/>
          <w:sz w:val="24"/>
          <w:szCs w:val="24"/>
        </w:rPr>
        <w:t>Snowdenia</w:t>
      </w:r>
      <w:proofErr w:type="spellEnd"/>
      <w:r>
        <w:rPr>
          <w:rFonts w:ascii="Times New Roman" w:eastAsia="Times New Roman" w:hAnsi="Times New Roman" w:cs="Times New Roman"/>
          <w:sz w:val="24"/>
          <w:szCs w:val="24"/>
        </w:rPr>
        <w:t xml:space="preserve"> County Council address data security as well as ensure compliance with the regulation. The three core approaches include security, vigilance and resilience. According to Wang, </w:t>
      </w:r>
      <w:proofErr w:type="spellStart"/>
      <w:r>
        <w:rPr>
          <w:rFonts w:ascii="Times New Roman" w:eastAsia="Times New Roman" w:hAnsi="Times New Roman" w:cs="Times New Roman"/>
          <w:sz w:val="24"/>
          <w:szCs w:val="24"/>
        </w:rPr>
        <w:t>Su</w:t>
      </w:r>
      <w:proofErr w:type="spellEnd"/>
      <w:r>
        <w:rPr>
          <w:rFonts w:ascii="Times New Roman" w:eastAsia="Times New Roman" w:hAnsi="Times New Roman" w:cs="Times New Roman"/>
          <w:sz w:val="24"/>
          <w:szCs w:val="24"/>
        </w:rPr>
        <w:t xml:space="preserve"> &amp; Ge (2020) many internal auditors' roles revolve are targeted, for instance, the penetration procedures and attacks audits; these do not offer assurance across the spectrum of cybersecurity. Therefore, for a comprehensive view of cybersecurity and the avoidance of providing a false sense of security through targeted audits, the three prongs constitute a broadened approach that should be utilized by the County Council of </w:t>
      </w:r>
      <w:proofErr w:type="spellStart"/>
      <w:r>
        <w:rPr>
          <w:rFonts w:ascii="Times New Roman" w:eastAsia="Times New Roman" w:hAnsi="Times New Roman" w:cs="Times New Roman"/>
          <w:sz w:val="24"/>
          <w:szCs w:val="24"/>
        </w:rPr>
        <w:t>Snowdenia</w:t>
      </w:r>
      <w:proofErr w:type="spellEnd"/>
      <w:r>
        <w:rPr>
          <w:rFonts w:ascii="Times New Roman" w:eastAsia="Times New Roman" w:hAnsi="Times New Roman" w:cs="Times New Roman"/>
          <w:sz w:val="24"/>
          <w:szCs w:val="24"/>
        </w:rPr>
        <w:t>. The chosen approaches involve SOX (financially relevant systems only), BCP/DRP testing and Penetration and vulnerability testing methods (</w:t>
      </w:r>
      <w:proofErr w:type="spellStart"/>
      <w:r>
        <w:rPr>
          <w:rFonts w:ascii="Times New Roman" w:eastAsia="Times New Roman" w:hAnsi="Times New Roman" w:cs="Times New Roman"/>
          <w:sz w:val="24"/>
          <w:szCs w:val="24"/>
        </w:rPr>
        <w:t>Aljazaery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Alrikabi</w:t>
      </w:r>
      <w:proofErr w:type="spellEnd"/>
      <w:r>
        <w:rPr>
          <w:rFonts w:ascii="Times New Roman" w:eastAsia="Times New Roman" w:hAnsi="Times New Roman" w:cs="Times New Roman"/>
          <w:sz w:val="24"/>
          <w:szCs w:val="24"/>
        </w:rPr>
        <w:t xml:space="preserve"> &amp; Aziz, 2020).</w:t>
      </w:r>
    </w:p>
    <w:p w14:paraId="6D3DCAF2" w14:textId="77777777" w:rsidR="00677C1E" w:rsidRDefault="00677C1E">
      <w:pPr>
        <w:spacing w:line="480" w:lineRule="auto"/>
        <w:rPr>
          <w:rFonts w:ascii="Times New Roman" w:eastAsia="Times New Roman" w:hAnsi="Times New Roman" w:cs="Times New Roman"/>
          <w:sz w:val="24"/>
          <w:szCs w:val="24"/>
        </w:rPr>
      </w:pPr>
    </w:p>
    <w:p w14:paraId="769FA9EF"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Secure</w:t>
      </w:r>
      <w:r>
        <w:rPr>
          <w:rFonts w:ascii="Times New Roman" w:eastAsia="Times New Roman" w:hAnsi="Times New Roman" w:cs="Times New Roman"/>
          <w:sz w:val="24"/>
          <w:szCs w:val="24"/>
        </w:rPr>
        <w:t xml:space="preserve">. Modern Organizations put in place controls including identity management, perimeter </w:t>
      </w:r>
      <w:proofErr w:type="spellStart"/>
      <w:r>
        <w:rPr>
          <w:rFonts w:ascii="Times New Roman" w:eastAsia="Times New Roman" w:hAnsi="Times New Roman" w:cs="Times New Roman"/>
          <w:sz w:val="24"/>
          <w:szCs w:val="24"/>
        </w:rPr>
        <w:t>defences</w:t>
      </w:r>
      <w:proofErr w:type="spellEnd"/>
      <w:r>
        <w:rPr>
          <w:rFonts w:ascii="Times New Roman" w:eastAsia="Times New Roman" w:hAnsi="Times New Roman" w:cs="Times New Roman"/>
          <w:sz w:val="24"/>
          <w:szCs w:val="24"/>
        </w:rPr>
        <w:t xml:space="preserve"> and data protection that guards against known element find threats (</w:t>
      </w:r>
      <w:proofErr w:type="spellStart"/>
      <w:r>
        <w:rPr>
          <w:rFonts w:ascii="Times New Roman" w:eastAsia="Times New Roman" w:hAnsi="Times New Roman" w:cs="Times New Roman"/>
          <w:sz w:val="24"/>
          <w:szCs w:val="24"/>
        </w:rPr>
        <w:t>Ogiela</w:t>
      </w:r>
      <w:proofErr w:type="spellEnd"/>
      <w:r>
        <w:rPr>
          <w:rFonts w:ascii="Times New Roman" w:eastAsia="Times New Roman" w:hAnsi="Times New Roman" w:cs="Times New Roman"/>
          <w:sz w:val="24"/>
          <w:szCs w:val="24"/>
        </w:rPr>
        <w:t>, 2020). The secure dimension of auditing helps ensure whether the risk-focused programs prioritize controls in the areas that align with top business risks and whether such procedures sufficiently provide data security in the sections, such as, information and asset management, identity and access management, cybersecurity risk and compliance management, third-party management, secure development life cycle, security program and talent management as shown in figure 1 below.</w:t>
      </w:r>
    </w:p>
    <w:p w14:paraId="6647381F" w14:textId="77777777" w:rsidR="00677C1E" w:rsidRDefault="00677C1E">
      <w:pPr>
        <w:spacing w:line="480" w:lineRule="auto"/>
        <w:rPr>
          <w:rFonts w:ascii="Times New Roman" w:eastAsia="Times New Roman" w:hAnsi="Times New Roman" w:cs="Times New Roman"/>
          <w:b/>
          <w:i/>
          <w:sz w:val="24"/>
          <w:szCs w:val="24"/>
        </w:rPr>
      </w:pPr>
    </w:p>
    <w:p w14:paraId="5540F8AB" w14:textId="77777777" w:rsidR="00677C1E" w:rsidRDefault="00677C1E">
      <w:pPr>
        <w:spacing w:line="480" w:lineRule="auto"/>
        <w:rPr>
          <w:rFonts w:ascii="Times New Roman" w:eastAsia="Times New Roman" w:hAnsi="Times New Roman" w:cs="Times New Roman"/>
          <w:b/>
          <w:i/>
          <w:sz w:val="24"/>
          <w:szCs w:val="24"/>
        </w:rPr>
      </w:pPr>
    </w:p>
    <w:p w14:paraId="3890982E" w14:textId="77777777" w:rsidR="00677C1E" w:rsidRDefault="00677C1E">
      <w:pPr>
        <w:spacing w:line="480" w:lineRule="auto"/>
        <w:rPr>
          <w:rFonts w:ascii="Times New Roman" w:eastAsia="Times New Roman" w:hAnsi="Times New Roman" w:cs="Times New Roman"/>
          <w:b/>
          <w:i/>
          <w:sz w:val="24"/>
          <w:szCs w:val="24"/>
        </w:rPr>
      </w:pPr>
    </w:p>
    <w:p w14:paraId="1E2AF14F" w14:textId="77777777" w:rsidR="00677C1E" w:rsidRDefault="00677C1E">
      <w:pPr>
        <w:spacing w:line="480" w:lineRule="auto"/>
        <w:rPr>
          <w:rFonts w:ascii="Times New Roman" w:eastAsia="Times New Roman" w:hAnsi="Times New Roman" w:cs="Times New Roman"/>
          <w:b/>
          <w:i/>
          <w:sz w:val="24"/>
          <w:szCs w:val="24"/>
        </w:rPr>
      </w:pPr>
    </w:p>
    <w:p w14:paraId="707819F2" w14:textId="77777777" w:rsidR="00677C1E" w:rsidRDefault="00677C1E">
      <w:pPr>
        <w:spacing w:line="480" w:lineRule="auto"/>
        <w:rPr>
          <w:rFonts w:ascii="Times New Roman" w:eastAsia="Times New Roman" w:hAnsi="Times New Roman" w:cs="Times New Roman"/>
          <w:b/>
          <w:i/>
          <w:sz w:val="24"/>
          <w:szCs w:val="24"/>
        </w:rPr>
      </w:pPr>
    </w:p>
    <w:p w14:paraId="4A88463C" w14:textId="77777777" w:rsidR="00677C1E" w:rsidRDefault="007B5BDC">
      <w:pPr>
        <w:spacing w:line="48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The Secure Aspects</w:t>
      </w:r>
    </w:p>
    <w:p w14:paraId="68FB463C"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AE311D" wp14:editId="6C9EE61F">
            <wp:extent cx="5824538" cy="274585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16346" t="13390" r="16346" b="30198"/>
                    <a:stretch>
                      <a:fillRect/>
                    </a:stretch>
                  </pic:blipFill>
                  <pic:spPr>
                    <a:xfrm>
                      <a:off x="0" y="0"/>
                      <a:ext cx="5824538" cy="2745853"/>
                    </a:xfrm>
                    <a:prstGeom prst="rect">
                      <a:avLst/>
                    </a:prstGeom>
                    <a:ln/>
                  </pic:spPr>
                </pic:pic>
              </a:graphicData>
            </a:graphic>
          </wp:inline>
        </w:drawing>
      </w:r>
    </w:p>
    <w:p w14:paraId="0AC24EDB"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approach assesses compliance monitoring, issues and corrective action plans, secure building and testing, policy and standard management among other outline aspects. This approach entails secure build and testing, account provisioning tests, privileged user management tests, access certification, access management and governance, physical and environmental security controls tests as well as physical media handling (Wang, Wang, </w:t>
      </w:r>
      <w:proofErr w:type="spellStart"/>
      <w:r>
        <w:rPr>
          <w:rFonts w:ascii="Times New Roman" w:eastAsia="Times New Roman" w:hAnsi="Times New Roman" w:cs="Times New Roman"/>
          <w:sz w:val="24"/>
          <w:szCs w:val="24"/>
        </w:rPr>
        <w:t>Su</w:t>
      </w:r>
      <w:proofErr w:type="spellEnd"/>
      <w:r>
        <w:rPr>
          <w:rFonts w:ascii="Times New Roman" w:eastAsia="Times New Roman" w:hAnsi="Times New Roman" w:cs="Times New Roman"/>
          <w:sz w:val="24"/>
          <w:szCs w:val="24"/>
        </w:rPr>
        <w:t xml:space="preserve"> &amp; Ge, 2020).</w:t>
      </w:r>
    </w:p>
    <w:p w14:paraId="5B57DFFA" w14:textId="77777777" w:rsidR="00677C1E" w:rsidRDefault="00677C1E">
      <w:pPr>
        <w:spacing w:line="480" w:lineRule="auto"/>
        <w:rPr>
          <w:rFonts w:ascii="Times New Roman" w:eastAsia="Times New Roman" w:hAnsi="Times New Roman" w:cs="Times New Roman"/>
          <w:sz w:val="24"/>
          <w:szCs w:val="24"/>
        </w:rPr>
      </w:pPr>
    </w:p>
    <w:p w14:paraId="55387168"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Vigilance</w:t>
      </w:r>
      <w:r>
        <w:rPr>
          <w:rFonts w:ascii="Times New Roman" w:eastAsia="Times New Roman" w:hAnsi="Times New Roman" w:cs="Times New Roman"/>
          <w:sz w:val="24"/>
          <w:szCs w:val="24"/>
        </w:rPr>
        <w:t xml:space="preserve">. According to Li et al. (2019) threat vigilance,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risk analysis, as well as security monitoring are critical in detecting unauthorized or malicious activities, such as unusual data movement or application configuration changes, and help the organization to effectively respond to the transforming threat landscape. The vigilance approach, thus, helps audit threat and vulnerability management, data management and protection and risk analytics. This approach </w:t>
      </w:r>
      <w:r>
        <w:rPr>
          <w:rFonts w:ascii="Times New Roman" w:eastAsia="Times New Roman" w:hAnsi="Times New Roman" w:cs="Times New Roman"/>
          <w:sz w:val="24"/>
          <w:szCs w:val="24"/>
        </w:rPr>
        <w:lastRenderedPageBreak/>
        <w:t>helps establish organizational preparedness to respond to cybersecurity incidents, data encryption and obfuscation procedures, the data security strategies among other outlined aspects.</w:t>
      </w:r>
    </w:p>
    <w:p w14:paraId="716378B9" w14:textId="77777777" w:rsidR="00677C1E" w:rsidRDefault="00677C1E">
      <w:pPr>
        <w:spacing w:line="480" w:lineRule="auto"/>
        <w:rPr>
          <w:rFonts w:ascii="Times New Roman" w:eastAsia="Times New Roman" w:hAnsi="Times New Roman" w:cs="Times New Roman"/>
          <w:sz w:val="24"/>
          <w:szCs w:val="24"/>
        </w:rPr>
      </w:pPr>
    </w:p>
    <w:p w14:paraId="101B3829"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Figure 2: The Vigilance Aspect</w:t>
      </w:r>
    </w:p>
    <w:p w14:paraId="7F46468C"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EF2322" wp14:editId="3F238A2C">
            <wp:extent cx="5967413" cy="147396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16506" t="14285" r="16666" b="56341"/>
                    <a:stretch>
                      <a:fillRect/>
                    </a:stretch>
                  </pic:blipFill>
                  <pic:spPr>
                    <a:xfrm>
                      <a:off x="0" y="0"/>
                      <a:ext cx="5967413" cy="1473965"/>
                    </a:xfrm>
                    <a:prstGeom prst="rect">
                      <a:avLst/>
                    </a:prstGeom>
                    <a:ln/>
                  </pic:spPr>
                </pic:pic>
              </a:graphicData>
            </a:graphic>
          </wp:inline>
        </w:drawing>
      </w:r>
    </w:p>
    <w:p w14:paraId="460D57E7" w14:textId="77777777" w:rsidR="00677C1E" w:rsidRDefault="00677C1E">
      <w:pPr>
        <w:spacing w:line="480" w:lineRule="auto"/>
        <w:rPr>
          <w:rFonts w:ascii="Times New Roman" w:eastAsia="Times New Roman" w:hAnsi="Times New Roman" w:cs="Times New Roman"/>
          <w:sz w:val="24"/>
          <w:szCs w:val="24"/>
        </w:rPr>
      </w:pPr>
    </w:p>
    <w:p w14:paraId="08F21A41"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aspect encompasses application security testing, penetration testing and well as vulnerability management</w:t>
      </w:r>
    </w:p>
    <w:p w14:paraId="4AE5E137" w14:textId="77777777" w:rsidR="00677C1E" w:rsidRDefault="00677C1E">
      <w:pPr>
        <w:spacing w:line="480" w:lineRule="auto"/>
        <w:rPr>
          <w:rFonts w:ascii="Times New Roman" w:eastAsia="Times New Roman" w:hAnsi="Times New Roman" w:cs="Times New Roman"/>
          <w:sz w:val="24"/>
          <w:szCs w:val="24"/>
        </w:rPr>
      </w:pPr>
    </w:p>
    <w:p w14:paraId="6FFDDE42"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Resilience</w:t>
      </w:r>
      <w:r>
        <w:rPr>
          <w:rFonts w:ascii="Times New Roman" w:eastAsia="Times New Roman" w:hAnsi="Times New Roman" w:cs="Times New Roman"/>
          <w:sz w:val="24"/>
          <w:szCs w:val="24"/>
        </w:rPr>
        <w:t>. This approach defines the procedures and the scope of audits regarding the effectiveness of incident response protocols, business continuity, forensics and disaster recovery plans established in an organization. The approach covers crisis management and resiliency, security operations and security awareness and training (see figure 3).</w:t>
      </w:r>
    </w:p>
    <w:p w14:paraId="79447DAA"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Figure 2: The </w:t>
      </w:r>
      <w:r>
        <w:rPr>
          <w:rFonts w:ascii="Times New Roman" w:eastAsia="Times New Roman" w:hAnsi="Times New Roman" w:cs="Times New Roman"/>
          <w:b/>
          <w:sz w:val="24"/>
          <w:szCs w:val="24"/>
        </w:rPr>
        <w:t>Resilience</w:t>
      </w:r>
      <w:r>
        <w:rPr>
          <w:rFonts w:ascii="Times New Roman" w:eastAsia="Times New Roman" w:hAnsi="Times New Roman" w:cs="Times New Roman"/>
          <w:b/>
          <w:i/>
          <w:sz w:val="24"/>
          <w:szCs w:val="24"/>
        </w:rPr>
        <w:t xml:space="preserve"> Aspect</w:t>
      </w:r>
    </w:p>
    <w:p w14:paraId="5395CDFB"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1788403" wp14:editId="176D529D">
            <wp:extent cx="5985065" cy="168696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l="16666" t="43478" r="17948" b="23804"/>
                    <a:stretch>
                      <a:fillRect/>
                    </a:stretch>
                  </pic:blipFill>
                  <pic:spPr>
                    <a:xfrm>
                      <a:off x="0" y="0"/>
                      <a:ext cx="5985065" cy="1686967"/>
                    </a:xfrm>
                    <a:prstGeom prst="rect">
                      <a:avLst/>
                    </a:prstGeom>
                    <a:ln/>
                  </pic:spPr>
                </pic:pic>
              </a:graphicData>
            </a:graphic>
          </wp:inline>
        </w:drawing>
      </w:r>
    </w:p>
    <w:p w14:paraId="350BED54" w14:textId="77777777" w:rsidR="00677C1E" w:rsidRDefault="00677C1E">
      <w:pPr>
        <w:spacing w:line="480" w:lineRule="auto"/>
        <w:rPr>
          <w:rFonts w:ascii="Times New Roman" w:eastAsia="Times New Roman" w:hAnsi="Times New Roman" w:cs="Times New Roman"/>
          <w:sz w:val="24"/>
          <w:szCs w:val="24"/>
        </w:rPr>
      </w:pPr>
    </w:p>
    <w:p w14:paraId="259C6C82" w14:textId="77777777" w:rsidR="00677C1E" w:rsidRDefault="007B5BDC">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The approach includes disaster recovery planning tests, business impact analysis, business continuity planning, change management,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configuration management as well as testing and exercising (</w:t>
      </w:r>
      <w:proofErr w:type="spellStart"/>
      <w:r>
        <w:rPr>
          <w:rFonts w:ascii="Times New Roman" w:eastAsia="Times New Roman" w:hAnsi="Times New Roman" w:cs="Times New Roman"/>
          <w:sz w:val="24"/>
          <w:szCs w:val="24"/>
        </w:rPr>
        <w:t>Aljazaery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Alrikabi</w:t>
      </w:r>
      <w:proofErr w:type="spellEnd"/>
      <w:r>
        <w:rPr>
          <w:rFonts w:ascii="Times New Roman" w:eastAsia="Times New Roman" w:hAnsi="Times New Roman" w:cs="Times New Roman"/>
          <w:sz w:val="24"/>
          <w:szCs w:val="24"/>
        </w:rPr>
        <w:t xml:space="preserve"> &amp; Aziz, 2020).</w:t>
      </w:r>
    </w:p>
    <w:p w14:paraId="7CFB8B84" w14:textId="77777777" w:rsidR="00677C1E" w:rsidRDefault="00677C1E">
      <w:pPr>
        <w:spacing w:line="480" w:lineRule="auto"/>
        <w:jc w:val="center"/>
        <w:rPr>
          <w:rFonts w:ascii="Times New Roman" w:eastAsia="Times New Roman" w:hAnsi="Times New Roman" w:cs="Times New Roman"/>
          <w:b/>
          <w:sz w:val="24"/>
          <w:szCs w:val="24"/>
        </w:rPr>
        <w:sectPr w:rsidR="00677C1E">
          <w:pgSz w:w="12240" w:h="15840"/>
          <w:pgMar w:top="1440" w:right="1440" w:bottom="1440" w:left="1440" w:header="720" w:footer="720" w:gutter="0"/>
          <w:cols w:space="720"/>
        </w:sectPr>
      </w:pPr>
    </w:p>
    <w:p w14:paraId="5924546B" w14:textId="711FC80A" w:rsidR="00677C1E" w:rsidRDefault="0060705A" w:rsidP="0060705A">
      <w:pPr>
        <w:pStyle w:val="Heading1"/>
      </w:pPr>
      <w:bookmarkStart w:id="7" w:name="_Toc60408709"/>
      <w:r>
        <w:lastRenderedPageBreak/>
        <w:t xml:space="preserve">5. </w:t>
      </w:r>
      <w:r w:rsidR="007B5BDC">
        <w:t>Summary and Conclusion</w:t>
      </w:r>
      <w:bookmarkEnd w:id="7"/>
    </w:p>
    <w:p w14:paraId="61C76450"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primary purpose of this report is to highlight the important elements of data security, review the cybersecurity incident as </w:t>
      </w:r>
      <w:proofErr w:type="spellStart"/>
      <w:r>
        <w:rPr>
          <w:rFonts w:ascii="Times New Roman" w:eastAsia="Times New Roman" w:hAnsi="Times New Roman" w:cs="Times New Roman"/>
          <w:sz w:val="24"/>
          <w:szCs w:val="24"/>
        </w:rPr>
        <w:t>Snowdenian</w:t>
      </w:r>
      <w:proofErr w:type="spellEnd"/>
      <w:r>
        <w:rPr>
          <w:rFonts w:ascii="Times New Roman" w:eastAsia="Times New Roman" w:hAnsi="Times New Roman" w:cs="Times New Roman"/>
          <w:sz w:val="24"/>
          <w:szCs w:val="24"/>
        </w:rPr>
        <w:t xml:space="preserve"> and how best it could have been prevented and also provide a possible approach that the county council can deploy to ensure conformance with the compliance and regulation requirements while ensuring effective data security.</w:t>
      </w:r>
    </w:p>
    <w:p w14:paraId="396029EE" w14:textId="51E95F50" w:rsidR="00677C1E" w:rsidRDefault="0060705A" w:rsidP="0060705A">
      <w:pPr>
        <w:pStyle w:val="Heading1"/>
      </w:pPr>
      <w:bookmarkStart w:id="8" w:name="_Toc60408710"/>
      <w:r>
        <w:t xml:space="preserve">6. </w:t>
      </w:r>
      <w:r w:rsidR="007B5BDC">
        <w:t>Recommendation</w:t>
      </w:r>
      <w:bookmarkEnd w:id="8"/>
    </w:p>
    <w:p w14:paraId="39355346" w14:textId="77777777" w:rsidR="00677C1E" w:rsidRDefault="007B5BD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based on the report, the County Council of </w:t>
      </w:r>
      <w:proofErr w:type="spellStart"/>
      <w:r>
        <w:rPr>
          <w:rFonts w:ascii="Times New Roman" w:eastAsia="Times New Roman" w:hAnsi="Times New Roman" w:cs="Times New Roman"/>
          <w:sz w:val="24"/>
          <w:szCs w:val="24"/>
        </w:rPr>
        <w:t>Snowpedenia</w:t>
      </w:r>
      <w:proofErr w:type="spellEnd"/>
      <w:r>
        <w:rPr>
          <w:rFonts w:ascii="Times New Roman" w:eastAsia="Times New Roman" w:hAnsi="Times New Roman" w:cs="Times New Roman"/>
          <w:sz w:val="24"/>
          <w:szCs w:val="24"/>
        </w:rPr>
        <w:t xml:space="preserve"> can ensure the following aspects; </w:t>
      </w:r>
    </w:p>
    <w:p w14:paraId="4DC866AA" w14:textId="77777777" w:rsidR="00677C1E" w:rsidRDefault="007B5BDC">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 an appropriate cybersecurity policy and approaches that ensure data security, confidentiality, integrity and availability. </w:t>
      </w:r>
    </w:p>
    <w:p w14:paraId="1C17777A" w14:textId="77777777" w:rsidR="00677C1E" w:rsidRDefault="007B5BDC">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 should also implement sufficient data protection approaches for instance VPN, MAC binding and multi-factor authentication for remote workers. </w:t>
      </w:r>
    </w:p>
    <w:p w14:paraId="4B4F567E" w14:textId="77777777" w:rsidR="00677C1E" w:rsidRDefault="007B5BDC">
      <w:pPr>
        <w:numPr>
          <w:ilvl w:val="0"/>
          <w:numId w:val="1"/>
        </w:numPr>
        <w:spacing w:line="480" w:lineRule="auto"/>
        <w:rPr>
          <w:rFonts w:ascii="Times New Roman" w:eastAsia="Times New Roman" w:hAnsi="Times New Roman" w:cs="Times New Roman"/>
          <w:sz w:val="24"/>
          <w:szCs w:val="24"/>
        </w:rPr>
        <w:sectPr w:rsidR="00677C1E">
          <w:pgSz w:w="12240" w:h="15840"/>
          <w:pgMar w:top="1440" w:right="1440" w:bottom="1440" w:left="1440" w:header="720" w:footer="720" w:gutter="0"/>
          <w:cols w:space="720"/>
        </w:sectPr>
      </w:pPr>
      <w:r>
        <w:rPr>
          <w:rFonts w:ascii="Times New Roman" w:eastAsia="Times New Roman" w:hAnsi="Times New Roman" w:cs="Times New Roman"/>
          <w:sz w:val="24"/>
          <w:szCs w:val="24"/>
        </w:rPr>
        <w:t>A holistic approach that involves undertaking a thorough audit based on the security, vigilance and resilience themes outlined in the report, then using the audit report to mitigate all the possible data security threats as well enhance the cybersecurity policies and procedures.</w:t>
      </w:r>
    </w:p>
    <w:p w14:paraId="3DB5EB14" w14:textId="4A6B581A" w:rsidR="00677C1E" w:rsidRDefault="0060705A" w:rsidP="0060705A">
      <w:pPr>
        <w:pStyle w:val="Heading1"/>
      </w:pPr>
      <w:bookmarkStart w:id="9" w:name="_Toc60408711"/>
      <w:r>
        <w:lastRenderedPageBreak/>
        <w:t>7.</w:t>
      </w:r>
      <w:r w:rsidR="007B5BDC">
        <w:t>References</w:t>
      </w:r>
      <w:bookmarkEnd w:id="9"/>
    </w:p>
    <w:p w14:paraId="070826CD"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proofErr w:type="spellStart"/>
      <w:r w:rsidRPr="00AD01E8">
        <w:rPr>
          <w:rFonts w:ascii="Times New Roman" w:eastAsia="Times New Roman" w:hAnsi="Times New Roman" w:cs="Times New Roman"/>
          <w:sz w:val="24"/>
          <w:szCs w:val="24"/>
        </w:rPr>
        <w:t>Aljazaery</w:t>
      </w:r>
      <w:proofErr w:type="spellEnd"/>
      <w:r w:rsidRPr="00AD01E8">
        <w:rPr>
          <w:rFonts w:ascii="Times New Roman" w:eastAsia="Times New Roman" w:hAnsi="Times New Roman" w:cs="Times New Roman"/>
          <w:sz w:val="24"/>
          <w:szCs w:val="24"/>
        </w:rPr>
        <w:t xml:space="preserve">, I., </w:t>
      </w:r>
      <w:proofErr w:type="spellStart"/>
      <w:r w:rsidRPr="00AD01E8">
        <w:rPr>
          <w:rFonts w:ascii="Times New Roman" w:eastAsia="Times New Roman" w:hAnsi="Times New Roman" w:cs="Times New Roman"/>
          <w:sz w:val="24"/>
          <w:szCs w:val="24"/>
        </w:rPr>
        <w:t>Alrikabi</w:t>
      </w:r>
      <w:proofErr w:type="spellEnd"/>
      <w:r w:rsidRPr="00AD01E8">
        <w:rPr>
          <w:rFonts w:ascii="Times New Roman" w:eastAsia="Times New Roman" w:hAnsi="Times New Roman" w:cs="Times New Roman"/>
          <w:sz w:val="24"/>
          <w:szCs w:val="24"/>
        </w:rPr>
        <w:t>, H., &amp; Aziz, M. (2020). Combination of hiding and encryption for data security.</w:t>
      </w:r>
    </w:p>
    <w:p w14:paraId="5EC5335A"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proofErr w:type="spellStart"/>
      <w:r w:rsidRPr="00AD01E8">
        <w:rPr>
          <w:rFonts w:ascii="Times New Roman" w:eastAsia="Times New Roman" w:hAnsi="Times New Roman" w:cs="Times New Roman"/>
          <w:sz w:val="24"/>
          <w:szCs w:val="24"/>
        </w:rPr>
        <w:t>Bayuk</w:t>
      </w:r>
      <w:proofErr w:type="spellEnd"/>
      <w:r w:rsidRPr="00AD01E8">
        <w:rPr>
          <w:rFonts w:ascii="Times New Roman" w:eastAsia="Times New Roman" w:hAnsi="Times New Roman" w:cs="Times New Roman"/>
          <w:sz w:val="24"/>
          <w:szCs w:val="24"/>
        </w:rPr>
        <w:t xml:space="preserve">, J. L., Healey, J., </w:t>
      </w:r>
      <w:proofErr w:type="spellStart"/>
      <w:r w:rsidRPr="00AD01E8">
        <w:rPr>
          <w:rFonts w:ascii="Times New Roman" w:eastAsia="Times New Roman" w:hAnsi="Times New Roman" w:cs="Times New Roman"/>
          <w:sz w:val="24"/>
          <w:szCs w:val="24"/>
        </w:rPr>
        <w:t>Rohmeyer</w:t>
      </w:r>
      <w:proofErr w:type="spellEnd"/>
      <w:r w:rsidRPr="00AD01E8">
        <w:rPr>
          <w:rFonts w:ascii="Times New Roman" w:eastAsia="Times New Roman" w:hAnsi="Times New Roman" w:cs="Times New Roman"/>
          <w:sz w:val="24"/>
          <w:szCs w:val="24"/>
        </w:rPr>
        <w:t xml:space="preserve">, P., Sachs, M. H., Schmidt, J., &amp; Weiss, J. (2012). </w:t>
      </w:r>
      <w:r w:rsidRPr="00AD01E8">
        <w:rPr>
          <w:rFonts w:ascii="Times New Roman" w:eastAsia="Times New Roman" w:hAnsi="Times New Roman" w:cs="Times New Roman"/>
          <w:i/>
          <w:sz w:val="24"/>
          <w:szCs w:val="24"/>
        </w:rPr>
        <w:t>Cybersecurity policy guidebook</w:t>
      </w:r>
      <w:r w:rsidRPr="00AD01E8">
        <w:rPr>
          <w:rFonts w:ascii="Times New Roman" w:eastAsia="Times New Roman" w:hAnsi="Times New Roman" w:cs="Times New Roman"/>
          <w:sz w:val="24"/>
          <w:szCs w:val="24"/>
        </w:rPr>
        <w:t xml:space="preserve"> (pp. 1643-1653). Hoboken: Wiley.</w:t>
      </w:r>
    </w:p>
    <w:p w14:paraId="4E4FFC54"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color w:val="222222"/>
          <w:sz w:val="24"/>
          <w:szCs w:val="24"/>
        </w:rPr>
        <w:t xml:space="preserve">Ben Linus, S., </w:t>
      </w:r>
      <w:proofErr w:type="spellStart"/>
      <w:r w:rsidRPr="00AD01E8">
        <w:rPr>
          <w:rFonts w:ascii="Times New Roman" w:eastAsia="Times New Roman" w:hAnsi="Times New Roman" w:cs="Times New Roman"/>
          <w:color w:val="222222"/>
          <w:sz w:val="24"/>
          <w:szCs w:val="24"/>
        </w:rPr>
        <w:t>Yashwanth</w:t>
      </w:r>
      <w:proofErr w:type="spellEnd"/>
      <w:r w:rsidRPr="00AD01E8">
        <w:rPr>
          <w:rFonts w:ascii="Times New Roman" w:eastAsia="Times New Roman" w:hAnsi="Times New Roman" w:cs="Times New Roman"/>
          <w:color w:val="222222"/>
          <w:sz w:val="24"/>
          <w:szCs w:val="24"/>
        </w:rPr>
        <w:t>, K., Gayathri, K., Sanjay, R., &amp; Deepa, N. R. A (2020). Survey on ARP Spoofing and Prevention of ARP Attacks.</w:t>
      </w:r>
    </w:p>
    <w:p w14:paraId="6D900D49"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sz w:val="24"/>
          <w:szCs w:val="24"/>
        </w:rPr>
        <w:t xml:space="preserve">Choo, K. K. R., Gai, K., </w:t>
      </w:r>
      <w:proofErr w:type="spellStart"/>
      <w:r w:rsidRPr="00AD01E8">
        <w:rPr>
          <w:rFonts w:ascii="Times New Roman" w:eastAsia="Times New Roman" w:hAnsi="Times New Roman" w:cs="Times New Roman"/>
          <w:sz w:val="24"/>
          <w:szCs w:val="24"/>
        </w:rPr>
        <w:t>Chiaraviglio</w:t>
      </w:r>
      <w:proofErr w:type="spellEnd"/>
      <w:r w:rsidRPr="00AD01E8">
        <w:rPr>
          <w:rFonts w:ascii="Times New Roman" w:eastAsia="Times New Roman" w:hAnsi="Times New Roman" w:cs="Times New Roman"/>
          <w:sz w:val="24"/>
          <w:szCs w:val="24"/>
        </w:rPr>
        <w:t>, L., &amp; Yang, Q. (2020). A Multidisciplinary Approach to the Internet of Things (IoT) Cybersecurity and Risk Management.</w:t>
      </w:r>
    </w:p>
    <w:p w14:paraId="4A5AA381"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color w:val="222222"/>
          <w:sz w:val="24"/>
          <w:szCs w:val="24"/>
        </w:rPr>
        <w:t xml:space="preserve">Harsha, B., Morton, R., </w:t>
      </w:r>
      <w:proofErr w:type="spellStart"/>
      <w:r w:rsidRPr="00AD01E8">
        <w:rPr>
          <w:rFonts w:ascii="Times New Roman" w:eastAsia="Times New Roman" w:hAnsi="Times New Roman" w:cs="Times New Roman"/>
          <w:color w:val="222222"/>
          <w:sz w:val="24"/>
          <w:szCs w:val="24"/>
        </w:rPr>
        <w:t>Blocki</w:t>
      </w:r>
      <w:proofErr w:type="spellEnd"/>
      <w:r w:rsidRPr="00AD01E8">
        <w:rPr>
          <w:rFonts w:ascii="Times New Roman" w:eastAsia="Times New Roman" w:hAnsi="Times New Roman" w:cs="Times New Roman"/>
          <w:color w:val="222222"/>
          <w:sz w:val="24"/>
          <w:szCs w:val="24"/>
        </w:rPr>
        <w:t xml:space="preserve">, J., Springer, J., &amp; Dark, M. (2020). Bicycle Attacks Considered Harmful: Quantifying the Damage of Widespread Password Length Leakage. </w:t>
      </w:r>
      <w:proofErr w:type="spellStart"/>
      <w:r w:rsidRPr="00AD01E8">
        <w:rPr>
          <w:rFonts w:ascii="Times New Roman" w:eastAsia="Times New Roman" w:hAnsi="Times New Roman" w:cs="Times New Roman"/>
          <w:i/>
          <w:color w:val="222222"/>
          <w:sz w:val="24"/>
          <w:szCs w:val="24"/>
        </w:rPr>
        <w:t>arXiv</w:t>
      </w:r>
      <w:proofErr w:type="spellEnd"/>
      <w:r w:rsidRPr="00AD01E8">
        <w:rPr>
          <w:rFonts w:ascii="Times New Roman" w:eastAsia="Times New Roman" w:hAnsi="Times New Roman" w:cs="Times New Roman"/>
          <w:i/>
          <w:color w:val="222222"/>
          <w:sz w:val="24"/>
          <w:szCs w:val="24"/>
        </w:rPr>
        <w:t xml:space="preserve"> preprint arXiv:2002.01513</w:t>
      </w:r>
      <w:r w:rsidRPr="00AD01E8">
        <w:rPr>
          <w:rFonts w:ascii="Times New Roman" w:eastAsia="Times New Roman" w:hAnsi="Times New Roman" w:cs="Times New Roman"/>
          <w:color w:val="222222"/>
          <w:sz w:val="24"/>
          <w:szCs w:val="24"/>
        </w:rPr>
        <w:t>.</w:t>
      </w:r>
    </w:p>
    <w:p w14:paraId="123F5A9E"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sz w:val="24"/>
          <w:szCs w:val="24"/>
        </w:rPr>
        <w:t xml:space="preserve">Junior, J. M., da Costa, J. P. C., </w:t>
      </w:r>
      <w:proofErr w:type="spellStart"/>
      <w:r w:rsidRPr="00AD01E8">
        <w:rPr>
          <w:rFonts w:ascii="Times New Roman" w:eastAsia="Times New Roman" w:hAnsi="Times New Roman" w:cs="Times New Roman"/>
          <w:sz w:val="24"/>
          <w:szCs w:val="24"/>
        </w:rPr>
        <w:t>Garcez</w:t>
      </w:r>
      <w:proofErr w:type="spellEnd"/>
      <w:r w:rsidRPr="00AD01E8">
        <w:rPr>
          <w:rFonts w:ascii="Times New Roman" w:eastAsia="Times New Roman" w:hAnsi="Times New Roman" w:cs="Times New Roman"/>
          <w:sz w:val="24"/>
          <w:szCs w:val="24"/>
        </w:rPr>
        <w:t xml:space="preserve">, C. C., de Oliveira Albuquerque, R., </w:t>
      </w:r>
      <w:proofErr w:type="spellStart"/>
      <w:r w:rsidRPr="00AD01E8">
        <w:rPr>
          <w:rFonts w:ascii="Times New Roman" w:eastAsia="Times New Roman" w:hAnsi="Times New Roman" w:cs="Times New Roman"/>
          <w:sz w:val="24"/>
          <w:szCs w:val="24"/>
        </w:rPr>
        <w:t>Arancibia</w:t>
      </w:r>
      <w:proofErr w:type="spellEnd"/>
      <w:r w:rsidRPr="00AD01E8">
        <w:rPr>
          <w:rFonts w:ascii="Times New Roman" w:eastAsia="Times New Roman" w:hAnsi="Times New Roman" w:cs="Times New Roman"/>
          <w:sz w:val="24"/>
          <w:szCs w:val="24"/>
        </w:rPr>
        <w:t xml:space="preserve">, A., </w:t>
      </w:r>
      <w:proofErr w:type="spellStart"/>
      <w:r w:rsidRPr="00AD01E8">
        <w:rPr>
          <w:rFonts w:ascii="Times New Roman" w:eastAsia="Times New Roman" w:hAnsi="Times New Roman" w:cs="Times New Roman"/>
          <w:sz w:val="24"/>
          <w:szCs w:val="24"/>
        </w:rPr>
        <w:t>Weichenberger</w:t>
      </w:r>
      <w:proofErr w:type="spellEnd"/>
      <w:r w:rsidRPr="00AD01E8">
        <w:rPr>
          <w:rFonts w:ascii="Times New Roman" w:eastAsia="Times New Roman" w:hAnsi="Times New Roman" w:cs="Times New Roman"/>
          <w:sz w:val="24"/>
          <w:szCs w:val="24"/>
        </w:rPr>
        <w:t xml:space="preserve">, L., ... &amp; </w:t>
      </w:r>
      <w:proofErr w:type="spellStart"/>
      <w:r w:rsidRPr="00AD01E8">
        <w:rPr>
          <w:rFonts w:ascii="Times New Roman" w:eastAsia="Times New Roman" w:hAnsi="Times New Roman" w:cs="Times New Roman"/>
          <w:sz w:val="24"/>
          <w:szCs w:val="24"/>
        </w:rPr>
        <w:t>Galdo</w:t>
      </w:r>
      <w:proofErr w:type="spellEnd"/>
      <w:r w:rsidRPr="00AD01E8">
        <w:rPr>
          <w:rFonts w:ascii="Times New Roman" w:eastAsia="Times New Roman" w:hAnsi="Times New Roman" w:cs="Times New Roman"/>
          <w:sz w:val="24"/>
          <w:szCs w:val="24"/>
        </w:rPr>
        <w:t xml:space="preserve">, G. D. (2020). Data security and trading framework for smart grids in </w:t>
      </w:r>
      <w:proofErr w:type="spellStart"/>
      <w:r w:rsidRPr="00AD01E8">
        <w:rPr>
          <w:rFonts w:ascii="Times New Roman" w:eastAsia="Times New Roman" w:hAnsi="Times New Roman" w:cs="Times New Roman"/>
          <w:sz w:val="24"/>
          <w:szCs w:val="24"/>
        </w:rPr>
        <w:t>neighbourhood</w:t>
      </w:r>
      <w:proofErr w:type="spellEnd"/>
      <w:r w:rsidRPr="00AD01E8">
        <w:rPr>
          <w:rFonts w:ascii="Times New Roman" w:eastAsia="Times New Roman" w:hAnsi="Times New Roman" w:cs="Times New Roman"/>
          <w:sz w:val="24"/>
          <w:szCs w:val="24"/>
        </w:rPr>
        <w:t xml:space="preserve"> area networks. </w:t>
      </w:r>
      <w:r w:rsidRPr="00AD01E8">
        <w:rPr>
          <w:rFonts w:ascii="Times New Roman" w:eastAsia="Times New Roman" w:hAnsi="Times New Roman" w:cs="Times New Roman"/>
          <w:i/>
          <w:sz w:val="24"/>
          <w:szCs w:val="24"/>
        </w:rPr>
        <w:t>Sensors</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20</w:t>
      </w:r>
      <w:r w:rsidRPr="00AD01E8">
        <w:rPr>
          <w:rFonts w:ascii="Times New Roman" w:eastAsia="Times New Roman" w:hAnsi="Times New Roman" w:cs="Times New Roman"/>
          <w:sz w:val="24"/>
          <w:szCs w:val="24"/>
        </w:rPr>
        <w:t>(5), 1337.</w:t>
      </w:r>
    </w:p>
    <w:p w14:paraId="23840F34"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color w:val="222222"/>
          <w:sz w:val="24"/>
          <w:szCs w:val="24"/>
        </w:rPr>
        <w:t xml:space="preserve">Lewallen, J. (2020). Emerging technologies and problem definition uncertainty: The case of cybersecurity. </w:t>
      </w:r>
      <w:r w:rsidRPr="00AD01E8">
        <w:rPr>
          <w:rFonts w:ascii="Times New Roman" w:eastAsia="Times New Roman" w:hAnsi="Times New Roman" w:cs="Times New Roman"/>
          <w:i/>
          <w:color w:val="222222"/>
          <w:sz w:val="24"/>
          <w:szCs w:val="24"/>
        </w:rPr>
        <w:t>Regulation &amp; Governance</w:t>
      </w:r>
      <w:r w:rsidRPr="00AD01E8">
        <w:rPr>
          <w:rFonts w:ascii="Times New Roman" w:eastAsia="Times New Roman" w:hAnsi="Times New Roman" w:cs="Times New Roman"/>
          <w:color w:val="222222"/>
          <w:sz w:val="24"/>
          <w:szCs w:val="24"/>
        </w:rPr>
        <w:t>.</w:t>
      </w:r>
    </w:p>
    <w:p w14:paraId="1C481363"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sz w:val="24"/>
          <w:szCs w:val="24"/>
        </w:rPr>
        <w:t xml:space="preserve">Li, L., He, W., Xu, L., Ash, I., Anwar, M., &amp; Yuan, X. (2019). Investigating the impact of cybersecurity policy awareness on employees’ cybersecurity </w:t>
      </w:r>
      <w:proofErr w:type="spellStart"/>
      <w:r w:rsidRPr="00AD01E8">
        <w:rPr>
          <w:rFonts w:ascii="Times New Roman" w:eastAsia="Times New Roman" w:hAnsi="Times New Roman" w:cs="Times New Roman"/>
          <w:sz w:val="24"/>
          <w:szCs w:val="24"/>
        </w:rPr>
        <w:t>behaviour</w:t>
      </w:r>
      <w:proofErr w:type="spellEnd"/>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International Journal of Information Management</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45</w:t>
      </w:r>
      <w:r w:rsidRPr="00AD01E8">
        <w:rPr>
          <w:rFonts w:ascii="Times New Roman" w:eastAsia="Times New Roman" w:hAnsi="Times New Roman" w:cs="Times New Roman"/>
          <w:sz w:val="24"/>
          <w:szCs w:val="24"/>
        </w:rPr>
        <w:t>, 13-24.</w:t>
      </w:r>
    </w:p>
    <w:p w14:paraId="141C7A1C"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proofErr w:type="spellStart"/>
      <w:r w:rsidRPr="00AD01E8">
        <w:rPr>
          <w:rFonts w:ascii="Times New Roman" w:eastAsia="Times New Roman" w:hAnsi="Times New Roman" w:cs="Times New Roman"/>
          <w:color w:val="222222"/>
          <w:sz w:val="24"/>
          <w:szCs w:val="24"/>
        </w:rPr>
        <w:t>Möllers</w:t>
      </w:r>
      <w:proofErr w:type="spellEnd"/>
      <w:r w:rsidRPr="00AD01E8">
        <w:rPr>
          <w:rFonts w:ascii="Times New Roman" w:eastAsia="Times New Roman" w:hAnsi="Times New Roman" w:cs="Times New Roman"/>
          <w:color w:val="222222"/>
          <w:sz w:val="24"/>
          <w:szCs w:val="24"/>
        </w:rPr>
        <w:t xml:space="preserve">, N. (2020). Making Digital Territory: Cybersecurity, Techno-nationalism, and the Moral Boundaries of the State. </w:t>
      </w:r>
      <w:r w:rsidRPr="00AD01E8">
        <w:rPr>
          <w:rFonts w:ascii="Times New Roman" w:eastAsia="Times New Roman" w:hAnsi="Times New Roman" w:cs="Times New Roman"/>
          <w:i/>
          <w:color w:val="222222"/>
          <w:sz w:val="24"/>
          <w:szCs w:val="24"/>
        </w:rPr>
        <w:t>Science, Technology, &amp; Human Values</w:t>
      </w:r>
      <w:r w:rsidRPr="00AD01E8">
        <w:rPr>
          <w:rFonts w:ascii="Times New Roman" w:eastAsia="Times New Roman" w:hAnsi="Times New Roman" w:cs="Times New Roman"/>
          <w:color w:val="222222"/>
          <w:sz w:val="24"/>
          <w:szCs w:val="24"/>
        </w:rPr>
        <w:t>, 0162243920904436.</w:t>
      </w:r>
    </w:p>
    <w:p w14:paraId="2385400B"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proofErr w:type="spellStart"/>
      <w:r w:rsidRPr="00AD01E8">
        <w:rPr>
          <w:rFonts w:ascii="Times New Roman" w:eastAsia="Times New Roman" w:hAnsi="Times New Roman" w:cs="Times New Roman"/>
          <w:sz w:val="24"/>
          <w:szCs w:val="24"/>
        </w:rPr>
        <w:lastRenderedPageBreak/>
        <w:t>Ogiela</w:t>
      </w:r>
      <w:proofErr w:type="spellEnd"/>
      <w:r w:rsidRPr="00AD01E8">
        <w:rPr>
          <w:rFonts w:ascii="Times New Roman" w:eastAsia="Times New Roman" w:hAnsi="Times New Roman" w:cs="Times New Roman"/>
          <w:sz w:val="24"/>
          <w:szCs w:val="24"/>
        </w:rPr>
        <w:t xml:space="preserve">, U. (2020). Cognitive cryptography for data security in cloud computing. </w:t>
      </w:r>
      <w:r w:rsidRPr="00AD01E8">
        <w:rPr>
          <w:rFonts w:ascii="Times New Roman" w:eastAsia="Times New Roman" w:hAnsi="Times New Roman" w:cs="Times New Roman"/>
          <w:i/>
          <w:sz w:val="24"/>
          <w:szCs w:val="24"/>
        </w:rPr>
        <w:t>Concurrency and Computation: Practice and Experience</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32</w:t>
      </w:r>
      <w:r w:rsidRPr="00AD01E8">
        <w:rPr>
          <w:rFonts w:ascii="Times New Roman" w:eastAsia="Times New Roman" w:hAnsi="Times New Roman" w:cs="Times New Roman"/>
          <w:sz w:val="24"/>
          <w:szCs w:val="24"/>
        </w:rPr>
        <w:t>(18), e5557.</w:t>
      </w:r>
    </w:p>
    <w:p w14:paraId="49F69E7E"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color w:val="222222"/>
          <w:sz w:val="24"/>
          <w:szCs w:val="24"/>
        </w:rPr>
      </w:pPr>
      <w:r w:rsidRPr="00AD01E8">
        <w:rPr>
          <w:rFonts w:ascii="Times New Roman" w:eastAsia="Times New Roman" w:hAnsi="Times New Roman" w:cs="Times New Roman"/>
          <w:color w:val="222222"/>
          <w:sz w:val="24"/>
          <w:szCs w:val="24"/>
        </w:rPr>
        <w:t xml:space="preserve">Pan, H. T., Yang, H. W., &amp; Hwang, M. S. (2020). An Enhanced Secure Smart Card-based Password Authentication Scheme. </w:t>
      </w:r>
      <w:r w:rsidRPr="00AD01E8">
        <w:rPr>
          <w:rFonts w:ascii="Times New Roman" w:eastAsia="Times New Roman" w:hAnsi="Times New Roman" w:cs="Times New Roman"/>
          <w:i/>
          <w:color w:val="222222"/>
          <w:sz w:val="24"/>
          <w:szCs w:val="24"/>
        </w:rPr>
        <w:t>IJ Network Security</w:t>
      </w:r>
      <w:r w:rsidRPr="00AD01E8">
        <w:rPr>
          <w:rFonts w:ascii="Times New Roman" w:eastAsia="Times New Roman" w:hAnsi="Times New Roman" w:cs="Times New Roman"/>
          <w:color w:val="222222"/>
          <w:sz w:val="24"/>
          <w:szCs w:val="24"/>
        </w:rPr>
        <w:t xml:space="preserve">, </w:t>
      </w:r>
      <w:r w:rsidRPr="00AD01E8">
        <w:rPr>
          <w:rFonts w:ascii="Times New Roman" w:eastAsia="Times New Roman" w:hAnsi="Times New Roman" w:cs="Times New Roman"/>
          <w:i/>
          <w:color w:val="222222"/>
          <w:sz w:val="24"/>
          <w:szCs w:val="24"/>
        </w:rPr>
        <w:t>22</w:t>
      </w:r>
      <w:r w:rsidRPr="00AD01E8">
        <w:rPr>
          <w:rFonts w:ascii="Times New Roman" w:eastAsia="Times New Roman" w:hAnsi="Times New Roman" w:cs="Times New Roman"/>
          <w:color w:val="222222"/>
          <w:sz w:val="24"/>
          <w:szCs w:val="24"/>
        </w:rPr>
        <w:t>(2), 358-363.</w:t>
      </w:r>
    </w:p>
    <w:p w14:paraId="152B1FF8"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color w:val="222222"/>
          <w:sz w:val="24"/>
          <w:szCs w:val="24"/>
        </w:rPr>
      </w:pPr>
      <w:r w:rsidRPr="00AD01E8">
        <w:rPr>
          <w:rFonts w:ascii="Times New Roman" w:eastAsia="Times New Roman" w:hAnsi="Times New Roman" w:cs="Times New Roman"/>
          <w:color w:val="222222"/>
          <w:sz w:val="24"/>
          <w:szCs w:val="24"/>
        </w:rPr>
        <w:t xml:space="preserve">Prabhadevi, B., </w:t>
      </w:r>
      <w:proofErr w:type="spellStart"/>
      <w:r w:rsidRPr="00AD01E8">
        <w:rPr>
          <w:rFonts w:ascii="Times New Roman" w:eastAsia="Times New Roman" w:hAnsi="Times New Roman" w:cs="Times New Roman"/>
          <w:color w:val="222222"/>
          <w:sz w:val="24"/>
          <w:szCs w:val="24"/>
        </w:rPr>
        <w:t>Jeyanthi</w:t>
      </w:r>
      <w:proofErr w:type="spellEnd"/>
      <w:r w:rsidRPr="00AD01E8">
        <w:rPr>
          <w:rFonts w:ascii="Times New Roman" w:eastAsia="Times New Roman" w:hAnsi="Times New Roman" w:cs="Times New Roman"/>
          <w:color w:val="222222"/>
          <w:sz w:val="24"/>
          <w:szCs w:val="24"/>
        </w:rPr>
        <w:t xml:space="preserve">, N., &amp; Abraham, A. (2020). An analysis of security solutions for ARP poisoning attacks and its effects on medical computing. </w:t>
      </w:r>
      <w:r w:rsidRPr="00AD01E8">
        <w:rPr>
          <w:rFonts w:ascii="Times New Roman" w:eastAsia="Times New Roman" w:hAnsi="Times New Roman" w:cs="Times New Roman"/>
          <w:i/>
          <w:color w:val="222222"/>
          <w:sz w:val="24"/>
          <w:szCs w:val="24"/>
        </w:rPr>
        <w:t>International Journal of System Assurance Engineering and Management</w:t>
      </w:r>
      <w:r w:rsidRPr="00AD01E8">
        <w:rPr>
          <w:rFonts w:ascii="Times New Roman" w:eastAsia="Times New Roman" w:hAnsi="Times New Roman" w:cs="Times New Roman"/>
          <w:color w:val="222222"/>
          <w:sz w:val="24"/>
          <w:szCs w:val="24"/>
        </w:rPr>
        <w:t xml:space="preserve">, </w:t>
      </w:r>
      <w:r w:rsidRPr="00AD01E8">
        <w:rPr>
          <w:rFonts w:ascii="Times New Roman" w:eastAsia="Times New Roman" w:hAnsi="Times New Roman" w:cs="Times New Roman"/>
          <w:i/>
          <w:color w:val="222222"/>
          <w:sz w:val="24"/>
          <w:szCs w:val="24"/>
        </w:rPr>
        <w:t>11</w:t>
      </w:r>
      <w:r w:rsidRPr="00AD01E8">
        <w:rPr>
          <w:rFonts w:ascii="Times New Roman" w:eastAsia="Times New Roman" w:hAnsi="Times New Roman" w:cs="Times New Roman"/>
          <w:color w:val="222222"/>
          <w:sz w:val="24"/>
          <w:szCs w:val="24"/>
        </w:rPr>
        <w:t>(1), 1-14.</w:t>
      </w:r>
    </w:p>
    <w:p w14:paraId="3276188E"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color w:val="222222"/>
          <w:sz w:val="24"/>
          <w:szCs w:val="24"/>
        </w:rPr>
      </w:pPr>
      <w:r w:rsidRPr="00AD01E8">
        <w:rPr>
          <w:rFonts w:ascii="Times New Roman" w:eastAsia="Times New Roman" w:hAnsi="Times New Roman" w:cs="Times New Roman"/>
          <w:color w:val="222222"/>
          <w:sz w:val="24"/>
          <w:szCs w:val="24"/>
        </w:rPr>
        <w:t xml:space="preserve">Priya, A. V., &amp; Singh, H. K. (2020). Mitigation of ARP Cache Poisoning in Software-Defined Networks. In </w:t>
      </w:r>
      <w:r w:rsidRPr="00AD01E8">
        <w:rPr>
          <w:rFonts w:ascii="Times New Roman" w:eastAsia="Times New Roman" w:hAnsi="Times New Roman" w:cs="Times New Roman"/>
          <w:i/>
          <w:color w:val="222222"/>
          <w:sz w:val="24"/>
          <w:szCs w:val="24"/>
        </w:rPr>
        <w:t>Advances in Smart System Technologies</w:t>
      </w:r>
      <w:r w:rsidRPr="00AD01E8">
        <w:rPr>
          <w:rFonts w:ascii="Times New Roman" w:eastAsia="Times New Roman" w:hAnsi="Times New Roman" w:cs="Times New Roman"/>
          <w:color w:val="222222"/>
          <w:sz w:val="24"/>
          <w:szCs w:val="24"/>
        </w:rPr>
        <w:t xml:space="preserve"> (pp. 85-94). Springer, Singapore.</w:t>
      </w:r>
    </w:p>
    <w:p w14:paraId="7798C08C"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color w:val="222222"/>
          <w:sz w:val="24"/>
          <w:szCs w:val="24"/>
        </w:rPr>
        <w:t xml:space="preserve">Shackelford, S. (2020). Wargames: Analyzing the Act of War Exclusion in Cyber Risk Insurance Coverage and Its Implications for Cybersecurity Policy. </w:t>
      </w:r>
      <w:r w:rsidRPr="00AD01E8">
        <w:rPr>
          <w:rFonts w:ascii="Times New Roman" w:eastAsia="Times New Roman" w:hAnsi="Times New Roman" w:cs="Times New Roman"/>
          <w:i/>
          <w:color w:val="222222"/>
          <w:sz w:val="24"/>
          <w:szCs w:val="24"/>
        </w:rPr>
        <w:t>Available at SSRN 3746754</w:t>
      </w:r>
      <w:r w:rsidRPr="00AD01E8">
        <w:rPr>
          <w:rFonts w:ascii="Times New Roman" w:eastAsia="Times New Roman" w:hAnsi="Times New Roman" w:cs="Times New Roman"/>
          <w:color w:val="222222"/>
          <w:sz w:val="24"/>
          <w:szCs w:val="24"/>
        </w:rPr>
        <w:t>.</w:t>
      </w:r>
    </w:p>
    <w:p w14:paraId="3A1FA735"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proofErr w:type="spellStart"/>
      <w:r w:rsidRPr="00AD01E8">
        <w:rPr>
          <w:rFonts w:ascii="Times New Roman" w:eastAsia="Times New Roman" w:hAnsi="Times New Roman" w:cs="Times New Roman"/>
          <w:sz w:val="24"/>
          <w:szCs w:val="24"/>
        </w:rPr>
        <w:t>Sarker</w:t>
      </w:r>
      <w:proofErr w:type="spellEnd"/>
      <w:r w:rsidRPr="00AD01E8">
        <w:rPr>
          <w:rFonts w:ascii="Times New Roman" w:eastAsia="Times New Roman" w:hAnsi="Times New Roman" w:cs="Times New Roman"/>
          <w:sz w:val="24"/>
          <w:szCs w:val="24"/>
        </w:rPr>
        <w:t xml:space="preserve">, I. H., </w:t>
      </w:r>
      <w:proofErr w:type="spellStart"/>
      <w:r w:rsidRPr="00AD01E8">
        <w:rPr>
          <w:rFonts w:ascii="Times New Roman" w:eastAsia="Times New Roman" w:hAnsi="Times New Roman" w:cs="Times New Roman"/>
          <w:sz w:val="24"/>
          <w:szCs w:val="24"/>
        </w:rPr>
        <w:t>Kayes</w:t>
      </w:r>
      <w:proofErr w:type="spellEnd"/>
      <w:r w:rsidRPr="00AD01E8">
        <w:rPr>
          <w:rFonts w:ascii="Times New Roman" w:eastAsia="Times New Roman" w:hAnsi="Times New Roman" w:cs="Times New Roman"/>
          <w:sz w:val="24"/>
          <w:szCs w:val="24"/>
        </w:rPr>
        <w:t xml:space="preserve">, A. S. M., </w:t>
      </w:r>
      <w:proofErr w:type="spellStart"/>
      <w:r w:rsidRPr="00AD01E8">
        <w:rPr>
          <w:rFonts w:ascii="Times New Roman" w:eastAsia="Times New Roman" w:hAnsi="Times New Roman" w:cs="Times New Roman"/>
          <w:sz w:val="24"/>
          <w:szCs w:val="24"/>
        </w:rPr>
        <w:t>Badsha</w:t>
      </w:r>
      <w:proofErr w:type="spellEnd"/>
      <w:r w:rsidRPr="00AD01E8">
        <w:rPr>
          <w:rFonts w:ascii="Times New Roman" w:eastAsia="Times New Roman" w:hAnsi="Times New Roman" w:cs="Times New Roman"/>
          <w:sz w:val="24"/>
          <w:szCs w:val="24"/>
        </w:rPr>
        <w:t xml:space="preserve">, S., </w:t>
      </w:r>
      <w:proofErr w:type="spellStart"/>
      <w:r w:rsidRPr="00AD01E8">
        <w:rPr>
          <w:rFonts w:ascii="Times New Roman" w:eastAsia="Times New Roman" w:hAnsi="Times New Roman" w:cs="Times New Roman"/>
          <w:sz w:val="24"/>
          <w:szCs w:val="24"/>
        </w:rPr>
        <w:t>Alqahtani</w:t>
      </w:r>
      <w:proofErr w:type="spellEnd"/>
      <w:r w:rsidRPr="00AD01E8">
        <w:rPr>
          <w:rFonts w:ascii="Times New Roman" w:eastAsia="Times New Roman" w:hAnsi="Times New Roman" w:cs="Times New Roman"/>
          <w:sz w:val="24"/>
          <w:szCs w:val="24"/>
        </w:rPr>
        <w:t xml:space="preserve">, H., Watters, P., &amp; Ng, A. (2020). Cybersecurity data science: an overview from a machine learning perspective. </w:t>
      </w:r>
      <w:r w:rsidRPr="00AD01E8">
        <w:rPr>
          <w:rFonts w:ascii="Times New Roman" w:eastAsia="Times New Roman" w:hAnsi="Times New Roman" w:cs="Times New Roman"/>
          <w:i/>
          <w:sz w:val="24"/>
          <w:szCs w:val="24"/>
        </w:rPr>
        <w:t>Journal of Big Data</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7</w:t>
      </w:r>
      <w:r w:rsidRPr="00AD01E8">
        <w:rPr>
          <w:rFonts w:ascii="Times New Roman" w:eastAsia="Times New Roman" w:hAnsi="Times New Roman" w:cs="Times New Roman"/>
          <w:sz w:val="24"/>
          <w:szCs w:val="24"/>
        </w:rPr>
        <w:t>(1), 1-29.</w:t>
      </w:r>
    </w:p>
    <w:p w14:paraId="6B5E68E7"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sz w:val="24"/>
          <w:szCs w:val="24"/>
        </w:rPr>
        <w:t xml:space="preserve">Wang, Z., Wang, N., </w:t>
      </w:r>
      <w:proofErr w:type="spellStart"/>
      <w:r w:rsidRPr="00AD01E8">
        <w:rPr>
          <w:rFonts w:ascii="Times New Roman" w:eastAsia="Times New Roman" w:hAnsi="Times New Roman" w:cs="Times New Roman"/>
          <w:sz w:val="24"/>
          <w:szCs w:val="24"/>
        </w:rPr>
        <w:t>Su</w:t>
      </w:r>
      <w:proofErr w:type="spellEnd"/>
      <w:r w:rsidRPr="00AD01E8">
        <w:rPr>
          <w:rFonts w:ascii="Times New Roman" w:eastAsia="Times New Roman" w:hAnsi="Times New Roman" w:cs="Times New Roman"/>
          <w:sz w:val="24"/>
          <w:szCs w:val="24"/>
        </w:rPr>
        <w:t xml:space="preserve">, X., &amp; Ge, S. (2020). An empirical study on business analytics affordances enhancing the management of cloud computing data security. </w:t>
      </w:r>
      <w:r w:rsidRPr="00AD01E8">
        <w:rPr>
          <w:rFonts w:ascii="Times New Roman" w:eastAsia="Times New Roman" w:hAnsi="Times New Roman" w:cs="Times New Roman"/>
          <w:i/>
          <w:sz w:val="24"/>
          <w:szCs w:val="24"/>
        </w:rPr>
        <w:t>International Journal of Information Management</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50</w:t>
      </w:r>
      <w:r w:rsidRPr="00AD01E8">
        <w:rPr>
          <w:rFonts w:ascii="Times New Roman" w:eastAsia="Times New Roman" w:hAnsi="Times New Roman" w:cs="Times New Roman"/>
          <w:sz w:val="24"/>
          <w:szCs w:val="24"/>
        </w:rPr>
        <w:t>, 387-394.</w:t>
      </w:r>
    </w:p>
    <w:p w14:paraId="1FEB5F27" w14:textId="77777777" w:rsidR="00677C1E" w:rsidRPr="00AD01E8" w:rsidRDefault="007B5BDC" w:rsidP="00AD01E8">
      <w:pPr>
        <w:pStyle w:val="ListParagraph"/>
        <w:numPr>
          <w:ilvl w:val="0"/>
          <w:numId w:val="2"/>
        </w:numPr>
        <w:spacing w:line="480" w:lineRule="auto"/>
        <w:rPr>
          <w:rFonts w:ascii="Times New Roman" w:eastAsia="Times New Roman" w:hAnsi="Times New Roman" w:cs="Times New Roman"/>
          <w:sz w:val="24"/>
          <w:szCs w:val="24"/>
        </w:rPr>
      </w:pPr>
      <w:r w:rsidRPr="00AD01E8">
        <w:rPr>
          <w:rFonts w:ascii="Times New Roman" w:eastAsia="Times New Roman" w:hAnsi="Times New Roman" w:cs="Times New Roman"/>
          <w:sz w:val="24"/>
          <w:szCs w:val="24"/>
        </w:rPr>
        <w:t xml:space="preserve">Yang, P., </w:t>
      </w:r>
      <w:proofErr w:type="spellStart"/>
      <w:r w:rsidRPr="00AD01E8">
        <w:rPr>
          <w:rFonts w:ascii="Times New Roman" w:eastAsia="Times New Roman" w:hAnsi="Times New Roman" w:cs="Times New Roman"/>
          <w:sz w:val="24"/>
          <w:szCs w:val="24"/>
        </w:rPr>
        <w:t>Xiong</w:t>
      </w:r>
      <w:proofErr w:type="spellEnd"/>
      <w:r w:rsidRPr="00AD01E8">
        <w:rPr>
          <w:rFonts w:ascii="Times New Roman" w:eastAsia="Times New Roman" w:hAnsi="Times New Roman" w:cs="Times New Roman"/>
          <w:sz w:val="24"/>
          <w:szCs w:val="24"/>
        </w:rPr>
        <w:t xml:space="preserve">, N., &amp; Ren, J. (2020). Data security and privacy protection for cloud storage: A survey. </w:t>
      </w:r>
      <w:r w:rsidRPr="00AD01E8">
        <w:rPr>
          <w:rFonts w:ascii="Times New Roman" w:eastAsia="Times New Roman" w:hAnsi="Times New Roman" w:cs="Times New Roman"/>
          <w:i/>
          <w:sz w:val="24"/>
          <w:szCs w:val="24"/>
        </w:rPr>
        <w:t>IEEE Access</w:t>
      </w:r>
      <w:r w:rsidRPr="00AD01E8">
        <w:rPr>
          <w:rFonts w:ascii="Times New Roman" w:eastAsia="Times New Roman" w:hAnsi="Times New Roman" w:cs="Times New Roman"/>
          <w:sz w:val="24"/>
          <w:szCs w:val="24"/>
        </w:rPr>
        <w:t xml:space="preserve">, </w:t>
      </w:r>
      <w:r w:rsidRPr="00AD01E8">
        <w:rPr>
          <w:rFonts w:ascii="Times New Roman" w:eastAsia="Times New Roman" w:hAnsi="Times New Roman" w:cs="Times New Roman"/>
          <w:i/>
          <w:sz w:val="24"/>
          <w:szCs w:val="24"/>
        </w:rPr>
        <w:t>8</w:t>
      </w:r>
      <w:r w:rsidRPr="00AD01E8">
        <w:rPr>
          <w:rFonts w:ascii="Times New Roman" w:eastAsia="Times New Roman" w:hAnsi="Times New Roman" w:cs="Times New Roman"/>
          <w:sz w:val="24"/>
          <w:szCs w:val="24"/>
        </w:rPr>
        <w:t>, 131723-131740.</w:t>
      </w:r>
    </w:p>
    <w:sectPr w:rsidR="00677C1E" w:rsidRPr="00AD01E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67A88" w14:textId="77777777" w:rsidR="00026982" w:rsidRDefault="00026982">
      <w:pPr>
        <w:spacing w:line="240" w:lineRule="auto"/>
      </w:pPr>
      <w:r>
        <w:separator/>
      </w:r>
    </w:p>
  </w:endnote>
  <w:endnote w:type="continuationSeparator" w:id="0">
    <w:p w14:paraId="03AD7A6A" w14:textId="77777777" w:rsidR="00026982" w:rsidRDefault="000269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8775078"/>
      <w:docPartObj>
        <w:docPartGallery w:val="Page Numbers (Bottom of Page)"/>
        <w:docPartUnique/>
      </w:docPartObj>
    </w:sdtPr>
    <w:sdtEndPr>
      <w:rPr>
        <w:noProof/>
      </w:rPr>
    </w:sdtEndPr>
    <w:sdtContent>
      <w:p w14:paraId="153F5E2A" w14:textId="5F510AC8" w:rsidR="00D4654D" w:rsidRDefault="00D465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81C3A6" w14:textId="77777777" w:rsidR="00D4654D" w:rsidRDefault="00D46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1AF202" w14:textId="77777777" w:rsidR="00026982" w:rsidRDefault="00026982">
      <w:pPr>
        <w:spacing w:line="240" w:lineRule="auto"/>
      </w:pPr>
      <w:r>
        <w:separator/>
      </w:r>
    </w:p>
  </w:footnote>
  <w:footnote w:type="continuationSeparator" w:id="0">
    <w:p w14:paraId="26B4BF12" w14:textId="77777777" w:rsidR="00026982" w:rsidRDefault="0002698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5ED916" w14:textId="1A6BAC94" w:rsidR="00677C1E" w:rsidRDefault="00677C1E">
    <w:pPr>
      <w:jc w:val="right"/>
      <w:rPr>
        <w:rFonts w:ascii="Times New Roman" w:eastAsia="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56798B"/>
    <w:multiLevelType w:val="multilevel"/>
    <w:tmpl w:val="5BC047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565B92"/>
    <w:multiLevelType w:val="hybridMultilevel"/>
    <w:tmpl w:val="4D5424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7C1E"/>
    <w:rsid w:val="00026982"/>
    <w:rsid w:val="0060705A"/>
    <w:rsid w:val="00677C1E"/>
    <w:rsid w:val="007B5BDC"/>
    <w:rsid w:val="00A546A5"/>
    <w:rsid w:val="00AD01E8"/>
    <w:rsid w:val="00D34975"/>
    <w:rsid w:val="00D371A8"/>
    <w:rsid w:val="00D46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1ABB7"/>
  <w15:docId w15:val="{C482D43D-689C-432B-8B41-04F1C4DC5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qFormat/>
    <w:rsid w:val="00D371A8"/>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371A8"/>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60705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0705A"/>
    <w:pPr>
      <w:spacing w:after="100"/>
    </w:pPr>
  </w:style>
  <w:style w:type="paragraph" w:styleId="TOC2">
    <w:name w:val="toc 2"/>
    <w:basedOn w:val="Normal"/>
    <w:next w:val="Normal"/>
    <w:autoRedefine/>
    <w:uiPriority w:val="39"/>
    <w:unhideWhenUsed/>
    <w:rsid w:val="0060705A"/>
    <w:pPr>
      <w:spacing w:after="100"/>
      <w:ind w:left="220"/>
    </w:pPr>
  </w:style>
  <w:style w:type="character" w:styleId="Hyperlink">
    <w:name w:val="Hyperlink"/>
    <w:basedOn w:val="DefaultParagraphFont"/>
    <w:uiPriority w:val="99"/>
    <w:unhideWhenUsed/>
    <w:rsid w:val="0060705A"/>
    <w:rPr>
      <w:color w:val="0000FF" w:themeColor="hyperlink"/>
      <w:u w:val="single"/>
    </w:rPr>
  </w:style>
  <w:style w:type="paragraph" w:styleId="ListParagraph">
    <w:name w:val="List Paragraph"/>
    <w:basedOn w:val="Normal"/>
    <w:uiPriority w:val="34"/>
    <w:qFormat/>
    <w:rsid w:val="00AD01E8"/>
    <w:pPr>
      <w:ind w:left="720"/>
      <w:contextualSpacing/>
    </w:pPr>
  </w:style>
  <w:style w:type="paragraph" w:styleId="Header">
    <w:name w:val="header"/>
    <w:basedOn w:val="Normal"/>
    <w:link w:val="HeaderChar"/>
    <w:uiPriority w:val="99"/>
    <w:unhideWhenUsed/>
    <w:rsid w:val="00D4654D"/>
    <w:pPr>
      <w:tabs>
        <w:tab w:val="center" w:pos="4513"/>
        <w:tab w:val="right" w:pos="9026"/>
      </w:tabs>
      <w:spacing w:line="240" w:lineRule="auto"/>
    </w:pPr>
  </w:style>
  <w:style w:type="character" w:customStyle="1" w:styleId="HeaderChar">
    <w:name w:val="Header Char"/>
    <w:basedOn w:val="DefaultParagraphFont"/>
    <w:link w:val="Header"/>
    <w:uiPriority w:val="99"/>
    <w:rsid w:val="00D4654D"/>
  </w:style>
  <w:style w:type="paragraph" w:styleId="Footer">
    <w:name w:val="footer"/>
    <w:basedOn w:val="Normal"/>
    <w:link w:val="FooterChar"/>
    <w:uiPriority w:val="99"/>
    <w:unhideWhenUsed/>
    <w:rsid w:val="00D4654D"/>
    <w:pPr>
      <w:tabs>
        <w:tab w:val="center" w:pos="4513"/>
        <w:tab w:val="right" w:pos="9026"/>
      </w:tabs>
      <w:spacing w:line="240" w:lineRule="auto"/>
    </w:pPr>
  </w:style>
  <w:style w:type="character" w:customStyle="1" w:styleId="FooterChar">
    <w:name w:val="Footer Char"/>
    <w:basedOn w:val="DefaultParagraphFont"/>
    <w:link w:val="Footer"/>
    <w:uiPriority w:val="99"/>
    <w:rsid w:val="00D46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Sonya Kyuchukova
                                              ID 1818665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BF20A1-2D3A-4958-9738-9AABCEC85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Sonya Kyuchukova</dc:creator>
  <cp:lastModifiedBy>Sonya Kyuchukova</cp:lastModifiedBy>
  <cp:revision>3</cp:revision>
  <dcterms:created xsi:type="dcterms:W3CDTF">2021-01-01T15:38:00Z</dcterms:created>
  <dcterms:modified xsi:type="dcterms:W3CDTF">2021-01-01T15:51:00Z</dcterms:modified>
</cp:coreProperties>
</file>