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54FBF" w14:textId="77777777" w:rsidR="00D84747" w:rsidRDefault="00D84747" w:rsidP="00D84747"/>
    <w:p w14:paraId="7D615163" w14:textId="77777777" w:rsidR="00D84747" w:rsidRDefault="00D84747" w:rsidP="00D84747"/>
    <w:p w14:paraId="197C3E99" w14:textId="77777777" w:rsidR="00D84747" w:rsidRDefault="00D84747" w:rsidP="00D84747"/>
    <w:p w14:paraId="4E7A4255" w14:textId="77777777" w:rsidR="00D84747" w:rsidRDefault="00D84747" w:rsidP="00D84747"/>
    <w:p w14:paraId="434F8D0C" w14:textId="77777777" w:rsidR="00D84747" w:rsidRDefault="00D84747" w:rsidP="00D84747"/>
    <w:p w14:paraId="5DE2DADA" w14:textId="77777777" w:rsidR="00D84747" w:rsidRDefault="00D84747" w:rsidP="00D84747"/>
    <w:p w14:paraId="62F2C0B3" w14:textId="77777777" w:rsidR="00D84747" w:rsidRDefault="00D84747" w:rsidP="00D84747"/>
    <w:p w14:paraId="15D77543" w14:textId="77777777" w:rsidR="00D84747" w:rsidRDefault="00D84747" w:rsidP="00D84747"/>
    <w:p w14:paraId="05BA43D7" w14:textId="77777777" w:rsidR="00D84747" w:rsidRDefault="00D84747" w:rsidP="00D84747"/>
    <w:p w14:paraId="55C940EF" w14:textId="77777777" w:rsidR="00D84747" w:rsidRDefault="00D84747" w:rsidP="00D84747"/>
    <w:p w14:paraId="24CCE2A6" w14:textId="39CD7BA4" w:rsidR="008910D6" w:rsidRPr="00711E75" w:rsidRDefault="00D84747" w:rsidP="00711E75">
      <w:pPr>
        <w:rPr>
          <w:szCs w:val="24"/>
        </w:rPr>
      </w:pPr>
      <w:r w:rsidRPr="00711E75">
        <w:rPr>
          <w:szCs w:val="24"/>
        </w:rPr>
        <w:t>SUSTAINABLE HOSPITALITY &amp; TOURISM MANAGEMENT</w:t>
      </w:r>
      <w:r w:rsidR="00711E75" w:rsidRPr="00711E75">
        <w:rPr>
          <w:szCs w:val="24"/>
        </w:rPr>
        <w:t xml:space="preserve"> BMIH5006</w:t>
      </w:r>
    </w:p>
    <w:p w14:paraId="631FBB44" w14:textId="52E8C001" w:rsidR="001C26F0" w:rsidRPr="00711E75" w:rsidRDefault="00711E75" w:rsidP="00711E75">
      <w:pPr>
        <w:rPr>
          <w:szCs w:val="24"/>
        </w:rPr>
      </w:pPr>
      <w:r w:rsidRPr="00711E75">
        <w:rPr>
          <w:szCs w:val="24"/>
        </w:rPr>
        <w:t>Raquel Vazao</w:t>
      </w:r>
    </w:p>
    <w:p w14:paraId="09EACC79" w14:textId="3D52A654" w:rsidR="00711E75" w:rsidRPr="00711E75" w:rsidRDefault="00711E75" w:rsidP="00711E75">
      <w:pPr>
        <w:rPr>
          <w:szCs w:val="24"/>
        </w:rPr>
      </w:pPr>
      <w:r w:rsidRPr="00711E75">
        <w:rPr>
          <w:szCs w:val="24"/>
        </w:rPr>
        <w:t>Student ID: 2027266</w:t>
      </w:r>
    </w:p>
    <w:p w14:paraId="04AAFBA7" w14:textId="4682A8F7" w:rsidR="00EE231C" w:rsidRDefault="00711E75" w:rsidP="00711E75">
      <w:pPr>
        <w:rPr>
          <w:szCs w:val="24"/>
        </w:rPr>
      </w:pPr>
      <w:r w:rsidRPr="00711E75">
        <w:rPr>
          <w:szCs w:val="24"/>
        </w:rPr>
        <w:t>Kathryn Roberts</w:t>
      </w:r>
    </w:p>
    <w:p w14:paraId="1D98E234" w14:textId="77777777" w:rsidR="00EE231C" w:rsidRDefault="00EE231C">
      <w:pPr>
        <w:spacing w:line="259" w:lineRule="auto"/>
        <w:ind w:firstLine="0"/>
        <w:jc w:val="left"/>
        <w:rPr>
          <w:szCs w:val="24"/>
        </w:rPr>
      </w:pPr>
      <w:r>
        <w:rPr>
          <w:szCs w:val="24"/>
        </w:rPr>
        <w:br w:type="page"/>
      </w:r>
    </w:p>
    <w:p w14:paraId="7C21B7DC" w14:textId="29FE2678" w:rsidR="00EE231C" w:rsidRDefault="00CB0D03" w:rsidP="00CB0D03">
      <w:pPr>
        <w:ind w:firstLine="0"/>
        <w:rPr>
          <w:szCs w:val="24"/>
        </w:rPr>
      </w:pPr>
      <w:r>
        <w:rPr>
          <w:szCs w:val="24"/>
        </w:rPr>
        <w:lastRenderedPageBreak/>
        <w:t xml:space="preserve">Executive Summary </w:t>
      </w:r>
    </w:p>
    <w:p w14:paraId="2B43890D" w14:textId="77777777" w:rsidR="00557C3A" w:rsidRDefault="00557C3A" w:rsidP="00816121">
      <w:pPr>
        <w:rPr>
          <w:szCs w:val="24"/>
        </w:rPr>
      </w:pPr>
    </w:p>
    <w:p w14:paraId="262BCCCC" w14:textId="2ADE3FD5" w:rsidR="00EE231C" w:rsidRPr="00711E75" w:rsidRDefault="00045B7F" w:rsidP="00816121">
      <w:pPr>
        <w:rPr>
          <w:szCs w:val="24"/>
        </w:rPr>
      </w:pPr>
      <w:r w:rsidRPr="00045B7F">
        <w:rPr>
          <w:szCs w:val="24"/>
        </w:rPr>
        <w:t xml:space="preserve">Greenwashing is undermining the credibility of companies claiming to be environmentally responsible, including Hilton Hotels, which has faced accusations of prioritizing profits over genuine sustainability efforts. Their 2030 report emphasizes reducing environmental impact and investing in green operations, yet </w:t>
      </w:r>
      <w:proofErr w:type="spellStart"/>
      <w:r w:rsidRPr="00045B7F">
        <w:rPr>
          <w:szCs w:val="24"/>
        </w:rPr>
        <w:t>skepticism</w:t>
      </w:r>
      <w:proofErr w:type="spellEnd"/>
      <w:r w:rsidRPr="00045B7F">
        <w:rPr>
          <w:szCs w:val="24"/>
        </w:rPr>
        <w:t xml:space="preserve"> remains regarding the sincerity of these initiatives. Consumer doubts about Coffee Co.'s environmental motives suggest a broader issue of trust in corporate sustainability claims. Despite Hilton's efforts appearing successful, a disconnect between stated goals and actual results has led to questions about their effectiveness and honesty. This situation underscores the importance of transparency, consumer awareness, and the critical examination of corporate social responsibility (CSR) practices to ensure authenticity. Sustainable technologies, such as renewable energy and electric vehicles, play a vital role in reducing environmental footprints but require careful consideration of their lifecycle impacts. Addressing greenwashing demands accountability and a genuine alignment of corporate actions with sustainability goals.</w:t>
      </w:r>
    </w:p>
    <w:p w14:paraId="53600C0C" w14:textId="3126F128" w:rsidR="001C26F0" w:rsidRPr="00711E75" w:rsidRDefault="001C26F0" w:rsidP="00711E75">
      <w:pPr>
        <w:rPr>
          <w:szCs w:val="24"/>
        </w:rPr>
      </w:pPr>
      <w:r w:rsidRPr="00711E75">
        <w:rPr>
          <w:szCs w:val="24"/>
        </w:rPr>
        <w:br w:type="page"/>
      </w:r>
    </w:p>
    <w:p w14:paraId="26BB1B3A" w14:textId="77777777" w:rsidR="001C26F0" w:rsidRPr="00711E75" w:rsidRDefault="001C26F0" w:rsidP="00711E75">
      <w:pPr>
        <w:rPr>
          <w:szCs w:val="24"/>
        </w:rPr>
      </w:pPr>
    </w:p>
    <w:sdt>
      <w:sdtPr>
        <w:rPr>
          <w:rFonts w:ascii="Arial" w:eastAsiaTheme="minorHAnsi" w:hAnsi="Arial" w:cs="Arial"/>
          <w:color w:val="auto"/>
          <w:sz w:val="24"/>
          <w:szCs w:val="24"/>
          <w:lang w:val="en-GB"/>
        </w:rPr>
        <w:id w:val="-432206169"/>
        <w:docPartObj>
          <w:docPartGallery w:val="Table of Contents"/>
          <w:docPartUnique/>
        </w:docPartObj>
      </w:sdtPr>
      <w:sdtEndPr>
        <w:rPr>
          <w:noProof/>
        </w:rPr>
      </w:sdtEndPr>
      <w:sdtContent>
        <w:p w14:paraId="73104500" w14:textId="77777777" w:rsidR="0050089B" w:rsidRPr="00711E75" w:rsidRDefault="00BE14B2" w:rsidP="00711E75">
          <w:pPr>
            <w:pStyle w:val="TOCHeading"/>
            <w:spacing w:line="360" w:lineRule="auto"/>
            <w:jc w:val="both"/>
            <w:rPr>
              <w:rFonts w:ascii="Arial" w:hAnsi="Arial" w:cs="Arial"/>
              <w:color w:val="auto"/>
              <w:sz w:val="24"/>
              <w:szCs w:val="24"/>
            </w:rPr>
          </w:pPr>
          <w:r w:rsidRPr="00711E75">
            <w:rPr>
              <w:rFonts w:ascii="Arial" w:hAnsi="Arial" w:cs="Arial"/>
              <w:color w:val="auto"/>
              <w:sz w:val="24"/>
              <w:szCs w:val="24"/>
            </w:rPr>
            <w:t>Table of Contents</w:t>
          </w:r>
        </w:p>
        <w:p w14:paraId="3C89C913" w14:textId="41D1B6C0" w:rsidR="00557C3A" w:rsidRDefault="00BE14B2">
          <w:pPr>
            <w:pStyle w:val="TOC1"/>
            <w:tabs>
              <w:tab w:val="right" w:leader="dot" w:pos="9350"/>
            </w:tabs>
            <w:rPr>
              <w:rFonts w:asciiTheme="minorHAnsi" w:eastAsiaTheme="minorEastAsia" w:hAnsiTheme="minorHAnsi" w:cstheme="minorBidi"/>
              <w:noProof/>
              <w:kern w:val="2"/>
              <w:sz w:val="22"/>
              <w:lang w:val="pt-PT" w:eastAsia="pt-PT"/>
              <w14:ligatures w14:val="standardContextual"/>
            </w:rPr>
          </w:pPr>
          <w:r w:rsidRPr="00711E75">
            <w:rPr>
              <w:szCs w:val="24"/>
            </w:rPr>
            <w:fldChar w:fldCharType="begin"/>
          </w:r>
          <w:r w:rsidRPr="00711E75">
            <w:rPr>
              <w:szCs w:val="24"/>
            </w:rPr>
            <w:instrText xml:space="preserve"> TOC \o "1-3" \h \z \u </w:instrText>
          </w:r>
          <w:r w:rsidRPr="00711E75">
            <w:rPr>
              <w:szCs w:val="24"/>
            </w:rPr>
            <w:fldChar w:fldCharType="separate"/>
          </w:r>
          <w:hyperlink w:anchor="_Toc160040368" w:history="1">
            <w:r w:rsidR="00557C3A" w:rsidRPr="00A435DD">
              <w:rPr>
                <w:rStyle w:val="Hyperlink"/>
                <w:noProof/>
              </w:rPr>
              <w:t>Introduction</w:t>
            </w:r>
            <w:r w:rsidR="00557C3A">
              <w:rPr>
                <w:noProof/>
                <w:webHidden/>
              </w:rPr>
              <w:tab/>
            </w:r>
            <w:r w:rsidR="00557C3A">
              <w:rPr>
                <w:noProof/>
                <w:webHidden/>
              </w:rPr>
              <w:fldChar w:fldCharType="begin"/>
            </w:r>
            <w:r w:rsidR="00557C3A">
              <w:rPr>
                <w:noProof/>
                <w:webHidden/>
              </w:rPr>
              <w:instrText xml:space="preserve"> PAGEREF _Toc160040368 \h </w:instrText>
            </w:r>
            <w:r w:rsidR="00557C3A">
              <w:rPr>
                <w:noProof/>
                <w:webHidden/>
              </w:rPr>
            </w:r>
            <w:r w:rsidR="00557C3A">
              <w:rPr>
                <w:noProof/>
                <w:webHidden/>
              </w:rPr>
              <w:fldChar w:fldCharType="separate"/>
            </w:r>
            <w:r w:rsidR="00557C3A">
              <w:rPr>
                <w:noProof/>
                <w:webHidden/>
              </w:rPr>
              <w:t>4</w:t>
            </w:r>
            <w:r w:rsidR="00557C3A">
              <w:rPr>
                <w:noProof/>
                <w:webHidden/>
              </w:rPr>
              <w:fldChar w:fldCharType="end"/>
            </w:r>
          </w:hyperlink>
        </w:p>
        <w:p w14:paraId="0CF3BABE" w14:textId="7104C57C" w:rsidR="00557C3A" w:rsidRDefault="00557C3A">
          <w:pPr>
            <w:pStyle w:val="TOC2"/>
            <w:tabs>
              <w:tab w:val="right" w:leader="dot" w:pos="9350"/>
            </w:tabs>
            <w:rPr>
              <w:rFonts w:asciiTheme="minorHAnsi" w:eastAsiaTheme="minorEastAsia" w:hAnsiTheme="minorHAnsi" w:cstheme="minorBidi"/>
              <w:noProof/>
              <w:kern w:val="2"/>
              <w:sz w:val="22"/>
              <w:lang w:val="pt-PT" w:eastAsia="pt-PT"/>
              <w14:ligatures w14:val="standardContextual"/>
            </w:rPr>
          </w:pPr>
          <w:hyperlink w:anchor="_Toc160040369" w:history="1">
            <w:r w:rsidRPr="00A435DD">
              <w:rPr>
                <w:rStyle w:val="Hyperlink"/>
                <w:noProof/>
              </w:rPr>
              <w:t>Critical analysis of CSR at Hilton corporate</w:t>
            </w:r>
            <w:r>
              <w:rPr>
                <w:noProof/>
                <w:webHidden/>
              </w:rPr>
              <w:tab/>
            </w:r>
            <w:r>
              <w:rPr>
                <w:noProof/>
                <w:webHidden/>
              </w:rPr>
              <w:fldChar w:fldCharType="begin"/>
            </w:r>
            <w:r>
              <w:rPr>
                <w:noProof/>
                <w:webHidden/>
              </w:rPr>
              <w:instrText xml:space="preserve"> PAGEREF _Toc160040369 \h </w:instrText>
            </w:r>
            <w:r>
              <w:rPr>
                <w:noProof/>
                <w:webHidden/>
              </w:rPr>
            </w:r>
            <w:r>
              <w:rPr>
                <w:noProof/>
                <w:webHidden/>
              </w:rPr>
              <w:fldChar w:fldCharType="separate"/>
            </w:r>
            <w:r>
              <w:rPr>
                <w:noProof/>
                <w:webHidden/>
              </w:rPr>
              <w:t>5</w:t>
            </w:r>
            <w:r>
              <w:rPr>
                <w:noProof/>
                <w:webHidden/>
              </w:rPr>
              <w:fldChar w:fldCharType="end"/>
            </w:r>
          </w:hyperlink>
        </w:p>
        <w:p w14:paraId="7D4FC085" w14:textId="5E9BC7EF" w:rsidR="00557C3A" w:rsidRDefault="00557C3A">
          <w:pPr>
            <w:pStyle w:val="TOC2"/>
            <w:tabs>
              <w:tab w:val="right" w:leader="dot" w:pos="9350"/>
            </w:tabs>
            <w:rPr>
              <w:rFonts w:asciiTheme="minorHAnsi" w:eastAsiaTheme="minorEastAsia" w:hAnsiTheme="minorHAnsi" w:cstheme="minorBidi"/>
              <w:noProof/>
              <w:kern w:val="2"/>
              <w:sz w:val="22"/>
              <w:lang w:val="pt-PT" w:eastAsia="pt-PT"/>
              <w14:ligatures w14:val="standardContextual"/>
            </w:rPr>
          </w:pPr>
          <w:hyperlink w:anchor="_Toc160040370" w:history="1">
            <w:r w:rsidRPr="00A435DD">
              <w:rPr>
                <w:rStyle w:val="Hyperlink"/>
                <w:noProof/>
              </w:rPr>
              <w:t>The principle of greenwashing</w:t>
            </w:r>
            <w:r>
              <w:rPr>
                <w:noProof/>
                <w:webHidden/>
              </w:rPr>
              <w:tab/>
            </w:r>
            <w:r>
              <w:rPr>
                <w:noProof/>
                <w:webHidden/>
              </w:rPr>
              <w:fldChar w:fldCharType="begin"/>
            </w:r>
            <w:r>
              <w:rPr>
                <w:noProof/>
                <w:webHidden/>
              </w:rPr>
              <w:instrText xml:space="preserve"> PAGEREF _Toc160040370 \h </w:instrText>
            </w:r>
            <w:r>
              <w:rPr>
                <w:noProof/>
                <w:webHidden/>
              </w:rPr>
            </w:r>
            <w:r>
              <w:rPr>
                <w:noProof/>
                <w:webHidden/>
              </w:rPr>
              <w:fldChar w:fldCharType="separate"/>
            </w:r>
            <w:r>
              <w:rPr>
                <w:noProof/>
                <w:webHidden/>
              </w:rPr>
              <w:t>5</w:t>
            </w:r>
            <w:r>
              <w:rPr>
                <w:noProof/>
                <w:webHidden/>
              </w:rPr>
              <w:fldChar w:fldCharType="end"/>
            </w:r>
          </w:hyperlink>
        </w:p>
        <w:p w14:paraId="7799A2AD" w14:textId="7C523E00" w:rsidR="00557C3A" w:rsidRDefault="00557C3A">
          <w:pPr>
            <w:pStyle w:val="TOC2"/>
            <w:tabs>
              <w:tab w:val="right" w:leader="dot" w:pos="9350"/>
            </w:tabs>
            <w:rPr>
              <w:rFonts w:asciiTheme="minorHAnsi" w:eastAsiaTheme="minorEastAsia" w:hAnsiTheme="minorHAnsi" w:cstheme="minorBidi"/>
              <w:noProof/>
              <w:kern w:val="2"/>
              <w:sz w:val="22"/>
              <w:lang w:val="pt-PT" w:eastAsia="pt-PT"/>
              <w14:ligatures w14:val="standardContextual"/>
            </w:rPr>
          </w:pPr>
          <w:hyperlink w:anchor="_Toc160040371" w:history="1">
            <w:r w:rsidRPr="00A435DD">
              <w:rPr>
                <w:rStyle w:val="Hyperlink"/>
                <w:noProof/>
              </w:rPr>
              <w:t>Greenwashing challenges for Hilton corporate</w:t>
            </w:r>
            <w:r>
              <w:rPr>
                <w:noProof/>
                <w:webHidden/>
              </w:rPr>
              <w:tab/>
            </w:r>
            <w:r>
              <w:rPr>
                <w:noProof/>
                <w:webHidden/>
              </w:rPr>
              <w:fldChar w:fldCharType="begin"/>
            </w:r>
            <w:r>
              <w:rPr>
                <w:noProof/>
                <w:webHidden/>
              </w:rPr>
              <w:instrText xml:space="preserve"> PAGEREF _Toc160040371 \h </w:instrText>
            </w:r>
            <w:r>
              <w:rPr>
                <w:noProof/>
                <w:webHidden/>
              </w:rPr>
            </w:r>
            <w:r>
              <w:rPr>
                <w:noProof/>
                <w:webHidden/>
              </w:rPr>
              <w:fldChar w:fldCharType="separate"/>
            </w:r>
            <w:r>
              <w:rPr>
                <w:noProof/>
                <w:webHidden/>
              </w:rPr>
              <w:t>6</w:t>
            </w:r>
            <w:r>
              <w:rPr>
                <w:noProof/>
                <w:webHidden/>
              </w:rPr>
              <w:fldChar w:fldCharType="end"/>
            </w:r>
          </w:hyperlink>
        </w:p>
        <w:p w14:paraId="5C02CA7F" w14:textId="6FD650B6" w:rsidR="00557C3A" w:rsidRDefault="00557C3A">
          <w:pPr>
            <w:pStyle w:val="TOC2"/>
            <w:tabs>
              <w:tab w:val="right" w:leader="dot" w:pos="9350"/>
            </w:tabs>
            <w:rPr>
              <w:rFonts w:asciiTheme="minorHAnsi" w:eastAsiaTheme="minorEastAsia" w:hAnsiTheme="minorHAnsi" w:cstheme="minorBidi"/>
              <w:noProof/>
              <w:kern w:val="2"/>
              <w:sz w:val="22"/>
              <w:lang w:val="pt-PT" w:eastAsia="pt-PT"/>
              <w14:ligatures w14:val="standardContextual"/>
            </w:rPr>
          </w:pPr>
          <w:hyperlink w:anchor="_Toc160040372" w:history="1">
            <w:r w:rsidRPr="00A435DD">
              <w:rPr>
                <w:rStyle w:val="Hyperlink"/>
                <w:noProof/>
              </w:rPr>
              <w:t>Hilton corporate self-evaluation technique</w:t>
            </w:r>
            <w:r>
              <w:rPr>
                <w:noProof/>
                <w:webHidden/>
              </w:rPr>
              <w:tab/>
            </w:r>
            <w:r>
              <w:rPr>
                <w:noProof/>
                <w:webHidden/>
              </w:rPr>
              <w:fldChar w:fldCharType="begin"/>
            </w:r>
            <w:r>
              <w:rPr>
                <w:noProof/>
                <w:webHidden/>
              </w:rPr>
              <w:instrText xml:space="preserve"> PAGEREF _Toc160040372 \h </w:instrText>
            </w:r>
            <w:r>
              <w:rPr>
                <w:noProof/>
                <w:webHidden/>
              </w:rPr>
            </w:r>
            <w:r>
              <w:rPr>
                <w:noProof/>
                <w:webHidden/>
              </w:rPr>
              <w:fldChar w:fldCharType="separate"/>
            </w:r>
            <w:r>
              <w:rPr>
                <w:noProof/>
                <w:webHidden/>
              </w:rPr>
              <w:t>7</w:t>
            </w:r>
            <w:r>
              <w:rPr>
                <w:noProof/>
                <w:webHidden/>
              </w:rPr>
              <w:fldChar w:fldCharType="end"/>
            </w:r>
          </w:hyperlink>
        </w:p>
        <w:p w14:paraId="721F4985" w14:textId="299BEEBF" w:rsidR="00557C3A" w:rsidRDefault="00557C3A">
          <w:pPr>
            <w:pStyle w:val="TOC2"/>
            <w:tabs>
              <w:tab w:val="right" w:leader="dot" w:pos="9350"/>
            </w:tabs>
            <w:rPr>
              <w:rFonts w:asciiTheme="minorHAnsi" w:eastAsiaTheme="minorEastAsia" w:hAnsiTheme="minorHAnsi" w:cstheme="minorBidi"/>
              <w:noProof/>
              <w:kern w:val="2"/>
              <w:sz w:val="22"/>
              <w:lang w:val="pt-PT" w:eastAsia="pt-PT"/>
              <w14:ligatures w14:val="standardContextual"/>
            </w:rPr>
          </w:pPr>
          <w:hyperlink w:anchor="_Toc160040373" w:history="1">
            <w:r w:rsidRPr="00A435DD">
              <w:rPr>
                <w:rStyle w:val="Hyperlink"/>
                <w:noProof/>
              </w:rPr>
              <w:t>Recommendations</w:t>
            </w:r>
            <w:r>
              <w:rPr>
                <w:noProof/>
                <w:webHidden/>
              </w:rPr>
              <w:tab/>
            </w:r>
            <w:r>
              <w:rPr>
                <w:noProof/>
                <w:webHidden/>
              </w:rPr>
              <w:fldChar w:fldCharType="begin"/>
            </w:r>
            <w:r>
              <w:rPr>
                <w:noProof/>
                <w:webHidden/>
              </w:rPr>
              <w:instrText xml:space="preserve"> PAGEREF _Toc160040373 \h </w:instrText>
            </w:r>
            <w:r>
              <w:rPr>
                <w:noProof/>
                <w:webHidden/>
              </w:rPr>
            </w:r>
            <w:r>
              <w:rPr>
                <w:noProof/>
                <w:webHidden/>
              </w:rPr>
              <w:fldChar w:fldCharType="separate"/>
            </w:r>
            <w:r>
              <w:rPr>
                <w:noProof/>
                <w:webHidden/>
              </w:rPr>
              <w:t>8</w:t>
            </w:r>
            <w:r>
              <w:rPr>
                <w:noProof/>
                <w:webHidden/>
              </w:rPr>
              <w:fldChar w:fldCharType="end"/>
            </w:r>
          </w:hyperlink>
        </w:p>
        <w:p w14:paraId="355455EC" w14:textId="7C0703D6" w:rsidR="00557C3A" w:rsidRDefault="00557C3A">
          <w:pPr>
            <w:pStyle w:val="TOC1"/>
            <w:tabs>
              <w:tab w:val="right" w:leader="dot" w:pos="9350"/>
            </w:tabs>
            <w:rPr>
              <w:rFonts w:asciiTheme="minorHAnsi" w:eastAsiaTheme="minorEastAsia" w:hAnsiTheme="minorHAnsi" w:cstheme="minorBidi"/>
              <w:noProof/>
              <w:kern w:val="2"/>
              <w:sz w:val="22"/>
              <w:lang w:val="pt-PT" w:eastAsia="pt-PT"/>
              <w14:ligatures w14:val="standardContextual"/>
            </w:rPr>
          </w:pPr>
          <w:hyperlink w:anchor="_Toc160040374" w:history="1">
            <w:r w:rsidRPr="00A435DD">
              <w:rPr>
                <w:rStyle w:val="Hyperlink"/>
                <w:noProof/>
              </w:rPr>
              <w:t>Conclusion</w:t>
            </w:r>
            <w:r>
              <w:rPr>
                <w:noProof/>
                <w:webHidden/>
              </w:rPr>
              <w:tab/>
            </w:r>
            <w:r>
              <w:rPr>
                <w:noProof/>
                <w:webHidden/>
              </w:rPr>
              <w:fldChar w:fldCharType="begin"/>
            </w:r>
            <w:r>
              <w:rPr>
                <w:noProof/>
                <w:webHidden/>
              </w:rPr>
              <w:instrText xml:space="preserve"> PAGEREF _Toc160040374 \h </w:instrText>
            </w:r>
            <w:r>
              <w:rPr>
                <w:noProof/>
                <w:webHidden/>
              </w:rPr>
            </w:r>
            <w:r>
              <w:rPr>
                <w:noProof/>
                <w:webHidden/>
              </w:rPr>
              <w:fldChar w:fldCharType="separate"/>
            </w:r>
            <w:r>
              <w:rPr>
                <w:noProof/>
                <w:webHidden/>
              </w:rPr>
              <w:t>9</w:t>
            </w:r>
            <w:r>
              <w:rPr>
                <w:noProof/>
                <w:webHidden/>
              </w:rPr>
              <w:fldChar w:fldCharType="end"/>
            </w:r>
          </w:hyperlink>
        </w:p>
        <w:p w14:paraId="7F711A12" w14:textId="751111A1" w:rsidR="00557C3A" w:rsidRDefault="00557C3A">
          <w:pPr>
            <w:pStyle w:val="TOC1"/>
            <w:tabs>
              <w:tab w:val="right" w:leader="dot" w:pos="9350"/>
            </w:tabs>
            <w:rPr>
              <w:rFonts w:asciiTheme="minorHAnsi" w:eastAsiaTheme="minorEastAsia" w:hAnsiTheme="minorHAnsi" w:cstheme="minorBidi"/>
              <w:noProof/>
              <w:kern w:val="2"/>
              <w:sz w:val="22"/>
              <w:lang w:val="pt-PT" w:eastAsia="pt-PT"/>
              <w14:ligatures w14:val="standardContextual"/>
            </w:rPr>
          </w:pPr>
          <w:hyperlink w:anchor="_Toc160040375" w:history="1">
            <w:r w:rsidRPr="00A435DD">
              <w:rPr>
                <w:rStyle w:val="Hyperlink"/>
                <w:noProof/>
              </w:rPr>
              <w:t>References</w:t>
            </w:r>
            <w:r>
              <w:rPr>
                <w:noProof/>
                <w:webHidden/>
              </w:rPr>
              <w:tab/>
            </w:r>
            <w:r>
              <w:rPr>
                <w:noProof/>
                <w:webHidden/>
              </w:rPr>
              <w:fldChar w:fldCharType="begin"/>
            </w:r>
            <w:r>
              <w:rPr>
                <w:noProof/>
                <w:webHidden/>
              </w:rPr>
              <w:instrText xml:space="preserve"> PAGEREF _Toc160040375 \h </w:instrText>
            </w:r>
            <w:r>
              <w:rPr>
                <w:noProof/>
                <w:webHidden/>
              </w:rPr>
            </w:r>
            <w:r>
              <w:rPr>
                <w:noProof/>
                <w:webHidden/>
              </w:rPr>
              <w:fldChar w:fldCharType="separate"/>
            </w:r>
            <w:r>
              <w:rPr>
                <w:noProof/>
                <w:webHidden/>
              </w:rPr>
              <w:t>11</w:t>
            </w:r>
            <w:r>
              <w:rPr>
                <w:noProof/>
                <w:webHidden/>
              </w:rPr>
              <w:fldChar w:fldCharType="end"/>
            </w:r>
          </w:hyperlink>
        </w:p>
        <w:p w14:paraId="75C92778" w14:textId="31020E7D" w:rsidR="0050089B" w:rsidRPr="00711E75" w:rsidRDefault="00BE14B2" w:rsidP="00711E75">
          <w:pPr>
            <w:rPr>
              <w:szCs w:val="24"/>
            </w:rPr>
          </w:pPr>
          <w:r w:rsidRPr="00711E75">
            <w:rPr>
              <w:noProof/>
              <w:szCs w:val="24"/>
            </w:rPr>
            <w:fldChar w:fldCharType="end"/>
          </w:r>
        </w:p>
      </w:sdtContent>
    </w:sdt>
    <w:p w14:paraId="40FC0F6B" w14:textId="77777777" w:rsidR="0050089B" w:rsidRPr="00711E75" w:rsidRDefault="00BE14B2" w:rsidP="00711E75">
      <w:pPr>
        <w:rPr>
          <w:rFonts w:eastAsiaTheme="majorEastAsia"/>
          <w:color w:val="000000" w:themeColor="text1"/>
          <w:szCs w:val="24"/>
        </w:rPr>
      </w:pPr>
      <w:r w:rsidRPr="00711E75">
        <w:rPr>
          <w:szCs w:val="24"/>
        </w:rPr>
        <w:br w:type="page"/>
      </w:r>
    </w:p>
    <w:p w14:paraId="20E85A35" w14:textId="77777777" w:rsidR="00C82234" w:rsidRPr="00711E75" w:rsidRDefault="00BE14B2" w:rsidP="00711E75">
      <w:pPr>
        <w:pStyle w:val="Heading1"/>
        <w:rPr>
          <w:sz w:val="24"/>
          <w:szCs w:val="24"/>
        </w:rPr>
      </w:pPr>
      <w:bookmarkStart w:id="0" w:name="_Toc160040368"/>
      <w:r w:rsidRPr="00711E75">
        <w:rPr>
          <w:sz w:val="24"/>
          <w:szCs w:val="24"/>
        </w:rPr>
        <w:lastRenderedPageBreak/>
        <w:t>Introduction</w:t>
      </w:r>
      <w:bookmarkEnd w:id="0"/>
      <w:r w:rsidRPr="00711E75">
        <w:rPr>
          <w:sz w:val="24"/>
          <w:szCs w:val="24"/>
        </w:rPr>
        <w:t xml:space="preserve"> </w:t>
      </w:r>
    </w:p>
    <w:p w14:paraId="0CD97108" w14:textId="67AA4746" w:rsidR="008910D6" w:rsidRPr="00711E75" w:rsidRDefault="00BE14B2" w:rsidP="00711E75">
      <w:pPr>
        <w:rPr>
          <w:szCs w:val="24"/>
        </w:rPr>
      </w:pPr>
      <w:r w:rsidRPr="00711E75">
        <w:rPr>
          <w:szCs w:val="24"/>
        </w:rPr>
        <w:t>Greenwashing is misrepresenting a firm as environmentally responsible when its actions may not support this assertion, eroding trust in sustainability initiatives</w:t>
      </w:r>
      <w:r w:rsidR="00494B57">
        <w:rPr>
          <w:szCs w:val="24"/>
        </w:rPr>
        <w:t xml:space="preserve"> </w:t>
      </w:r>
      <w:r w:rsidR="00494B57" w:rsidRPr="00711E75">
        <w:rPr>
          <w:szCs w:val="24"/>
        </w:rPr>
        <w:t>(Flue et al., 2024)</w:t>
      </w:r>
      <w:r w:rsidRPr="00711E75">
        <w:rPr>
          <w:szCs w:val="24"/>
        </w:rPr>
        <w:t>. As environmental awareness becomes one of the basic needs, consumers now look for green companies</w:t>
      </w:r>
      <w:r w:rsidR="00037CF0" w:rsidRPr="00711E75">
        <w:rPr>
          <w:szCs w:val="24"/>
        </w:rPr>
        <w:t xml:space="preserve"> (Suarez et al., 2018)</w:t>
      </w:r>
      <w:r w:rsidRPr="00711E75">
        <w:rPr>
          <w:szCs w:val="24"/>
        </w:rPr>
        <w:t>. On the other hand, what gives rise to greenwashing is seeking sustainability looks over real environmental ethics. Companies, may do it by retaining their desire to boost profits or attracting customer bases to improve their corporate image</w:t>
      </w:r>
      <w:r w:rsidR="00C45BB7" w:rsidRPr="00711E75">
        <w:rPr>
          <w:szCs w:val="24"/>
        </w:rPr>
        <w:t xml:space="preserve"> (Flue et al., 2024)</w:t>
      </w:r>
      <w:r w:rsidRPr="00711E75">
        <w:rPr>
          <w:szCs w:val="24"/>
        </w:rPr>
        <w:t>.</w:t>
      </w:r>
    </w:p>
    <w:p w14:paraId="0CD20837" w14:textId="77777777" w:rsidR="008910D6" w:rsidRPr="00711E75" w:rsidRDefault="00BE14B2" w:rsidP="00711E75">
      <w:pPr>
        <w:rPr>
          <w:szCs w:val="24"/>
        </w:rPr>
      </w:pPr>
      <w:r w:rsidRPr="00711E75">
        <w:rPr>
          <w:szCs w:val="24"/>
        </w:rPr>
        <w:t xml:space="preserve"> Moreover, greenwashing allegations have emerged against Hilton Hotels for years. The company launched the “Travel with Purpose 2030 Goals” report in 2018, which defined its intention of minimising environmental imprint and doubling investments into environmentally oriented activities. On the other hand, some consumers argue that Hilton’s initiatives may </w:t>
      </w:r>
      <w:r w:rsidR="001E1D07" w:rsidRPr="00711E75">
        <w:rPr>
          <w:szCs w:val="24"/>
        </w:rPr>
        <w:t>rely</w:t>
      </w:r>
      <w:r w:rsidRPr="00711E75">
        <w:rPr>
          <w:szCs w:val="24"/>
        </w:rPr>
        <w:t xml:space="preserve"> more on profit motives than actual environmental concerns. One such example dates from 2007, when Tourism Concern accused Hilton of greenwashing. The organization alleged that Hilton, despite advocating for environmentally friendly practices, continued to cause environmental damage by uprooting the palm trees and mangroves in paving the way for the construction of its luxurious complex, the Hilton Complex Resort on Mandhoo Island. Regarding evaluations, Hilton performs self-evaluations and issues reports like the "Travel with Purpose 2030 Goals." Although these are some shortcomings of </w:t>
      </w:r>
      <w:r w:rsidR="001E1D07" w:rsidRPr="00711E75">
        <w:rPr>
          <w:szCs w:val="24"/>
        </w:rPr>
        <w:t>third-party</w:t>
      </w:r>
      <w:r w:rsidRPr="00711E75">
        <w:rPr>
          <w:szCs w:val="24"/>
        </w:rPr>
        <w:t xml:space="preserve"> evaluation, they provide valuable information about a company's efforts towards sustainability initiatives. Hilton's pledge to cut carbon emissions by 61 per cent and double investment in the environment indicates a rigorous evaluation framework</w:t>
      </w:r>
      <w:r w:rsidR="00304758" w:rsidRPr="00711E75">
        <w:rPr>
          <w:szCs w:val="24"/>
        </w:rPr>
        <w:t xml:space="preserve"> (Majeed and Kim, 2022)</w:t>
      </w:r>
      <w:r w:rsidRPr="00711E75">
        <w:rPr>
          <w:szCs w:val="24"/>
        </w:rPr>
        <w:t>.</w:t>
      </w:r>
    </w:p>
    <w:p w14:paraId="7091E451" w14:textId="77777777" w:rsidR="008910D6" w:rsidRPr="00711E75" w:rsidRDefault="00BE14B2" w:rsidP="00711E75">
      <w:pPr>
        <w:rPr>
          <w:szCs w:val="24"/>
        </w:rPr>
      </w:pPr>
      <w:r w:rsidRPr="00711E75">
        <w:rPr>
          <w:szCs w:val="24"/>
        </w:rPr>
        <w:t>Nevertheless, the validity of such assessments is under question what with charges being laid on harm caused to environment in particular undertakings. Third-party certifications or independent assessments would be beneficial for Hilton to increase transparency and credibility. This would lead to a more objective evaluation of their sustainability activities</w:t>
      </w:r>
      <w:r w:rsidR="00A77E66" w:rsidRPr="00711E75">
        <w:rPr>
          <w:szCs w:val="24"/>
        </w:rPr>
        <w:t xml:space="preserve"> (Wong and Kim, 2020)</w:t>
      </w:r>
      <w:r w:rsidR="00351E96" w:rsidRPr="00711E75">
        <w:rPr>
          <w:szCs w:val="24"/>
        </w:rPr>
        <w:t xml:space="preserve">. </w:t>
      </w:r>
    </w:p>
    <w:p w14:paraId="27F0FC6D" w14:textId="77777777" w:rsidR="00351E96" w:rsidRPr="00711E75" w:rsidRDefault="00BE14B2" w:rsidP="00711E75">
      <w:pPr>
        <w:pStyle w:val="Heading2"/>
        <w:rPr>
          <w:rFonts w:cs="Arial"/>
          <w:szCs w:val="24"/>
        </w:rPr>
      </w:pPr>
      <w:bookmarkStart w:id="1" w:name="_Toc160040369"/>
      <w:r w:rsidRPr="00711E75">
        <w:rPr>
          <w:rFonts w:cs="Arial"/>
          <w:szCs w:val="24"/>
        </w:rPr>
        <w:lastRenderedPageBreak/>
        <w:t>Critical analysis of CSR at Hilton corporate</w:t>
      </w:r>
      <w:bookmarkEnd w:id="1"/>
      <w:r w:rsidRPr="00711E75">
        <w:rPr>
          <w:rFonts w:cs="Arial"/>
          <w:szCs w:val="24"/>
        </w:rPr>
        <w:t xml:space="preserve"> </w:t>
      </w:r>
    </w:p>
    <w:p w14:paraId="6310A4F5" w14:textId="77777777" w:rsidR="00470D0D" w:rsidRPr="00711E75" w:rsidRDefault="00BE14B2" w:rsidP="00711E75">
      <w:pPr>
        <w:rPr>
          <w:szCs w:val="24"/>
        </w:rPr>
      </w:pPr>
      <w:r w:rsidRPr="00711E75">
        <w:rPr>
          <w:szCs w:val="24"/>
        </w:rPr>
        <w:t>The company report, Travel with Purpose 2030 goals, demonstrates that Hilton's CSR initiatives appear to be sufficiently expansive on the surface, reflecting a desire for sustainability-oriented and responsible business activities. Still, when you critically analyse, both pros and cons surface. Among the key positive points, Hilton's approaches to minimizing its environmental footprint</w:t>
      </w:r>
      <w:r w:rsidR="001475F8" w:rsidRPr="00711E75">
        <w:rPr>
          <w:szCs w:val="24"/>
        </w:rPr>
        <w:t xml:space="preserve"> (</w:t>
      </w:r>
      <w:proofErr w:type="spellStart"/>
      <w:r w:rsidR="001475F8" w:rsidRPr="00711E75">
        <w:rPr>
          <w:szCs w:val="24"/>
        </w:rPr>
        <w:t>Bothello</w:t>
      </w:r>
      <w:proofErr w:type="spellEnd"/>
      <w:r w:rsidR="001475F8" w:rsidRPr="00711E75">
        <w:rPr>
          <w:szCs w:val="24"/>
        </w:rPr>
        <w:t xml:space="preserve"> et al., 2023)</w:t>
      </w:r>
      <w:r w:rsidRPr="00711E75">
        <w:rPr>
          <w:szCs w:val="24"/>
        </w:rPr>
        <w:t>.</w:t>
      </w:r>
    </w:p>
    <w:p w14:paraId="10953029" w14:textId="77777777" w:rsidR="00470D0D" w:rsidRPr="00711E75" w:rsidRDefault="00BE14B2" w:rsidP="00711E75">
      <w:pPr>
        <w:rPr>
          <w:szCs w:val="24"/>
        </w:rPr>
      </w:pPr>
      <w:r w:rsidRPr="00711E75">
        <w:rPr>
          <w:szCs w:val="24"/>
        </w:rPr>
        <w:t xml:space="preserve"> The objective of reducing carbon emissions by 61% and doubling the investments towards environmental activities by the year 2030 proves that sustainability is a long-term goal. Ethical emphasis on responsible sourcing, local partnerships and animal welfare in the supply chain also supports CSR principles</w:t>
      </w:r>
      <w:r w:rsidR="00304758" w:rsidRPr="00711E75">
        <w:rPr>
          <w:szCs w:val="24"/>
        </w:rPr>
        <w:t xml:space="preserve"> (Muhammad, 2019)</w:t>
      </w:r>
      <w:r w:rsidRPr="00711E75">
        <w:rPr>
          <w:szCs w:val="24"/>
        </w:rPr>
        <w:t>. Nevertheless, such doubts arise when analysing projects like Bimini Bay Resort and Casino in the Bahamas or Hilton Maldives Resorts on Mandhoo Island. Environmental damage accusations, alongside failed pledges to local residents, bring into doubt the authenticity of Hilton's CSR commitment. The divergence between CSR commitments and the ground realities in these cases suggests that there needs to be more rhetoric compared to practice</w:t>
      </w:r>
      <w:r w:rsidR="006C406B" w:rsidRPr="00711E75">
        <w:rPr>
          <w:szCs w:val="24"/>
        </w:rPr>
        <w:t xml:space="preserve"> (Ahmad et al., 2023)</w:t>
      </w:r>
      <w:r w:rsidRPr="00711E75">
        <w:rPr>
          <w:szCs w:val="24"/>
        </w:rPr>
        <w:t>.</w:t>
      </w:r>
    </w:p>
    <w:p w14:paraId="4665509D" w14:textId="77777777" w:rsidR="00470D0D" w:rsidRPr="00711E75" w:rsidRDefault="00BE14B2" w:rsidP="00711E75">
      <w:pPr>
        <w:rPr>
          <w:szCs w:val="24"/>
        </w:rPr>
      </w:pPr>
      <w:r w:rsidRPr="00711E75">
        <w:rPr>
          <w:szCs w:val="24"/>
        </w:rPr>
        <w:t xml:space="preserve">In addition, the failure of Hilton to respond promptly to these allegations is an issue of transparency. CSR should not only imply promising but also take accountability for the consequences. However, the lack of an evident response to accusations from organizations like Tourism Concern creates questions about whether Hilton is genuinely dedicated to corporate social responsibility. Another aspect to </w:t>
      </w:r>
      <w:r w:rsidR="002303DA" w:rsidRPr="00711E75">
        <w:rPr>
          <w:szCs w:val="24"/>
        </w:rPr>
        <w:t>consider</w:t>
      </w:r>
      <w:r w:rsidRPr="00711E75">
        <w:rPr>
          <w:szCs w:val="24"/>
        </w:rPr>
        <w:t xml:space="preserve"> is the self-evaluation approach. Although Hilton's reports allow one to glimpse into their CSR undertakings, self-evaluations have an apparent subjectivity since third parties cannot be used</w:t>
      </w:r>
      <w:r w:rsidR="00BF6573" w:rsidRPr="00711E75">
        <w:rPr>
          <w:szCs w:val="24"/>
        </w:rPr>
        <w:t xml:space="preserve"> (Ubeda et al., 2021)</w:t>
      </w:r>
      <w:r w:rsidRPr="00711E75">
        <w:rPr>
          <w:szCs w:val="24"/>
        </w:rPr>
        <w:t>.</w:t>
      </w:r>
    </w:p>
    <w:p w14:paraId="37D267F5" w14:textId="77777777" w:rsidR="002303DA" w:rsidRPr="00711E75" w:rsidRDefault="00BE14B2" w:rsidP="00711E75">
      <w:pPr>
        <w:pStyle w:val="Heading2"/>
        <w:rPr>
          <w:rFonts w:cs="Arial"/>
          <w:szCs w:val="24"/>
        </w:rPr>
      </w:pPr>
      <w:bookmarkStart w:id="2" w:name="_Toc160040370"/>
      <w:r w:rsidRPr="00711E75">
        <w:rPr>
          <w:rFonts w:cs="Arial"/>
          <w:szCs w:val="24"/>
        </w:rPr>
        <w:t>The principle of greenwashing</w:t>
      </w:r>
      <w:bookmarkEnd w:id="2"/>
    </w:p>
    <w:p w14:paraId="1DEB0270" w14:textId="77777777" w:rsidR="00114CFB" w:rsidRPr="00711E75" w:rsidRDefault="00BE14B2" w:rsidP="00711E75">
      <w:pPr>
        <w:rPr>
          <w:szCs w:val="24"/>
        </w:rPr>
      </w:pPr>
      <w:r w:rsidRPr="00711E75">
        <w:rPr>
          <w:szCs w:val="24"/>
        </w:rPr>
        <w:t>Several crucial principles guide the greenwashing processes that present firms as socially responsible despite having no gree</w:t>
      </w:r>
      <w:r w:rsidR="004D7E81" w:rsidRPr="00711E75">
        <w:rPr>
          <w:szCs w:val="24"/>
        </w:rPr>
        <w:t xml:space="preserve">n, </w:t>
      </w:r>
      <w:r w:rsidR="00DC7D9A" w:rsidRPr="00711E75">
        <w:rPr>
          <w:szCs w:val="24"/>
        </w:rPr>
        <w:t>environmentally</w:t>
      </w:r>
      <w:r w:rsidR="004D7E81" w:rsidRPr="00711E75">
        <w:rPr>
          <w:szCs w:val="24"/>
        </w:rPr>
        <w:t xml:space="preserve"> </w:t>
      </w:r>
      <w:r w:rsidRPr="00711E75">
        <w:rPr>
          <w:szCs w:val="24"/>
        </w:rPr>
        <w:t xml:space="preserve">friendly organisational practices. A widespread strategy relies on ambiguous language, using such terms as eco-friendly or green without explaining them enough and needs concrete information about what the company does for environmental protection. This generalization allows </w:t>
      </w:r>
      <w:r w:rsidRPr="00711E75">
        <w:rPr>
          <w:szCs w:val="24"/>
        </w:rPr>
        <w:lastRenderedPageBreak/>
        <w:t>interpretation and may need to be clarified for consumers who assume a broader agreement on sustainability</w:t>
      </w:r>
      <w:r w:rsidR="00A90C71" w:rsidRPr="00711E75">
        <w:rPr>
          <w:szCs w:val="24"/>
        </w:rPr>
        <w:t xml:space="preserve"> (Janjusevic, 2022)</w:t>
      </w:r>
      <w:r w:rsidRPr="00711E75">
        <w:rPr>
          <w:szCs w:val="24"/>
        </w:rPr>
        <w:t>.</w:t>
      </w:r>
    </w:p>
    <w:p w14:paraId="5BC953C2" w14:textId="77777777" w:rsidR="002303DA" w:rsidRPr="00711E75" w:rsidRDefault="00BE14B2" w:rsidP="00711E75">
      <w:pPr>
        <w:rPr>
          <w:szCs w:val="24"/>
        </w:rPr>
      </w:pPr>
      <w:r w:rsidRPr="00711E75">
        <w:rPr>
          <w:szCs w:val="24"/>
        </w:rPr>
        <w:t xml:space="preserve"> Another aspect of greenwashing is the deceptive labels and imagery. Companies commonly use logos, signs or images associated with nature to create an image of eco-friendliness. </w:t>
      </w:r>
      <w:r w:rsidR="00364C34" w:rsidRPr="00711E75">
        <w:rPr>
          <w:szCs w:val="24"/>
        </w:rPr>
        <w:t xml:space="preserve"> </w:t>
      </w:r>
      <w:r w:rsidR="001F6B37" w:rsidRPr="00711E75">
        <w:rPr>
          <w:szCs w:val="24"/>
        </w:rPr>
        <w:t>There is a set propensity that</w:t>
      </w:r>
      <w:r w:rsidRPr="00711E75">
        <w:rPr>
          <w:szCs w:val="24"/>
        </w:rPr>
        <w:t xml:space="preserve">, these visual signals might not </w:t>
      </w:r>
      <w:r w:rsidR="001F6B37" w:rsidRPr="00711E75">
        <w:rPr>
          <w:szCs w:val="24"/>
        </w:rPr>
        <w:t xml:space="preserve">prove to be a solid aspect </w:t>
      </w:r>
      <w:r w:rsidRPr="00711E75">
        <w:rPr>
          <w:szCs w:val="24"/>
        </w:rPr>
        <w:t xml:space="preserve">of actual environmentally responsible </w:t>
      </w:r>
      <w:r w:rsidR="004D7E81" w:rsidRPr="00711E75">
        <w:rPr>
          <w:szCs w:val="24"/>
        </w:rPr>
        <w:t>behaviours</w:t>
      </w:r>
      <w:r w:rsidR="00CB5747" w:rsidRPr="00711E75">
        <w:rPr>
          <w:szCs w:val="24"/>
        </w:rPr>
        <w:t xml:space="preserve"> (Costa, 2020)</w:t>
      </w:r>
      <w:r w:rsidRPr="00711E75">
        <w:rPr>
          <w:szCs w:val="24"/>
        </w:rPr>
        <w:t xml:space="preserve">. The gap </w:t>
      </w:r>
      <w:r w:rsidR="001F6B37" w:rsidRPr="00711E75">
        <w:rPr>
          <w:szCs w:val="24"/>
        </w:rPr>
        <w:t>which is prevalent between the</w:t>
      </w:r>
      <w:r w:rsidRPr="00711E75">
        <w:rPr>
          <w:szCs w:val="24"/>
        </w:rPr>
        <w:t xml:space="preserve"> symbolic representations and the </w:t>
      </w:r>
      <w:r w:rsidR="001F6B37" w:rsidRPr="00711E75">
        <w:rPr>
          <w:szCs w:val="24"/>
        </w:rPr>
        <w:t>actual measurement</w:t>
      </w:r>
      <w:r w:rsidRPr="00711E75">
        <w:rPr>
          <w:szCs w:val="24"/>
        </w:rPr>
        <w:t xml:space="preserve"> for sustainability can cause misleading effects. Another principle of greenwashing is selectively highlighting the positive points while reducing or ignoring less environmentally friendly practices. Firms may concentrate on just one sustainability effort, for example, cutting down on carbon emissions, while disregarding other areas where their impact could be more praiseworthy. This selective framing permits a distorted image of overall environmental accountability</w:t>
      </w:r>
      <w:r w:rsidR="00687E19" w:rsidRPr="00711E75">
        <w:rPr>
          <w:szCs w:val="24"/>
        </w:rPr>
        <w:t xml:space="preserve"> (Costa, 2020)</w:t>
      </w:r>
      <w:r w:rsidRPr="00711E75">
        <w:rPr>
          <w:szCs w:val="24"/>
        </w:rPr>
        <w:t>. Greenwashing may also take advantage of consumer confidence in certification and endorsement. Companies could show eco-labels or affiliations with environmental associations to create an impression of legitimacy. Yet, these endorsements might be subjected to liberal standards or self-promotion, creating a deceptive sustainability veneer. The ideas of greenwashing focus on producing a façade impression about environmental accountability using hazy prose, ingenuine graphics, etc. Critical consumer awareness and scrutiny are crucial to exposing dishonest practices promoting authentic sustainability initiatives</w:t>
      </w:r>
      <w:r w:rsidR="00725B13" w:rsidRPr="00711E75">
        <w:rPr>
          <w:szCs w:val="24"/>
        </w:rPr>
        <w:t xml:space="preserve"> (Ines et al., 2023)</w:t>
      </w:r>
      <w:r w:rsidRPr="00711E75">
        <w:rPr>
          <w:szCs w:val="24"/>
        </w:rPr>
        <w:t>.</w:t>
      </w:r>
    </w:p>
    <w:p w14:paraId="559F27D8" w14:textId="77777777" w:rsidR="00D175C6" w:rsidRPr="00711E75" w:rsidRDefault="00BE14B2" w:rsidP="00711E75">
      <w:pPr>
        <w:pStyle w:val="Heading2"/>
        <w:rPr>
          <w:rFonts w:cs="Arial"/>
          <w:szCs w:val="24"/>
        </w:rPr>
      </w:pPr>
      <w:bookmarkStart w:id="3" w:name="_Toc160040371"/>
      <w:r w:rsidRPr="00711E75">
        <w:rPr>
          <w:rFonts w:cs="Arial"/>
          <w:szCs w:val="24"/>
        </w:rPr>
        <w:t>Greenwashing challenges for Hilton corporate</w:t>
      </w:r>
      <w:bookmarkEnd w:id="3"/>
      <w:r w:rsidRPr="00711E75">
        <w:rPr>
          <w:rFonts w:cs="Arial"/>
          <w:szCs w:val="24"/>
        </w:rPr>
        <w:t xml:space="preserve"> </w:t>
      </w:r>
    </w:p>
    <w:p w14:paraId="55C878A9" w14:textId="55873B6E" w:rsidR="00935E14" w:rsidRPr="00711E75" w:rsidRDefault="0092017C" w:rsidP="00711E75">
      <w:pPr>
        <w:rPr>
          <w:szCs w:val="24"/>
        </w:rPr>
      </w:pPr>
      <w:r w:rsidRPr="00711E75">
        <w:rPr>
          <w:szCs w:val="24"/>
        </w:rPr>
        <w:t xml:space="preserve">Hilton </w:t>
      </w:r>
      <w:r w:rsidR="00667B5F" w:rsidRPr="00711E75">
        <w:rPr>
          <w:szCs w:val="24"/>
        </w:rPr>
        <w:t>possesses</w:t>
      </w:r>
      <w:r w:rsidRPr="00711E75">
        <w:rPr>
          <w:szCs w:val="24"/>
        </w:rPr>
        <w:t xml:space="preserve"> a notable position in the industry, is often facing the challenges in regard to the greenwashing perspective which is creating a question mark on its </w:t>
      </w:r>
      <w:r w:rsidR="002C1A56" w:rsidRPr="00711E75">
        <w:rPr>
          <w:szCs w:val="24"/>
        </w:rPr>
        <w:t>sustainability</w:t>
      </w:r>
      <w:r w:rsidRPr="00711E75">
        <w:rPr>
          <w:szCs w:val="24"/>
        </w:rPr>
        <w:t xml:space="preserve"> and ethical plan</w:t>
      </w:r>
      <w:r w:rsidR="00423ED2" w:rsidRPr="00711E75">
        <w:rPr>
          <w:szCs w:val="24"/>
        </w:rPr>
        <w:t xml:space="preserve"> (Mangini et al., 2020)</w:t>
      </w:r>
      <w:r w:rsidR="00BE14B2" w:rsidRPr="00711E75">
        <w:rPr>
          <w:szCs w:val="24"/>
        </w:rPr>
        <w:t xml:space="preserve">. </w:t>
      </w:r>
      <w:r w:rsidRPr="00711E75">
        <w:rPr>
          <w:szCs w:val="24"/>
        </w:rPr>
        <w:t xml:space="preserve">There are </w:t>
      </w:r>
      <w:r w:rsidR="002C1A56" w:rsidRPr="00711E75">
        <w:rPr>
          <w:szCs w:val="24"/>
        </w:rPr>
        <w:t>various</w:t>
      </w:r>
      <w:r w:rsidRPr="00711E75">
        <w:rPr>
          <w:szCs w:val="24"/>
        </w:rPr>
        <w:t xml:space="preserve"> challenges wh</w:t>
      </w:r>
      <w:r w:rsidR="002C1A56" w:rsidRPr="00711E75">
        <w:rPr>
          <w:szCs w:val="24"/>
        </w:rPr>
        <w:t>i</w:t>
      </w:r>
      <w:r w:rsidRPr="00711E75">
        <w:rPr>
          <w:szCs w:val="24"/>
        </w:rPr>
        <w:t xml:space="preserve">ch are resultant of this accusation which dates back to 2006 when ‘’Tourism Concern’’ which is a corporate renowned for providing </w:t>
      </w:r>
      <w:r w:rsidR="002C1A56" w:rsidRPr="00711E75">
        <w:rPr>
          <w:szCs w:val="24"/>
        </w:rPr>
        <w:t>motivational</w:t>
      </w:r>
      <w:r w:rsidRPr="00711E75">
        <w:rPr>
          <w:szCs w:val="24"/>
        </w:rPr>
        <w:t xml:space="preserve"> aspect to ethical tourism created a question mark in regard to </w:t>
      </w:r>
      <w:r w:rsidR="00BE14B2" w:rsidRPr="00711E75">
        <w:rPr>
          <w:szCs w:val="24"/>
        </w:rPr>
        <w:t xml:space="preserve">Hilton greenwashing. The case highlighted the development of the Hilton Complex Resort on Mandhoo Island. Though various eco-friendly activities existHilton was </w:t>
      </w:r>
      <w:r w:rsidR="000852BD" w:rsidRPr="00711E75">
        <w:rPr>
          <w:szCs w:val="24"/>
        </w:rPr>
        <w:t>accused</w:t>
      </w:r>
      <w:r w:rsidR="00BE14B2" w:rsidRPr="00711E75">
        <w:rPr>
          <w:szCs w:val="24"/>
        </w:rPr>
        <w:t xml:space="preserve"> ofof uprooting palm trees and mangroves, </w:t>
      </w:r>
      <w:r w:rsidR="000852BD" w:rsidRPr="00711E75">
        <w:rPr>
          <w:szCs w:val="24"/>
        </w:rPr>
        <w:t>which can be a significant factor behind</w:t>
      </w:r>
      <w:r w:rsidR="00BE14B2" w:rsidRPr="00711E75">
        <w:rPr>
          <w:szCs w:val="24"/>
        </w:rPr>
        <w:t xml:space="preserve"> environmental damage. This early accusation </w:t>
      </w:r>
      <w:r w:rsidR="00DC7D9A" w:rsidRPr="00711E75">
        <w:rPr>
          <w:szCs w:val="24"/>
        </w:rPr>
        <w:t>formulates</w:t>
      </w:r>
      <w:r w:rsidR="00BE14B2" w:rsidRPr="00711E75">
        <w:rPr>
          <w:szCs w:val="24"/>
        </w:rPr>
        <w:t xml:space="preserve"> the </w:t>
      </w:r>
      <w:r w:rsidR="00BE14B2" w:rsidRPr="00711E75">
        <w:rPr>
          <w:szCs w:val="24"/>
        </w:rPr>
        <w:lastRenderedPageBreak/>
        <w:t xml:space="preserve">stage for ongoing scrutiny of Hilton's ecological practices. The release of the "Travel with Purpose 2030 Goals" report in 2018, commemorating Hilton's 100th anniversary, aimed to </w:t>
      </w:r>
      <w:r w:rsidR="000852BD" w:rsidRPr="00711E75">
        <w:rPr>
          <w:szCs w:val="24"/>
        </w:rPr>
        <w:t>highlight</w:t>
      </w:r>
      <w:r w:rsidR="00BE14B2" w:rsidRPr="00711E75">
        <w:rPr>
          <w:szCs w:val="24"/>
        </w:rPr>
        <w:t xml:space="preserve"> the company's commitment to reducing its environmental footprint</w:t>
      </w:r>
      <w:r w:rsidR="006C406B" w:rsidRPr="00711E75">
        <w:rPr>
          <w:szCs w:val="24"/>
        </w:rPr>
        <w:t xml:space="preserve"> (Bothello et al., 2023)</w:t>
      </w:r>
      <w:r w:rsidR="00BE14B2" w:rsidRPr="00711E75">
        <w:rPr>
          <w:szCs w:val="24"/>
        </w:rPr>
        <w:t xml:space="preserve">. </w:t>
      </w:r>
    </w:p>
    <w:p w14:paraId="06C9DA84" w14:textId="77777777" w:rsidR="000852BD" w:rsidRPr="00711E75" w:rsidRDefault="00BE14B2" w:rsidP="00711E75">
      <w:pPr>
        <w:rPr>
          <w:szCs w:val="24"/>
        </w:rPr>
      </w:pPr>
      <w:r w:rsidRPr="00711E75">
        <w:rPr>
          <w:szCs w:val="24"/>
        </w:rPr>
        <w:t>A vital dimension of the Hilton's greenwashing challenge also stems from a disconnection between CSR commitments and specific projects</w:t>
      </w:r>
      <w:r w:rsidR="003579D2" w:rsidRPr="00711E75">
        <w:rPr>
          <w:szCs w:val="24"/>
        </w:rPr>
        <w:t xml:space="preserve"> (Yang et val., 2020)</w:t>
      </w:r>
      <w:r w:rsidRPr="00711E75">
        <w:rPr>
          <w:szCs w:val="24"/>
        </w:rPr>
        <w:t>. For instance, the Bimini Bay Resort and Casino in the Bahamas and the Hilton Maldives resort on Mandhoo Island were accused of destroying nature, which could not be undone, as well as failure to deliver promised community projects</w:t>
      </w:r>
      <w:r w:rsidR="00A90C71" w:rsidRPr="00711E75">
        <w:rPr>
          <w:szCs w:val="24"/>
        </w:rPr>
        <w:t xml:space="preserve"> (Costa, 2020)</w:t>
      </w:r>
      <w:r w:rsidRPr="00711E75">
        <w:rPr>
          <w:szCs w:val="24"/>
        </w:rPr>
        <w:t>. This deep discord between the rhetoric of CSR and actualities in practice raises doubts regarding Hilton's sustainability initiatives as efficient or at least honest. In addition, Hilton's approach to self-evaluation has also been criticized</w:t>
      </w:r>
      <w:r w:rsidR="007B57AB" w:rsidRPr="00711E75">
        <w:rPr>
          <w:szCs w:val="24"/>
        </w:rPr>
        <w:t xml:space="preserve"> (Parguel and Johnson, 2021)</w:t>
      </w:r>
      <w:r w:rsidRPr="00711E75">
        <w:rPr>
          <w:szCs w:val="24"/>
        </w:rPr>
        <w:t>.</w:t>
      </w:r>
    </w:p>
    <w:p w14:paraId="08D0BBBE" w14:textId="77777777" w:rsidR="00D175C6" w:rsidRPr="00711E75" w:rsidRDefault="00BE14B2" w:rsidP="00711E75">
      <w:pPr>
        <w:pStyle w:val="Heading2"/>
        <w:rPr>
          <w:rFonts w:cs="Arial"/>
          <w:szCs w:val="24"/>
        </w:rPr>
      </w:pPr>
      <w:bookmarkStart w:id="4" w:name="_Toc160040372"/>
      <w:r w:rsidRPr="00711E75">
        <w:rPr>
          <w:rFonts w:cs="Arial"/>
          <w:szCs w:val="24"/>
        </w:rPr>
        <w:t>Hilton corporate self-evaluation technique</w:t>
      </w:r>
      <w:bookmarkEnd w:id="4"/>
      <w:r w:rsidRPr="00711E75">
        <w:rPr>
          <w:rFonts w:cs="Arial"/>
          <w:szCs w:val="24"/>
        </w:rPr>
        <w:t xml:space="preserve"> </w:t>
      </w:r>
    </w:p>
    <w:p w14:paraId="4ABF2DEE" w14:textId="77777777" w:rsidR="00301B5A" w:rsidRPr="00711E75" w:rsidRDefault="00BE14B2" w:rsidP="00711E75">
      <w:pPr>
        <w:rPr>
          <w:szCs w:val="24"/>
        </w:rPr>
      </w:pPr>
      <w:r w:rsidRPr="00711E75">
        <w:rPr>
          <w:szCs w:val="24"/>
        </w:rPr>
        <w:t>The company introduces a self-evaluation practice as one of the activities within its CSR initiatives because many companies strive to evaluate their environmental and social impact. The self-evaluation process during the Hilton assessment is a broad evaluation and report on sustainability efforts at the company, which can be displayed by initiatives mentioned in reports such as "Travel with Purpose 2030 Goals." Companies assess themselves for various reasons. First, it allows them to demonstrate their environmental consciousness and sound business practices</w:t>
      </w:r>
      <w:r w:rsidR="00037CF0" w:rsidRPr="00711E75">
        <w:rPr>
          <w:szCs w:val="24"/>
        </w:rPr>
        <w:t xml:space="preserve"> (George, 2021)</w:t>
      </w:r>
      <w:r w:rsidRPr="00711E75">
        <w:rPr>
          <w:szCs w:val="24"/>
        </w:rPr>
        <w:t xml:space="preserve">. Through internal evaluations and elaborate reports to stakeholders, Hilton can share its achievements, goals and initiatives with </w:t>
      </w:r>
      <w:r w:rsidR="00DC7D9A" w:rsidRPr="00711E75">
        <w:rPr>
          <w:szCs w:val="24"/>
        </w:rPr>
        <w:t>employees’</w:t>
      </w:r>
      <w:r w:rsidRPr="00711E75">
        <w:rPr>
          <w:szCs w:val="24"/>
        </w:rPr>
        <w:t xml:space="preserve"> proxies such as customers, investors or the broader public. Self-evaluation allows businesses to direct the storyline regarding their social and environmental responsibilities</w:t>
      </w:r>
      <w:r w:rsidR="00E27175" w:rsidRPr="00711E75">
        <w:rPr>
          <w:szCs w:val="24"/>
        </w:rPr>
        <w:t xml:space="preserve"> (Mangini et al., 2020)</w:t>
      </w:r>
      <w:r w:rsidRPr="00711E75">
        <w:rPr>
          <w:szCs w:val="24"/>
        </w:rPr>
        <w:t>. It allows Hilton to highlight particular initiatives, metrics, and improvements that contribute towards its sustainability mission. This self-regulated communication is a chance to emphasize beneficial aspects of how business runs and showcase an active attitude towards environmental issues</w:t>
      </w:r>
      <w:r w:rsidR="00037CF0" w:rsidRPr="00711E75">
        <w:rPr>
          <w:szCs w:val="24"/>
        </w:rPr>
        <w:t xml:space="preserve"> (Garcia et al., 2019)</w:t>
      </w:r>
      <w:r w:rsidRPr="00711E75">
        <w:rPr>
          <w:szCs w:val="24"/>
        </w:rPr>
        <w:t>.</w:t>
      </w:r>
    </w:p>
    <w:p w14:paraId="2351EF5C" w14:textId="77777777" w:rsidR="00301B5A" w:rsidRPr="00711E75" w:rsidRDefault="00BE14B2" w:rsidP="00711E75">
      <w:pPr>
        <w:rPr>
          <w:szCs w:val="24"/>
        </w:rPr>
      </w:pPr>
      <w:r w:rsidRPr="00711E75">
        <w:rPr>
          <w:szCs w:val="24"/>
        </w:rPr>
        <w:t xml:space="preserve">On top of this, self-evaluation functions as an inbuilt control and development device. Hilton can systematically analyse several dimensions of its operations – including </w:t>
      </w:r>
      <w:r w:rsidRPr="00711E75">
        <w:rPr>
          <w:szCs w:val="24"/>
        </w:rPr>
        <w:lastRenderedPageBreak/>
        <w:t>carbon emissions, responsible sourcing and animal welfare- whereby areas for improvement are identified and strategies to help improve the sustainability</w:t>
      </w:r>
      <w:r w:rsidR="00037CF0" w:rsidRPr="00711E75">
        <w:rPr>
          <w:szCs w:val="24"/>
        </w:rPr>
        <w:t xml:space="preserve"> (Wong and Kim, 2020)</w:t>
      </w:r>
      <w:r w:rsidRPr="00711E75">
        <w:rPr>
          <w:szCs w:val="24"/>
        </w:rPr>
        <w:t>. This continuous self-evaluation allows the company adapt to new environmental standards and society's attitudes. Nevertheless, it is crucial to note the possible pitfalls of self-assessment</w:t>
      </w:r>
      <w:r w:rsidR="00037CF0" w:rsidRPr="00711E75">
        <w:rPr>
          <w:szCs w:val="24"/>
        </w:rPr>
        <w:t xml:space="preserve"> (Latif et al., 2020)</w:t>
      </w:r>
      <w:r w:rsidRPr="00711E75">
        <w:rPr>
          <w:szCs w:val="24"/>
        </w:rPr>
        <w:t>. This situation raises the following questions: is reported data accurate and transparent if it is not subjected to external objectivity? To address this, some firms supplement self-assessment with third-party appraisals or certifications from well-known bodies. This external validation improves validity, showing a pledge to honesty and responsibility in CSR activities. In other words, such companies as Hilton undertake self-assessment not only to demonstrate their sustainability activities but also to use it as as an internal tool for improvement, adaptability and communication in their approach towards responsible business</w:t>
      </w:r>
      <w:r w:rsidR="00037CF0" w:rsidRPr="00711E75">
        <w:rPr>
          <w:szCs w:val="24"/>
        </w:rPr>
        <w:t xml:space="preserve"> (Gurlek and Tuna, 2019)</w:t>
      </w:r>
      <w:r w:rsidRPr="00711E75">
        <w:rPr>
          <w:szCs w:val="24"/>
        </w:rPr>
        <w:t>.</w:t>
      </w:r>
    </w:p>
    <w:p w14:paraId="1958657B" w14:textId="6014B3AE" w:rsidR="00D93BA0" w:rsidRPr="00711E75" w:rsidRDefault="008D2E6A" w:rsidP="00711E75">
      <w:pPr>
        <w:pStyle w:val="Heading2"/>
        <w:rPr>
          <w:rFonts w:cs="Arial"/>
          <w:szCs w:val="24"/>
        </w:rPr>
      </w:pPr>
      <w:bookmarkStart w:id="5" w:name="_Toc160040373"/>
      <w:r>
        <w:rPr>
          <w:rFonts w:cs="Arial"/>
          <w:szCs w:val="24"/>
        </w:rPr>
        <w:t>Recommendations</w:t>
      </w:r>
      <w:bookmarkEnd w:id="5"/>
      <w:r>
        <w:rPr>
          <w:rFonts w:cs="Arial"/>
          <w:szCs w:val="24"/>
        </w:rPr>
        <w:t xml:space="preserve"> </w:t>
      </w:r>
    </w:p>
    <w:p w14:paraId="6F39D6FA" w14:textId="77777777" w:rsidR="00827F4A" w:rsidRPr="00711E75" w:rsidRDefault="00BE14B2" w:rsidP="00711E75">
      <w:pPr>
        <w:rPr>
          <w:szCs w:val="24"/>
        </w:rPr>
      </w:pPr>
      <w:r w:rsidRPr="00711E75">
        <w:rPr>
          <w:szCs w:val="24"/>
        </w:rPr>
        <w:t>Green technologies are widely regarded as a more sustainable approach to various industrial and daily activities. Green technologies, often synonymous with environmentally friendly or eco-friendly technologies, aim to minimize their environmental impact, conserve resources, and reduce overall ecological footprints</w:t>
      </w:r>
      <w:r w:rsidR="00037CF0" w:rsidRPr="00711E75">
        <w:rPr>
          <w:szCs w:val="24"/>
        </w:rPr>
        <w:t xml:space="preserve"> (Mohammed and Swidi, 2019)</w:t>
      </w:r>
      <w:r w:rsidRPr="00711E75">
        <w:rPr>
          <w:szCs w:val="24"/>
        </w:rPr>
        <w:t>. The sustainability of green technologies can be assessed through multiple lenses, encompassing environmental, economic, and social aspects. Environmentally, green technologies contribute to sustainability by reducing harmful emissions and pollutants</w:t>
      </w:r>
      <w:r w:rsidR="00F83F3B" w:rsidRPr="00711E75">
        <w:rPr>
          <w:szCs w:val="24"/>
        </w:rPr>
        <w:t xml:space="preserve"> (George, 2021)</w:t>
      </w:r>
      <w:r w:rsidRPr="00711E75">
        <w:rPr>
          <w:szCs w:val="24"/>
        </w:rPr>
        <w:t>. Renewable energy sources like solar, wind, and hydropower generate electricity with lower environmental impacts than traditional fossil fuels</w:t>
      </w:r>
      <w:r w:rsidR="00B42378" w:rsidRPr="00711E75">
        <w:rPr>
          <w:szCs w:val="24"/>
        </w:rPr>
        <w:t xml:space="preserve"> (Alyahia et al., 2024)</w:t>
      </w:r>
      <w:r w:rsidRPr="00711E75">
        <w:rPr>
          <w:szCs w:val="24"/>
        </w:rPr>
        <w:t>. Electric vehicles, another example of green technology, produce fewer emissions during operation, promoting cleaner air and mitigating climate change. Economically, the adoption of green technologies can lead to sustainable growth. For instance, investing in renewable energy projects creates jobs, stimulates innovation, and fosters economic resilience</w:t>
      </w:r>
      <w:r w:rsidR="00A90C71" w:rsidRPr="00711E75">
        <w:rPr>
          <w:szCs w:val="24"/>
        </w:rPr>
        <w:t xml:space="preserve"> (Achimad and Yulianah, 2022)</w:t>
      </w:r>
      <w:r w:rsidRPr="00711E75">
        <w:rPr>
          <w:szCs w:val="24"/>
        </w:rPr>
        <w:t>. While the initial costs of implementing green technologies can be higher, the long-term benefits often include energy savings, reduced dependence on finite resources, and increased energy efficiency</w:t>
      </w:r>
      <w:r w:rsidR="00992BD1" w:rsidRPr="00711E75">
        <w:rPr>
          <w:szCs w:val="24"/>
        </w:rPr>
        <w:t xml:space="preserve"> (Balluchi et al., 2022)</w:t>
      </w:r>
      <w:r w:rsidRPr="00711E75">
        <w:rPr>
          <w:szCs w:val="24"/>
        </w:rPr>
        <w:t xml:space="preserve">. Socially, green technologies contribute to sustainability </w:t>
      </w:r>
      <w:r w:rsidRPr="00711E75">
        <w:rPr>
          <w:szCs w:val="24"/>
        </w:rPr>
        <w:lastRenderedPageBreak/>
        <w:t>by improving public health and overall well-being. Reduced air and water pollution associated with green technologies leads to healthier living environments</w:t>
      </w:r>
      <w:r w:rsidR="00E27175" w:rsidRPr="00711E75">
        <w:rPr>
          <w:szCs w:val="24"/>
        </w:rPr>
        <w:t xml:space="preserve"> (Suarez et al., 2018)</w:t>
      </w:r>
      <w:r w:rsidRPr="00711E75">
        <w:rPr>
          <w:szCs w:val="24"/>
        </w:rPr>
        <w:t>.</w:t>
      </w:r>
    </w:p>
    <w:p w14:paraId="18F936F9" w14:textId="153DFCAB" w:rsidR="00827F4A" w:rsidRPr="00711E75" w:rsidRDefault="00BE14B2" w:rsidP="00711E75">
      <w:pPr>
        <w:rPr>
          <w:szCs w:val="24"/>
        </w:rPr>
      </w:pPr>
      <w:r w:rsidRPr="00711E75">
        <w:rPr>
          <w:szCs w:val="24"/>
        </w:rPr>
        <w:t>Moreover, advancements in sustainable agriculture technologies contribute to food security and promote responsible land use practices. However, it's essential to acknowledge that the sustainability of green technologies is context-dependent</w:t>
      </w:r>
      <w:r w:rsidR="00F83F3B" w:rsidRPr="00711E75">
        <w:rPr>
          <w:szCs w:val="24"/>
        </w:rPr>
        <w:t xml:space="preserve"> (Costa, 2020)</w:t>
      </w:r>
      <w:r w:rsidRPr="00711E75">
        <w:rPr>
          <w:szCs w:val="24"/>
        </w:rPr>
        <w:t>.</w:t>
      </w:r>
      <w:r w:rsidR="008D2E6A">
        <w:rPr>
          <w:szCs w:val="24"/>
        </w:rPr>
        <w:t xml:space="preserve"> </w:t>
      </w:r>
      <w:r w:rsidRPr="00711E75">
        <w:rPr>
          <w:szCs w:val="24"/>
        </w:rPr>
        <w:t>Factors like manufacturing processes, resource extraction, and end-of-life disposal need careful consideration. For instance, producing certain renewable energy technologies may involve resource-intensive processes, impacting ecosystems</w:t>
      </w:r>
      <w:r w:rsidR="006F77FC" w:rsidRPr="00711E75">
        <w:rPr>
          <w:szCs w:val="24"/>
        </w:rPr>
        <w:t xml:space="preserve"> (Ahmad et al., 2022)</w:t>
      </w:r>
      <w:r w:rsidRPr="00711E75">
        <w:rPr>
          <w:szCs w:val="24"/>
        </w:rPr>
        <w:t>.</w:t>
      </w:r>
    </w:p>
    <w:p w14:paraId="2BBEB591" w14:textId="77777777" w:rsidR="00827F4A" w:rsidRPr="00711E75" w:rsidRDefault="00BE14B2" w:rsidP="00711E75">
      <w:pPr>
        <w:pStyle w:val="Heading1"/>
        <w:rPr>
          <w:sz w:val="24"/>
          <w:szCs w:val="24"/>
        </w:rPr>
      </w:pPr>
      <w:bookmarkStart w:id="6" w:name="_Toc160040374"/>
      <w:r w:rsidRPr="00711E75">
        <w:rPr>
          <w:sz w:val="24"/>
          <w:szCs w:val="24"/>
        </w:rPr>
        <w:t>Conclusion</w:t>
      </w:r>
      <w:bookmarkEnd w:id="6"/>
      <w:r w:rsidRPr="00711E75">
        <w:rPr>
          <w:sz w:val="24"/>
          <w:szCs w:val="24"/>
        </w:rPr>
        <w:t xml:space="preserve"> </w:t>
      </w:r>
    </w:p>
    <w:p w14:paraId="4E483D9D" w14:textId="77777777" w:rsidR="00DC7D9A" w:rsidRPr="00711E75" w:rsidRDefault="00BE14B2" w:rsidP="00711E75">
      <w:pPr>
        <w:rPr>
          <w:szCs w:val="24"/>
        </w:rPr>
      </w:pPr>
      <w:r w:rsidRPr="00711E75">
        <w:rPr>
          <w:szCs w:val="24"/>
        </w:rPr>
        <w:t xml:space="preserve">Ethical </w:t>
      </w:r>
      <w:r w:rsidR="00184D40" w:rsidRPr="00711E75">
        <w:rPr>
          <w:szCs w:val="24"/>
        </w:rPr>
        <w:t>principles</w:t>
      </w:r>
      <w:r w:rsidRPr="00711E75">
        <w:rPr>
          <w:szCs w:val="24"/>
        </w:rPr>
        <w:t xml:space="preserve"> are essential to take</w:t>
      </w:r>
      <w:r w:rsidR="00184D40" w:rsidRPr="00711E75">
        <w:rPr>
          <w:szCs w:val="24"/>
        </w:rPr>
        <w:t xml:space="preserve"> into account to en</w:t>
      </w:r>
      <w:r w:rsidRPr="00711E75">
        <w:rPr>
          <w:szCs w:val="24"/>
        </w:rPr>
        <w:t xml:space="preserve">sure the set goals are well accomplished. </w:t>
      </w:r>
      <w:r w:rsidR="00A24C30" w:rsidRPr="00711E75">
        <w:rPr>
          <w:szCs w:val="24"/>
        </w:rPr>
        <w:t>Sustainability managementSustainability is a strategic aspect that must be carefully and effectively managed. There are different sustainable approaches, and the circular economy is regarded as one of the most impactful sustainable approaches, which have a core goal to ensure that wastage is mitigated and make maximum use of resources by motivating product lifecycle management, recycling and reusing material. The hotel industry usually employs which is the best sustainable means prevalent for them to succeed in the long term.</w:t>
      </w:r>
      <w:r w:rsidR="00184D40" w:rsidRPr="00711E75">
        <w:rPr>
          <w:szCs w:val="24"/>
        </w:rPr>
        <w:t xml:space="preserve"> The greenwashing challenge Hilton corporate faces, together with the principles and </w:t>
      </w:r>
      <w:r w:rsidRPr="00711E75">
        <w:rPr>
          <w:szCs w:val="24"/>
        </w:rPr>
        <w:t>self-evaluation</w:t>
      </w:r>
      <w:r w:rsidR="00184D40" w:rsidRPr="00711E75">
        <w:rPr>
          <w:szCs w:val="24"/>
        </w:rPr>
        <w:t xml:space="preserve"> technique adopted by the </w:t>
      </w:r>
      <w:r w:rsidRPr="00711E75">
        <w:rPr>
          <w:szCs w:val="24"/>
        </w:rPr>
        <w:t>corporat</w:t>
      </w:r>
      <w:r w:rsidR="00184D40" w:rsidRPr="00711E75">
        <w:rPr>
          <w:szCs w:val="24"/>
        </w:rPr>
        <w:t xml:space="preserve">ion, </w:t>
      </w:r>
      <w:r w:rsidRPr="00711E75">
        <w:rPr>
          <w:szCs w:val="24"/>
        </w:rPr>
        <w:t>highlights</w:t>
      </w:r>
      <w:r w:rsidR="00184D40" w:rsidRPr="00711E75">
        <w:rPr>
          <w:szCs w:val="24"/>
        </w:rPr>
        <w:t xml:space="preserve"> the challenges of mitigating sustainability in the corporate world. </w:t>
      </w:r>
      <w:r w:rsidRPr="00711E75">
        <w:rPr>
          <w:szCs w:val="24"/>
        </w:rPr>
        <w:t xml:space="preserve">The </w:t>
      </w:r>
      <w:r w:rsidR="00184D40" w:rsidRPr="00711E75">
        <w:rPr>
          <w:szCs w:val="24"/>
        </w:rPr>
        <w:t>allegations</w:t>
      </w:r>
      <w:r w:rsidRPr="00711E75">
        <w:rPr>
          <w:szCs w:val="24"/>
        </w:rPr>
        <w:t xml:space="preserve"> framed</w:t>
      </w:r>
      <w:r w:rsidR="00184D40" w:rsidRPr="00711E75">
        <w:rPr>
          <w:szCs w:val="24"/>
        </w:rPr>
        <w:t xml:space="preserve"> regarding </w:t>
      </w:r>
      <w:r w:rsidRPr="00711E75">
        <w:rPr>
          <w:szCs w:val="24"/>
        </w:rPr>
        <w:t xml:space="preserve">greenwashing, specifically </w:t>
      </w:r>
      <w:r w:rsidR="00184D40" w:rsidRPr="00711E75">
        <w:rPr>
          <w:szCs w:val="24"/>
        </w:rPr>
        <w:t>related to</w:t>
      </w:r>
      <w:r w:rsidRPr="00711E75">
        <w:rPr>
          <w:szCs w:val="24"/>
        </w:rPr>
        <w:t xml:space="preserve"> specific projects, underscore the need for transparency and accountability in aligning CSR commitments with tangible actions. Hilton's self-evaluation approach, while </w:t>
      </w:r>
      <w:r w:rsidR="00184D40" w:rsidRPr="00711E75">
        <w:rPr>
          <w:szCs w:val="24"/>
        </w:rPr>
        <w:t>highlighting</w:t>
      </w:r>
      <w:r w:rsidRPr="00711E75">
        <w:rPr>
          <w:szCs w:val="24"/>
        </w:rPr>
        <w:t xml:space="preserve"> a commitment to sustainability, raises questions about the impartiality of such assessments, emphasizing the importance of external validation for credibility. The </w:t>
      </w:r>
      <w:r w:rsidR="00184D40" w:rsidRPr="00711E75">
        <w:rPr>
          <w:szCs w:val="24"/>
        </w:rPr>
        <w:t>diversified</w:t>
      </w:r>
      <w:r w:rsidRPr="00711E75">
        <w:rPr>
          <w:szCs w:val="24"/>
        </w:rPr>
        <w:t xml:space="preserve"> context of greenwashing and sustainability reflects a delicate balance between corporate interests, genuine environmental responsibility, and societal expectations. As </w:t>
      </w:r>
      <w:r w:rsidR="00184D40" w:rsidRPr="00711E75">
        <w:rPr>
          <w:szCs w:val="24"/>
        </w:rPr>
        <w:t>customers</w:t>
      </w:r>
      <w:r w:rsidRPr="00711E75">
        <w:rPr>
          <w:szCs w:val="24"/>
        </w:rPr>
        <w:t xml:space="preserve"> increasingly </w:t>
      </w:r>
      <w:r w:rsidR="00184D40" w:rsidRPr="00711E75">
        <w:rPr>
          <w:szCs w:val="24"/>
        </w:rPr>
        <w:t xml:space="preserve">ensure working as per </w:t>
      </w:r>
      <w:r w:rsidRPr="00711E75">
        <w:rPr>
          <w:szCs w:val="24"/>
        </w:rPr>
        <w:t xml:space="preserve">eco-friendly practices, it becomes an </w:t>
      </w:r>
      <w:r w:rsidR="00184D40" w:rsidRPr="00711E75">
        <w:rPr>
          <w:szCs w:val="24"/>
        </w:rPr>
        <w:t>integral aspect</w:t>
      </w:r>
      <w:r w:rsidRPr="00711E75">
        <w:rPr>
          <w:szCs w:val="24"/>
        </w:rPr>
        <w:t xml:space="preserve"> for companies to move beyond superficial commitments and engage in robust, </w:t>
      </w:r>
      <w:r w:rsidRPr="00711E75">
        <w:rPr>
          <w:szCs w:val="24"/>
        </w:rPr>
        <w:lastRenderedPageBreak/>
        <w:t xml:space="preserve">accountable sustainability practices. The challenges Hilton </w:t>
      </w:r>
      <w:r w:rsidR="00184D40" w:rsidRPr="00711E75">
        <w:rPr>
          <w:szCs w:val="24"/>
        </w:rPr>
        <w:t>faces work</w:t>
      </w:r>
      <w:r w:rsidRPr="00711E75">
        <w:rPr>
          <w:szCs w:val="24"/>
        </w:rPr>
        <w:t xml:space="preserve"> as a </w:t>
      </w:r>
      <w:r w:rsidR="00184D40" w:rsidRPr="00711E75">
        <w:rPr>
          <w:szCs w:val="24"/>
        </w:rPr>
        <w:t>guiding factor</w:t>
      </w:r>
      <w:r w:rsidRPr="00711E75">
        <w:rPr>
          <w:szCs w:val="24"/>
        </w:rPr>
        <w:t xml:space="preserve"> of the broader corporate landscape, where critical analysis, transparency, and a holistic commitment to sustainable practices are essential for fostering trust and contributing meaningfully to environmental and social well-being. </w:t>
      </w:r>
      <w:r w:rsidR="00184D40" w:rsidRPr="00711E75">
        <w:rPr>
          <w:szCs w:val="24"/>
        </w:rPr>
        <w:t>Therefore</w:t>
      </w:r>
      <w:r w:rsidRPr="00711E75">
        <w:rPr>
          <w:szCs w:val="24"/>
        </w:rPr>
        <w:t>, the journey toward genuine sustainability demands rhetoric and a consistent and transparent alignment of actions with the principles of responsible business practices.</w:t>
      </w:r>
    </w:p>
    <w:p w14:paraId="447083E1" w14:textId="77777777" w:rsidR="00DC7D9A" w:rsidRPr="00711E75" w:rsidRDefault="00BE14B2" w:rsidP="00711E75">
      <w:pPr>
        <w:rPr>
          <w:szCs w:val="24"/>
        </w:rPr>
      </w:pPr>
      <w:r w:rsidRPr="00711E75">
        <w:rPr>
          <w:szCs w:val="24"/>
        </w:rPr>
        <w:br w:type="page"/>
      </w:r>
    </w:p>
    <w:p w14:paraId="2B803265" w14:textId="77777777" w:rsidR="00037CF0" w:rsidRPr="00711E75" w:rsidRDefault="00BE14B2" w:rsidP="00711E75">
      <w:pPr>
        <w:pStyle w:val="Heading1"/>
        <w:rPr>
          <w:sz w:val="24"/>
          <w:szCs w:val="24"/>
        </w:rPr>
      </w:pPr>
      <w:bookmarkStart w:id="7" w:name="_Toc160040375"/>
      <w:r w:rsidRPr="00711E75">
        <w:rPr>
          <w:sz w:val="24"/>
          <w:szCs w:val="24"/>
        </w:rPr>
        <w:lastRenderedPageBreak/>
        <w:t>References</w:t>
      </w:r>
      <w:bookmarkEnd w:id="7"/>
    </w:p>
    <w:p w14:paraId="7094D231" w14:textId="145147BB" w:rsidR="00667B5F" w:rsidRPr="00711E75" w:rsidRDefault="00BE14B2" w:rsidP="00667B5F">
      <w:pPr>
        <w:ind w:left="720" w:hanging="720"/>
        <w:rPr>
          <w:szCs w:val="24"/>
        </w:rPr>
      </w:pPr>
      <w:r w:rsidRPr="00711E75">
        <w:rPr>
          <w:szCs w:val="24"/>
        </w:rPr>
        <w:t xml:space="preserve">Achmad, W. and Yulianah, Y., </w:t>
      </w:r>
      <w:r w:rsidR="00045B7F">
        <w:rPr>
          <w:szCs w:val="24"/>
        </w:rPr>
        <w:t>(</w:t>
      </w:r>
      <w:r w:rsidRPr="00711E75">
        <w:rPr>
          <w:szCs w:val="24"/>
        </w:rPr>
        <w:t>2022</w:t>
      </w:r>
      <w:r w:rsidR="00045B7F">
        <w:rPr>
          <w:szCs w:val="24"/>
        </w:rPr>
        <w:t>)</w:t>
      </w:r>
      <w:r w:rsidRPr="00711E75">
        <w:rPr>
          <w:szCs w:val="24"/>
        </w:rPr>
        <w:t>. Corporate social responsibility of the hospitality industry in realizing sustainable tourism development. Enrichment: Journal of Management, 12(2), pp.1610-1616.</w:t>
      </w:r>
      <w:r w:rsidR="00667B5F">
        <w:rPr>
          <w:szCs w:val="24"/>
        </w:rPr>
        <w:t xml:space="preserve">  </w:t>
      </w:r>
      <w:hyperlink r:id="rId8" w:history="1">
        <w:r w:rsidR="00667B5F" w:rsidRPr="00A50E8D">
          <w:rPr>
            <w:rStyle w:val="Hyperlink"/>
            <w:szCs w:val="24"/>
          </w:rPr>
          <w:t>https://doi.org/10.35335/enrichment.v12i2.447</w:t>
        </w:r>
      </w:hyperlink>
      <w:r w:rsidR="00667B5F" w:rsidRPr="00667B5F">
        <w:rPr>
          <w:szCs w:val="24"/>
        </w:rPr>
        <w:t xml:space="preserve"> </w:t>
      </w:r>
      <w:r w:rsidR="00667B5F">
        <w:rPr>
          <w:szCs w:val="24"/>
        </w:rPr>
        <w:t>(Accessed 19-Feb-24)</w:t>
      </w:r>
    </w:p>
    <w:p w14:paraId="2B7D1784" w14:textId="756DE139" w:rsidR="00667B5F" w:rsidRPr="00711E75" w:rsidRDefault="00BE14B2" w:rsidP="00667B5F">
      <w:pPr>
        <w:ind w:left="720" w:hanging="720"/>
        <w:rPr>
          <w:szCs w:val="24"/>
        </w:rPr>
      </w:pPr>
      <w:r w:rsidRPr="00711E75">
        <w:rPr>
          <w:szCs w:val="24"/>
        </w:rPr>
        <w:t xml:space="preserve">Ahmad, I., Jamali, D.R. and Khattak, M.N., </w:t>
      </w:r>
      <w:r w:rsidR="00045B7F">
        <w:rPr>
          <w:szCs w:val="24"/>
        </w:rPr>
        <w:t>(</w:t>
      </w:r>
      <w:r w:rsidRPr="00711E75">
        <w:rPr>
          <w:szCs w:val="24"/>
        </w:rPr>
        <w:t>2023</w:t>
      </w:r>
      <w:r w:rsidR="00045B7F">
        <w:rPr>
          <w:szCs w:val="24"/>
        </w:rPr>
        <w:t>)</w:t>
      </w:r>
      <w:r w:rsidRPr="00711E75">
        <w:rPr>
          <w:szCs w:val="24"/>
        </w:rPr>
        <w:t>. Can organizations get away with greenwashing? CSR attributions and counterproductive sustainability behaviours. Business Ethics, the Environment &amp; Responsibility.</w:t>
      </w:r>
      <w:r w:rsidR="00667B5F">
        <w:rPr>
          <w:szCs w:val="24"/>
        </w:rPr>
        <w:t xml:space="preserve"> </w:t>
      </w:r>
      <w:hyperlink r:id="rId9" w:history="1">
        <w:r w:rsidR="00667B5F" w:rsidRPr="00A50E8D">
          <w:rPr>
            <w:rStyle w:val="Hyperlink"/>
            <w:szCs w:val="24"/>
          </w:rPr>
          <w:t>https://doi.org/10.1111/beer.12603</w:t>
        </w:r>
      </w:hyperlink>
      <w:r w:rsidR="00667B5F">
        <w:rPr>
          <w:szCs w:val="24"/>
        </w:rPr>
        <w:t xml:space="preserve"> (Accessed 19-Feb-24)</w:t>
      </w:r>
    </w:p>
    <w:p w14:paraId="5F0EE9E2" w14:textId="5568CCD2" w:rsidR="0078318F" w:rsidRPr="00711E75" w:rsidRDefault="00BE14B2" w:rsidP="0078318F">
      <w:pPr>
        <w:ind w:left="720" w:hanging="720"/>
        <w:rPr>
          <w:szCs w:val="24"/>
        </w:rPr>
      </w:pPr>
      <w:r w:rsidRPr="00711E75">
        <w:rPr>
          <w:szCs w:val="24"/>
        </w:rPr>
        <w:t xml:space="preserve">Ahmad, N., Ullah, Z., AlDhaen, E., Han, H., Araya-Castillo, L. and Ariza-Montes, A., </w:t>
      </w:r>
      <w:r w:rsidR="00045B7F">
        <w:rPr>
          <w:szCs w:val="24"/>
        </w:rPr>
        <w:t>(</w:t>
      </w:r>
      <w:r w:rsidRPr="00711E75">
        <w:rPr>
          <w:szCs w:val="24"/>
        </w:rPr>
        <w:t>2022</w:t>
      </w:r>
      <w:r w:rsidR="00045B7F">
        <w:rPr>
          <w:szCs w:val="24"/>
        </w:rPr>
        <w:t>)</w:t>
      </w:r>
      <w:r w:rsidRPr="00711E75">
        <w:rPr>
          <w:szCs w:val="24"/>
        </w:rPr>
        <w:t>. Fostering hotel-employee creativity through micro-level corporate social responsibility: a social identity theory perspective. Frontiers in psychology, 13, p.853125.</w:t>
      </w:r>
      <w:r w:rsidR="0078318F">
        <w:rPr>
          <w:szCs w:val="24"/>
        </w:rPr>
        <w:t xml:space="preserve"> </w:t>
      </w:r>
      <w:hyperlink r:id="rId10" w:history="1">
        <w:r w:rsidR="0078318F" w:rsidRPr="00A50E8D">
          <w:rPr>
            <w:rStyle w:val="Hyperlink"/>
            <w:szCs w:val="24"/>
          </w:rPr>
          <w:t>https://doi.org/10.3389/fpsyg.2022.853125</w:t>
        </w:r>
      </w:hyperlink>
      <w:r w:rsidR="0078318F">
        <w:rPr>
          <w:szCs w:val="24"/>
        </w:rPr>
        <w:t xml:space="preserve"> (Accessed 19-Feb-24)</w:t>
      </w:r>
    </w:p>
    <w:p w14:paraId="6FAEFE2B" w14:textId="3426EC87" w:rsidR="0078318F" w:rsidRPr="00711E75" w:rsidRDefault="00BE14B2" w:rsidP="0078318F">
      <w:pPr>
        <w:ind w:left="720" w:hanging="720"/>
        <w:rPr>
          <w:szCs w:val="24"/>
        </w:rPr>
      </w:pPr>
      <w:r w:rsidRPr="00711E75">
        <w:rPr>
          <w:szCs w:val="24"/>
        </w:rPr>
        <w:t xml:space="preserve">Alyahia, M., Azazz, A.M., Fayyad, S., Elshaer, I.A. and Mohammad, A.A., </w:t>
      </w:r>
      <w:r w:rsidR="00045B7F">
        <w:rPr>
          <w:szCs w:val="24"/>
        </w:rPr>
        <w:t>(</w:t>
      </w:r>
      <w:r w:rsidRPr="00711E75">
        <w:rPr>
          <w:szCs w:val="24"/>
        </w:rPr>
        <w:t>2024</w:t>
      </w:r>
      <w:r w:rsidR="00045B7F">
        <w:rPr>
          <w:szCs w:val="24"/>
        </w:rPr>
        <w:t>)</w:t>
      </w:r>
      <w:r w:rsidRPr="00711E75">
        <w:rPr>
          <w:szCs w:val="24"/>
        </w:rPr>
        <w:t>. Greenwashing Behavior in Hotels Industry: The Role of Green Transparency and Green Authenticity. Sustainability, 16(3), p.1050.</w:t>
      </w:r>
      <w:r w:rsidR="0078318F">
        <w:rPr>
          <w:szCs w:val="24"/>
        </w:rPr>
        <w:t xml:space="preserve"> </w:t>
      </w:r>
      <w:hyperlink r:id="rId11" w:history="1">
        <w:r w:rsidR="0078318F" w:rsidRPr="00A50E8D">
          <w:rPr>
            <w:rStyle w:val="Hyperlink"/>
            <w:szCs w:val="24"/>
          </w:rPr>
          <w:t>https://doi.org/10.3390/su16031050</w:t>
        </w:r>
      </w:hyperlink>
      <w:r w:rsidR="0078318F">
        <w:rPr>
          <w:szCs w:val="24"/>
        </w:rPr>
        <w:t xml:space="preserve"> (Accessed 19-Feb-24)</w:t>
      </w:r>
    </w:p>
    <w:p w14:paraId="75BA72C3" w14:textId="1F138103" w:rsidR="006C406B" w:rsidRPr="00711E75" w:rsidRDefault="00BE14B2" w:rsidP="0078318F">
      <w:pPr>
        <w:ind w:left="720" w:hanging="720"/>
        <w:rPr>
          <w:szCs w:val="24"/>
        </w:rPr>
      </w:pPr>
      <w:r w:rsidRPr="00711E75">
        <w:rPr>
          <w:szCs w:val="24"/>
        </w:rPr>
        <w:t>Bothello, J., Ioannou, I., Porumb, V.A. and Zengin</w:t>
      </w:r>
      <w:r w:rsidRPr="00711E75">
        <w:rPr>
          <w:rFonts w:ascii="Cambria Math" w:hAnsi="Cambria Math" w:cs="Cambria Math"/>
          <w:szCs w:val="24"/>
        </w:rPr>
        <w:t>‐</w:t>
      </w:r>
      <w:r w:rsidRPr="00711E75">
        <w:rPr>
          <w:szCs w:val="24"/>
        </w:rPr>
        <w:t xml:space="preserve">Karaibrahimoglu, Y., </w:t>
      </w:r>
      <w:r w:rsidR="00045B7F">
        <w:rPr>
          <w:szCs w:val="24"/>
        </w:rPr>
        <w:t>(</w:t>
      </w:r>
      <w:r w:rsidRPr="00711E75">
        <w:rPr>
          <w:szCs w:val="24"/>
        </w:rPr>
        <w:t>2023</w:t>
      </w:r>
      <w:r w:rsidR="00045B7F">
        <w:rPr>
          <w:szCs w:val="24"/>
        </w:rPr>
        <w:t>)</w:t>
      </w:r>
      <w:r w:rsidRPr="00711E75">
        <w:rPr>
          <w:szCs w:val="24"/>
        </w:rPr>
        <w:t>. CSR decoupling within business groups and the risk of perceived greenwashing. Strategic Management Journal, 44(13), pp.3217-3251.</w:t>
      </w:r>
      <w:r w:rsidR="0078318F" w:rsidRPr="0078318F">
        <w:rPr>
          <w:szCs w:val="24"/>
        </w:rPr>
        <w:t xml:space="preserve"> </w:t>
      </w:r>
      <w:hyperlink r:id="rId12" w:history="1">
        <w:r w:rsidR="0078318F" w:rsidRPr="00A50E8D">
          <w:rPr>
            <w:rStyle w:val="Hyperlink"/>
            <w:szCs w:val="24"/>
          </w:rPr>
          <w:t>https://doi.org/10.1002/smj.3532</w:t>
        </w:r>
      </w:hyperlink>
      <w:r w:rsidR="0078318F" w:rsidRPr="0078318F">
        <w:rPr>
          <w:szCs w:val="24"/>
        </w:rPr>
        <w:t xml:space="preserve"> </w:t>
      </w:r>
      <w:r w:rsidR="0078318F">
        <w:rPr>
          <w:szCs w:val="24"/>
        </w:rPr>
        <w:t>(Accessed 19-Feb-24)</w:t>
      </w:r>
    </w:p>
    <w:p w14:paraId="0CD192F0" w14:textId="71875BE7" w:rsidR="00992BD1" w:rsidRPr="0078318F" w:rsidRDefault="00BE14B2" w:rsidP="0078318F">
      <w:pPr>
        <w:ind w:left="720" w:hanging="720"/>
        <w:rPr>
          <w:rFonts w:ascii="Segoe UI" w:hAnsi="Segoe UI" w:cs="Segoe UI"/>
          <w:color w:val="333333"/>
          <w:shd w:val="clear" w:color="auto" w:fill="FCFCFC"/>
        </w:rPr>
      </w:pPr>
      <w:r w:rsidRPr="00711E75">
        <w:rPr>
          <w:szCs w:val="24"/>
        </w:rPr>
        <w:t xml:space="preserve">Balluchi, F., Lazzini, A. and Torelli, R., </w:t>
      </w:r>
      <w:r w:rsidR="00045B7F">
        <w:rPr>
          <w:szCs w:val="24"/>
        </w:rPr>
        <w:t>(</w:t>
      </w:r>
      <w:r w:rsidRPr="00711E75">
        <w:rPr>
          <w:szCs w:val="24"/>
        </w:rPr>
        <w:t>2020</w:t>
      </w:r>
      <w:r w:rsidR="00045B7F">
        <w:rPr>
          <w:szCs w:val="24"/>
        </w:rPr>
        <w:t>)</w:t>
      </w:r>
      <w:r w:rsidRPr="00711E75">
        <w:rPr>
          <w:szCs w:val="24"/>
        </w:rPr>
        <w:t>. CSR and Greenwashing: A Matter of Perception in the Search of Legitimacy. Accounting, accountability and society: Trends and perspectives in reporting, management and governance for sustainability, pp.151-166.</w:t>
      </w:r>
      <w:r w:rsidR="0078318F" w:rsidRPr="0078318F">
        <w:rPr>
          <w:rFonts w:ascii="Segoe UI" w:hAnsi="Segoe UI" w:cs="Segoe UI"/>
          <w:color w:val="333333"/>
          <w:shd w:val="clear" w:color="auto" w:fill="FCFCFC"/>
        </w:rPr>
        <w:t xml:space="preserve"> </w:t>
      </w:r>
      <w:hyperlink r:id="rId13" w:history="1">
        <w:r w:rsidR="0078318F" w:rsidRPr="00A50E8D">
          <w:rPr>
            <w:rStyle w:val="Hyperlink"/>
            <w:rFonts w:ascii="Segoe UI" w:hAnsi="Segoe UI" w:cs="Segoe UI"/>
            <w:shd w:val="clear" w:color="auto" w:fill="FCFCFC"/>
          </w:rPr>
          <w:t>https://doi.org/10.1007/978-3-030-41142-8_8</w:t>
        </w:r>
      </w:hyperlink>
      <w:r w:rsidR="0078318F" w:rsidRPr="0078318F">
        <w:rPr>
          <w:szCs w:val="24"/>
        </w:rPr>
        <w:t xml:space="preserve"> </w:t>
      </w:r>
      <w:r w:rsidR="0078318F">
        <w:rPr>
          <w:szCs w:val="24"/>
        </w:rPr>
        <w:t>(Accessed 19-Feb-24)</w:t>
      </w:r>
    </w:p>
    <w:p w14:paraId="5EFEAA79" w14:textId="7ED2236C" w:rsidR="00A90C71" w:rsidRPr="00557C3A" w:rsidRDefault="00BE14B2" w:rsidP="00711E75">
      <w:pPr>
        <w:ind w:left="720" w:hanging="720"/>
        <w:rPr>
          <w:szCs w:val="24"/>
          <w:lang w:val="pt-PT"/>
        </w:rPr>
      </w:pPr>
      <w:r w:rsidRPr="00711E75">
        <w:rPr>
          <w:szCs w:val="24"/>
        </w:rPr>
        <w:t xml:space="preserve">Costa, P.S.D., </w:t>
      </w:r>
      <w:r w:rsidR="00045B7F">
        <w:rPr>
          <w:szCs w:val="24"/>
        </w:rPr>
        <w:t>(</w:t>
      </w:r>
      <w:r w:rsidRPr="00711E75">
        <w:rPr>
          <w:szCs w:val="24"/>
        </w:rPr>
        <w:t>2020</w:t>
      </w:r>
      <w:r w:rsidR="00045B7F">
        <w:rPr>
          <w:szCs w:val="24"/>
        </w:rPr>
        <w:t>)</w:t>
      </w:r>
      <w:r w:rsidRPr="00711E75">
        <w:rPr>
          <w:szCs w:val="24"/>
        </w:rPr>
        <w:t>. Environmental sustainability in hotel industry: guest behaviour, participation and satisfaction (Doctoral dissertation).</w:t>
      </w:r>
      <w:r w:rsidR="0078318F">
        <w:rPr>
          <w:szCs w:val="24"/>
        </w:rPr>
        <w:t xml:space="preserve"> </w:t>
      </w:r>
      <w:hyperlink r:id="rId14" w:history="1">
        <w:r w:rsidR="0078318F" w:rsidRPr="00557C3A">
          <w:rPr>
            <w:rStyle w:val="Hyperlink"/>
            <w:szCs w:val="24"/>
            <w:lang w:val="pt-PT"/>
          </w:rPr>
          <w:t>https://repositorio.ucp.pt/handle/10400.14/32102</w:t>
        </w:r>
      </w:hyperlink>
      <w:r w:rsidR="0078318F" w:rsidRPr="00557C3A">
        <w:rPr>
          <w:szCs w:val="24"/>
          <w:lang w:val="pt-PT"/>
        </w:rPr>
        <w:t xml:space="preserve">  (</w:t>
      </w:r>
      <w:proofErr w:type="spellStart"/>
      <w:r w:rsidR="0078318F" w:rsidRPr="00557C3A">
        <w:rPr>
          <w:szCs w:val="24"/>
          <w:lang w:val="pt-PT"/>
        </w:rPr>
        <w:t>Accessed</w:t>
      </w:r>
      <w:proofErr w:type="spellEnd"/>
      <w:r w:rsidR="0078318F" w:rsidRPr="00557C3A">
        <w:rPr>
          <w:szCs w:val="24"/>
          <w:lang w:val="pt-PT"/>
        </w:rPr>
        <w:t xml:space="preserve"> 19-Feb-24)</w:t>
      </w:r>
    </w:p>
    <w:p w14:paraId="6ADEC104" w14:textId="1D862870" w:rsidR="00037CF0" w:rsidRPr="00711E75" w:rsidRDefault="00BE14B2" w:rsidP="00260224">
      <w:pPr>
        <w:ind w:left="720" w:hanging="720"/>
        <w:rPr>
          <w:szCs w:val="24"/>
        </w:rPr>
      </w:pPr>
      <w:r w:rsidRPr="00711E75">
        <w:rPr>
          <w:szCs w:val="24"/>
          <w:lang w:val="pt-PT"/>
        </w:rPr>
        <w:lastRenderedPageBreak/>
        <w:t>Suárez</w:t>
      </w:r>
      <w:r w:rsidRPr="00711E75">
        <w:rPr>
          <w:rFonts w:ascii="Cambria Math" w:hAnsi="Cambria Math" w:cs="Cambria Math"/>
          <w:szCs w:val="24"/>
          <w:lang w:val="pt-PT"/>
        </w:rPr>
        <w:t>‐</w:t>
      </w:r>
      <w:proofErr w:type="spellStart"/>
      <w:r w:rsidRPr="00711E75">
        <w:rPr>
          <w:szCs w:val="24"/>
          <w:lang w:val="pt-PT"/>
        </w:rPr>
        <w:t>Cebador</w:t>
      </w:r>
      <w:proofErr w:type="spellEnd"/>
      <w:r w:rsidRPr="00711E75">
        <w:rPr>
          <w:szCs w:val="24"/>
          <w:lang w:val="pt-PT"/>
        </w:rPr>
        <w:t>, M., Rubio</w:t>
      </w:r>
      <w:r w:rsidRPr="00711E75">
        <w:rPr>
          <w:rFonts w:ascii="Cambria Math" w:hAnsi="Cambria Math" w:cs="Cambria Math"/>
          <w:szCs w:val="24"/>
          <w:lang w:val="pt-PT"/>
        </w:rPr>
        <w:t>‐</w:t>
      </w:r>
      <w:r w:rsidRPr="00711E75">
        <w:rPr>
          <w:szCs w:val="24"/>
          <w:lang w:val="pt-PT"/>
        </w:rPr>
        <w:t>Romero, J.C., Pinto</w:t>
      </w:r>
      <w:r w:rsidRPr="00711E75">
        <w:rPr>
          <w:rFonts w:ascii="Cambria Math" w:hAnsi="Cambria Math" w:cs="Cambria Math"/>
          <w:szCs w:val="24"/>
          <w:lang w:val="pt-PT"/>
        </w:rPr>
        <w:t>‐</w:t>
      </w:r>
      <w:r w:rsidRPr="00711E75">
        <w:rPr>
          <w:szCs w:val="24"/>
          <w:lang w:val="pt-PT"/>
        </w:rPr>
        <w:t xml:space="preserve">Contreiras, J. and Gemar, G., </w:t>
      </w:r>
      <w:r w:rsidR="00045B7F">
        <w:rPr>
          <w:szCs w:val="24"/>
          <w:lang w:val="pt-PT"/>
        </w:rPr>
        <w:t>(</w:t>
      </w:r>
      <w:r w:rsidRPr="00711E75">
        <w:rPr>
          <w:szCs w:val="24"/>
          <w:lang w:val="pt-PT"/>
        </w:rPr>
        <w:t>2018</w:t>
      </w:r>
      <w:r w:rsidR="00045B7F">
        <w:rPr>
          <w:szCs w:val="24"/>
          <w:lang w:val="pt-PT"/>
        </w:rPr>
        <w:t>)</w:t>
      </w:r>
      <w:r w:rsidRPr="00711E75">
        <w:rPr>
          <w:szCs w:val="24"/>
          <w:lang w:val="pt-PT"/>
        </w:rPr>
        <w:t xml:space="preserve">. </w:t>
      </w:r>
      <w:r w:rsidRPr="00711E75">
        <w:rPr>
          <w:szCs w:val="24"/>
        </w:rPr>
        <w:t>A model to measure sustainable development in the hotel industry: A comparative study. Corporate Social Responsibility and Environmental Management, 25(5), pp.722-732.</w:t>
      </w:r>
      <w:r w:rsidR="0078318F">
        <w:rPr>
          <w:szCs w:val="24"/>
        </w:rPr>
        <w:t xml:space="preserve"> </w:t>
      </w:r>
      <w:hyperlink r:id="rId15" w:history="1">
        <w:r w:rsidR="00260224" w:rsidRPr="00A50E8D">
          <w:rPr>
            <w:rStyle w:val="Hyperlink"/>
            <w:szCs w:val="24"/>
          </w:rPr>
          <w:t>https://doi.org/10.1002/csr.1489</w:t>
        </w:r>
      </w:hyperlink>
      <w:r w:rsidR="00260224">
        <w:rPr>
          <w:szCs w:val="24"/>
        </w:rPr>
        <w:t xml:space="preserve"> </w:t>
      </w:r>
      <w:r w:rsidR="0078318F">
        <w:rPr>
          <w:szCs w:val="24"/>
        </w:rPr>
        <w:t>(Accessed 19-Feb-24)</w:t>
      </w:r>
    </w:p>
    <w:p w14:paraId="7E9FA737" w14:textId="6808A5AD" w:rsidR="00037CF0" w:rsidRPr="00711E75" w:rsidRDefault="00BE14B2" w:rsidP="00260224">
      <w:pPr>
        <w:ind w:left="720" w:hanging="720"/>
        <w:rPr>
          <w:szCs w:val="24"/>
        </w:rPr>
      </w:pPr>
      <w:r w:rsidRPr="00711E75">
        <w:rPr>
          <w:szCs w:val="24"/>
        </w:rPr>
        <w:t xml:space="preserve">George, R., </w:t>
      </w:r>
      <w:r w:rsidR="00045B7F">
        <w:rPr>
          <w:szCs w:val="24"/>
        </w:rPr>
        <w:t>(</w:t>
      </w:r>
      <w:r w:rsidRPr="00711E75">
        <w:rPr>
          <w:szCs w:val="24"/>
        </w:rPr>
        <w:t>2021</w:t>
      </w:r>
      <w:r w:rsidR="00045B7F">
        <w:rPr>
          <w:szCs w:val="24"/>
        </w:rPr>
        <w:t>)</w:t>
      </w:r>
      <w:r w:rsidRPr="00711E75">
        <w:rPr>
          <w:szCs w:val="24"/>
        </w:rPr>
        <w:t>. Tourism and Hospitality Marketing Principles. In Marketing Tourism and Hospitality: Concepts and Cases (pp. 3-31). Cham: Springer International Publishing.</w:t>
      </w:r>
      <w:r w:rsidR="0078318F" w:rsidRPr="0078318F">
        <w:rPr>
          <w:szCs w:val="24"/>
        </w:rPr>
        <w:t xml:space="preserve"> </w:t>
      </w:r>
      <w:r w:rsidR="00260224">
        <w:rPr>
          <w:rFonts w:ascii="Segoe UI" w:hAnsi="Segoe UI" w:cs="Segoe UI"/>
          <w:color w:val="333333"/>
          <w:shd w:val="clear" w:color="auto" w:fill="FCFCFC"/>
        </w:rPr>
        <w:t> </w:t>
      </w:r>
      <w:hyperlink r:id="rId16" w:history="1">
        <w:r w:rsidR="00260224" w:rsidRPr="00A50E8D">
          <w:rPr>
            <w:rStyle w:val="Hyperlink"/>
            <w:rFonts w:ascii="Segoe UI" w:hAnsi="Segoe UI" w:cs="Segoe UI"/>
            <w:shd w:val="clear" w:color="auto" w:fill="FCFCFC"/>
          </w:rPr>
          <w:t>https://doi.org/10.1007/978-3-030-64111-5_1</w:t>
        </w:r>
      </w:hyperlink>
      <w:r w:rsidR="00260224">
        <w:rPr>
          <w:szCs w:val="24"/>
        </w:rPr>
        <w:t xml:space="preserve"> </w:t>
      </w:r>
      <w:r w:rsidR="0078318F">
        <w:rPr>
          <w:szCs w:val="24"/>
        </w:rPr>
        <w:t>(Accessed 19-Feb-24)</w:t>
      </w:r>
    </w:p>
    <w:p w14:paraId="4DDEF76B" w14:textId="68ED620F" w:rsidR="00037CF0" w:rsidRPr="00711E75" w:rsidRDefault="00BE14B2" w:rsidP="00260224">
      <w:pPr>
        <w:ind w:left="720" w:hanging="720"/>
        <w:rPr>
          <w:szCs w:val="24"/>
        </w:rPr>
      </w:pPr>
      <w:r w:rsidRPr="00711E75">
        <w:rPr>
          <w:szCs w:val="24"/>
        </w:rPr>
        <w:t xml:space="preserve">Gürlek, M. and Tuna, M., </w:t>
      </w:r>
      <w:r w:rsidR="00045B7F">
        <w:rPr>
          <w:szCs w:val="24"/>
        </w:rPr>
        <w:t>(</w:t>
      </w:r>
      <w:r w:rsidRPr="00711E75">
        <w:rPr>
          <w:szCs w:val="24"/>
        </w:rPr>
        <w:t>2019</w:t>
      </w:r>
      <w:r w:rsidR="00045B7F">
        <w:rPr>
          <w:szCs w:val="24"/>
        </w:rPr>
        <w:t>)</w:t>
      </w:r>
      <w:r w:rsidRPr="00711E75">
        <w:rPr>
          <w:szCs w:val="24"/>
        </w:rPr>
        <w:t>. Corporate social responsibility and work engagement: Evidence from the hotel industry. Tourism Management Perspectives, 31, pp.195-208.</w:t>
      </w:r>
      <w:r w:rsidR="0078318F" w:rsidRPr="0078318F">
        <w:rPr>
          <w:szCs w:val="24"/>
        </w:rPr>
        <w:t xml:space="preserve"> </w:t>
      </w:r>
      <w:hyperlink r:id="rId17" w:history="1">
        <w:r w:rsidR="00260224" w:rsidRPr="00A50E8D">
          <w:rPr>
            <w:rStyle w:val="Hyperlink"/>
            <w:szCs w:val="24"/>
          </w:rPr>
          <w:t>https://doi.org/10.1016/j.tmp.2019.05.004</w:t>
        </w:r>
      </w:hyperlink>
      <w:r w:rsidR="00260224" w:rsidRPr="00260224">
        <w:rPr>
          <w:szCs w:val="24"/>
        </w:rPr>
        <w:t xml:space="preserve"> </w:t>
      </w:r>
      <w:r w:rsidR="0078318F">
        <w:rPr>
          <w:szCs w:val="24"/>
        </w:rPr>
        <w:t>(Accessed 19-Feb-24)</w:t>
      </w:r>
    </w:p>
    <w:p w14:paraId="7DC6A93F" w14:textId="72BD64BF" w:rsidR="00725B13" w:rsidRPr="00711E75" w:rsidRDefault="00725B13" w:rsidP="00260224">
      <w:pPr>
        <w:ind w:left="720" w:hanging="720"/>
        <w:rPr>
          <w:szCs w:val="24"/>
        </w:rPr>
      </w:pPr>
      <w:r w:rsidRPr="00711E75">
        <w:rPr>
          <w:szCs w:val="24"/>
        </w:rPr>
        <w:t xml:space="preserve">Inês, A., Diniz, A. and Moreira, A.C., </w:t>
      </w:r>
      <w:r w:rsidR="00045B7F">
        <w:rPr>
          <w:szCs w:val="24"/>
        </w:rPr>
        <w:t>(</w:t>
      </w:r>
      <w:r w:rsidRPr="00711E75">
        <w:rPr>
          <w:szCs w:val="24"/>
        </w:rPr>
        <w:t>2023</w:t>
      </w:r>
      <w:r w:rsidR="00045B7F">
        <w:rPr>
          <w:szCs w:val="24"/>
        </w:rPr>
        <w:t>)</w:t>
      </w:r>
      <w:r w:rsidRPr="00711E75">
        <w:rPr>
          <w:szCs w:val="24"/>
        </w:rPr>
        <w:t>. A review of greenwashing and supply chain management: Challenges ahead. Cleaner Environmental Systems, p.100136.</w:t>
      </w:r>
      <w:r w:rsidR="0078318F" w:rsidRPr="0078318F">
        <w:rPr>
          <w:szCs w:val="24"/>
        </w:rPr>
        <w:t xml:space="preserve"> </w:t>
      </w:r>
      <w:hyperlink r:id="rId18" w:history="1">
        <w:r w:rsidR="00260224" w:rsidRPr="00A50E8D">
          <w:rPr>
            <w:rStyle w:val="Hyperlink"/>
            <w:szCs w:val="24"/>
          </w:rPr>
          <w:t>https://doi.org/10.1016/j.cesys.2023.100136</w:t>
        </w:r>
      </w:hyperlink>
      <w:r w:rsidR="00260224">
        <w:rPr>
          <w:szCs w:val="24"/>
        </w:rPr>
        <w:t xml:space="preserve"> </w:t>
      </w:r>
      <w:r w:rsidR="0078318F">
        <w:rPr>
          <w:szCs w:val="24"/>
        </w:rPr>
        <w:t>(Accessed 19-Feb-24)</w:t>
      </w:r>
    </w:p>
    <w:p w14:paraId="4957CCDF" w14:textId="29221F1C" w:rsidR="000B1632" w:rsidRPr="00711E75" w:rsidRDefault="00BE14B2" w:rsidP="00260224">
      <w:pPr>
        <w:ind w:left="720" w:hanging="720"/>
        <w:rPr>
          <w:szCs w:val="24"/>
        </w:rPr>
      </w:pPr>
      <w:r w:rsidRPr="00711E75">
        <w:rPr>
          <w:szCs w:val="24"/>
        </w:rPr>
        <w:t xml:space="preserve">Janjusevic, L., </w:t>
      </w:r>
      <w:r w:rsidR="00045B7F">
        <w:rPr>
          <w:szCs w:val="24"/>
        </w:rPr>
        <w:t>(</w:t>
      </w:r>
      <w:r w:rsidRPr="00711E75">
        <w:rPr>
          <w:szCs w:val="24"/>
        </w:rPr>
        <w:t>2022</w:t>
      </w:r>
      <w:r w:rsidR="00045B7F">
        <w:rPr>
          <w:szCs w:val="24"/>
        </w:rPr>
        <w:t>)</w:t>
      </w:r>
      <w:r w:rsidRPr="00711E75">
        <w:rPr>
          <w:szCs w:val="24"/>
        </w:rPr>
        <w:t>. SUSTAINABLE TOURISM DEVELOPMENT, EVIDENCE BASED APPROACH. Economic and Social Development: Book of Proceedings, pp.121-133.</w:t>
      </w:r>
      <w:r w:rsidR="00260224" w:rsidRPr="00260224">
        <w:t xml:space="preserve"> </w:t>
      </w:r>
      <w:hyperlink r:id="rId19" w:anchor="page=128" w:history="1">
        <w:r w:rsidR="00260224" w:rsidRPr="00A50E8D">
          <w:rPr>
            <w:rStyle w:val="Hyperlink"/>
            <w:szCs w:val="24"/>
          </w:rPr>
          <w:t>https://www.researchgate.net/profile/Manal-Ait-Daoud/publication/365153312_BUSINESS_CONTRIBUTION_OF_KEY_DIGITAL_TECHNOLOGIES_TO_THE_GOALS_OF_DIGITAL_BUSINESS_TRANSFORMATION/links/6366c7b737878b3e87852537/BUSINESS-CONTRIBUTION-OF-KEY-DIGITAL-TECHNOLOGIES-TO-THE-GOALS-OF-DIGITAL-BUSINESS-TRANSFORMATION.pdf#page=128</w:t>
        </w:r>
      </w:hyperlink>
      <w:r w:rsidR="0078318F" w:rsidRPr="0078318F">
        <w:rPr>
          <w:szCs w:val="24"/>
        </w:rPr>
        <w:t xml:space="preserve"> </w:t>
      </w:r>
      <w:r w:rsidR="0078318F">
        <w:rPr>
          <w:szCs w:val="24"/>
        </w:rPr>
        <w:t>(Accessed 19-Feb-24)</w:t>
      </w:r>
    </w:p>
    <w:p w14:paraId="485B71EF" w14:textId="11CE84A4" w:rsidR="00037CF0" w:rsidRPr="00711E75" w:rsidRDefault="00BE14B2" w:rsidP="00260224">
      <w:pPr>
        <w:ind w:left="720" w:hanging="720"/>
        <w:rPr>
          <w:szCs w:val="24"/>
        </w:rPr>
      </w:pPr>
      <w:r w:rsidRPr="00711E75">
        <w:rPr>
          <w:szCs w:val="24"/>
        </w:rPr>
        <w:t xml:space="preserve">Latif, K.F., Pérez, A. and Sahibzada, U.F., </w:t>
      </w:r>
      <w:r w:rsidR="00045B7F">
        <w:rPr>
          <w:szCs w:val="24"/>
        </w:rPr>
        <w:t>(</w:t>
      </w:r>
      <w:r w:rsidRPr="00711E75">
        <w:rPr>
          <w:szCs w:val="24"/>
        </w:rPr>
        <w:t>2020</w:t>
      </w:r>
      <w:r w:rsidR="00045B7F">
        <w:rPr>
          <w:szCs w:val="24"/>
        </w:rPr>
        <w:t>)</w:t>
      </w:r>
      <w:r w:rsidRPr="00711E75">
        <w:rPr>
          <w:szCs w:val="24"/>
        </w:rPr>
        <w:t>. Corporate social responsibility (CSR) and customer loyalty in the hotel industry: A cross-country study. International Journal of Hospitality Management, 89, p.102565.</w:t>
      </w:r>
      <w:r w:rsidR="00260224" w:rsidRPr="00260224">
        <w:t xml:space="preserve"> </w:t>
      </w:r>
      <w:hyperlink r:id="rId20" w:history="1">
        <w:r w:rsidR="00260224" w:rsidRPr="00A50E8D">
          <w:rPr>
            <w:rStyle w:val="Hyperlink"/>
            <w:szCs w:val="24"/>
          </w:rPr>
          <w:t>https://doi.org/10.1016/j.ijhm.2020.102565</w:t>
        </w:r>
      </w:hyperlink>
      <w:r w:rsidR="0078318F" w:rsidRPr="0078318F">
        <w:rPr>
          <w:szCs w:val="24"/>
        </w:rPr>
        <w:t xml:space="preserve"> </w:t>
      </w:r>
      <w:r w:rsidR="0078318F">
        <w:rPr>
          <w:szCs w:val="24"/>
        </w:rPr>
        <w:t>(Accessed 19-Feb-24)</w:t>
      </w:r>
    </w:p>
    <w:p w14:paraId="772EBF61" w14:textId="7041684C" w:rsidR="00423ED2" w:rsidRPr="00711E75" w:rsidRDefault="00BE14B2" w:rsidP="00260224">
      <w:pPr>
        <w:ind w:left="720" w:hanging="720"/>
        <w:rPr>
          <w:szCs w:val="24"/>
        </w:rPr>
      </w:pPr>
      <w:proofErr w:type="spellStart"/>
      <w:r w:rsidRPr="00557C3A">
        <w:rPr>
          <w:szCs w:val="24"/>
          <w:lang w:val="pt-PT"/>
        </w:rPr>
        <w:t>Mangini</w:t>
      </w:r>
      <w:proofErr w:type="spellEnd"/>
      <w:r w:rsidRPr="00557C3A">
        <w:rPr>
          <w:szCs w:val="24"/>
          <w:lang w:val="pt-PT"/>
        </w:rPr>
        <w:t xml:space="preserve">, E.R., Amaral, L.M., </w:t>
      </w:r>
      <w:proofErr w:type="spellStart"/>
      <w:r w:rsidRPr="00557C3A">
        <w:rPr>
          <w:szCs w:val="24"/>
          <w:lang w:val="pt-PT"/>
        </w:rPr>
        <w:t>Conejero</w:t>
      </w:r>
      <w:proofErr w:type="spellEnd"/>
      <w:r w:rsidRPr="00557C3A">
        <w:rPr>
          <w:szCs w:val="24"/>
          <w:lang w:val="pt-PT"/>
        </w:rPr>
        <w:t xml:space="preserve">, M.A. </w:t>
      </w:r>
      <w:proofErr w:type="spellStart"/>
      <w:r w:rsidRPr="00557C3A">
        <w:rPr>
          <w:szCs w:val="24"/>
          <w:lang w:val="pt-PT"/>
        </w:rPr>
        <w:t>and</w:t>
      </w:r>
      <w:proofErr w:type="spellEnd"/>
      <w:r w:rsidRPr="00557C3A">
        <w:rPr>
          <w:szCs w:val="24"/>
          <w:lang w:val="pt-PT"/>
        </w:rPr>
        <w:t xml:space="preserve"> Pires, C.S., </w:t>
      </w:r>
      <w:r w:rsidR="00045B7F" w:rsidRPr="00557C3A">
        <w:rPr>
          <w:szCs w:val="24"/>
          <w:lang w:val="pt-PT"/>
        </w:rPr>
        <w:t>(</w:t>
      </w:r>
      <w:r w:rsidRPr="00557C3A">
        <w:rPr>
          <w:szCs w:val="24"/>
          <w:lang w:val="pt-PT"/>
        </w:rPr>
        <w:t>2020</w:t>
      </w:r>
      <w:r w:rsidR="00045B7F" w:rsidRPr="00557C3A">
        <w:rPr>
          <w:szCs w:val="24"/>
          <w:lang w:val="pt-PT"/>
        </w:rPr>
        <w:t>)</w:t>
      </w:r>
      <w:r w:rsidRPr="00557C3A">
        <w:rPr>
          <w:szCs w:val="24"/>
          <w:lang w:val="pt-PT"/>
        </w:rPr>
        <w:t xml:space="preserve">. </w:t>
      </w:r>
      <w:r w:rsidRPr="00711E75">
        <w:rPr>
          <w:szCs w:val="24"/>
        </w:rPr>
        <w:t>Greenwashing study and consumers’ behavioral intentions. Consumer Behavior Review, 4(3), pp.229-244.</w:t>
      </w:r>
      <w:r w:rsidR="00260224" w:rsidRPr="00260224">
        <w:t xml:space="preserve"> </w:t>
      </w:r>
      <w:hyperlink r:id="rId21" w:history="1">
        <w:r w:rsidR="00260224" w:rsidRPr="00A50E8D">
          <w:rPr>
            <w:rStyle w:val="Hyperlink"/>
            <w:szCs w:val="24"/>
          </w:rPr>
          <w:t>http://portal.amelica.org/ameli/jatsRepo/364/3641460005/html/</w:t>
        </w:r>
      </w:hyperlink>
      <w:r w:rsidR="0078318F" w:rsidRPr="0078318F">
        <w:rPr>
          <w:szCs w:val="24"/>
        </w:rPr>
        <w:t xml:space="preserve"> </w:t>
      </w:r>
      <w:r w:rsidR="0078318F">
        <w:rPr>
          <w:szCs w:val="24"/>
        </w:rPr>
        <w:t>(Accessed 19-Feb-24)</w:t>
      </w:r>
    </w:p>
    <w:p w14:paraId="5770D91C" w14:textId="13E89E40" w:rsidR="00037CF0" w:rsidRPr="00711E75" w:rsidRDefault="00BE14B2" w:rsidP="00260224">
      <w:pPr>
        <w:ind w:left="720" w:hanging="720"/>
        <w:rPr>
          <w:szCs w:val="24"/>
        </w:rPr>
      </w:pPr>
      <w:r w:rsidRPr="00711E75">
        <w:rPr>
          <w:szCs w:val="24"/>
        </w:rPr>
        <w:lastRenderedPageBreak/>
        <w:t xml:space="preserve">Mohammed, A. and Al-Swidi, A., </w:t>
      </w:r>
      <w:r w:rsidR="00045B7F">
        <w:rPr>
          <w:szCs w:val="24"/>
        </w:rPr>
        <w:t>(</w:t>
      </w:r>
      <w:r w:rsidRPr="00711E75">
        <w:rPr>
          <w:szCs w:val="24"/>
        </w:rPr>
        <w:t>2019</w:t>
      </w:r>
      <w:r w:rsidR="00045B7F">
        <w:rPr>
          <w:szCs w:val="24"/>
        </w:rPr>
        <w:t>)</w:t>
      </w:r>
      <w:r w:rsidRPr="00711E75">
        <w:rPr>
          <w:szCs w:val="24"/>
        </w:rPr>
        <w:t>. The influence of CSR on perceived value, social media and loyalty in the hotel industry. Spanish Journal of Marketing-ESIC, 23(3), pp.373-396.</w:t>
      </w:r>
      <w:r w:rsidR="00260224" w:rsidRPr="00260224">
        <w:t xml:space="preserve"> </w:t>
      </w:r>
      <w:hyperlink r:id="rId22" w:history="1">
        <w:r w:rsidR="00260224" w:rsidRPr="00A50E8D">
          <w:rPr>
            <w:rStyle w:val="Hyperlink"/>
            <w:szCs w:val="24"/>
          </w:rPr>
          <w:t>https://www.emerald.com/insight/content/doi/10.1108/SJME-06-2019-0029/full/htm</w:t>
        </w:r>
      </w:hyperlink>
      <w:r w:rsidR="0078318F" w:rsidRPr="0078318F">
        <w:rPr>
          <w:szCs w:val="24"/>
        </w:rPr>
        <w:t xml:space="preserve"> </w:t>
      </w:r>
      <w:r w:rsidR="0078318F">
        <w:rPr>
          <w:szCs w:val="24"/>
        </w:rPr>
        <w:t>(Accessed 19-Feb-24)</w:t>
      </w:r>
    </w:p>
    <w:p w14:paraId="1F45DE2A" w14:textId="02E93157" w:rsidR="00304758" w:rsidRPr="00711E75" w:rsidRDefault="00304758" w:rsidP="00260224">
      <w:pPr>
        <w:ind w:left="720" w:hanging="720"/>
        <w:rPr>
          <w:szCs w:val="24"/>
        </w:rPr>
      </w:pPr>
      <w:r w:rsidRPr="00711E75">
        <w:rPr>
          <w:szCs w:val="24"/>
        </w:rPr>
        <w:t xml:space="preserve">Majeed, S. and Kim, W.G., </w:t>
      </w:r>
      <w:r w:rsidR="00045B7F">
        <w:rPr>
          <w:szCs w:val="24"/>
        </w:rPr>
        <w:t>(</w:t>
      </w:r>
      <w:r w:rsidRPr="00711E75">
        <w:rPr>
          <w:szCs w:val="24"/>
        </w:rPr>
        <w:t>2022</w:t>
      </w:r>
      <w:r w:rsidR="00045B7F">
        <w:rPr>
          <w:szCs w:val="24"/>
        </w:rPr>
        <w:t>)</w:t>
      </w:r>
      <w:r w:rsidRPr="00711E75">
        <w:rPr>
          <w:szCs w:val="24"/>
        </w:rPr>
        <w:t>. A reflection of greenwashing practices in the hospitality industry: a scoping review. International Journal of Contemporary Hospitality Management, 35(3), pp.1125-1146.</w:t>
      </w:r>
      <w:r w:rsidR="00260224" w:rsidRPr="00260224">
        <w:t xml:space="preserve"> </w:t>
      </w:r>
      <w:hyperlink r:id="rId23" w:history="1">
        <w:r w:rsidR="00260224" w:rsidRPr="00A50E8D">
          <w:rPr>
            <w:rStyle w:val="Hyperlink"/>
            <w:szCs w:val="24"/>
          </w:rPr>
          <w:t>https://doi.org/10.1108/IJCHM-04-2022-0495</w:t>
        </w:r>
      </w:hyperlink>
      <w:r w:rsidR="0078318F" w:rsidRPr="0078318F">
        <w:rPr>
          <w:szCs w:val="24"/>
        </w:rPr>
        <w:t xml:space="preserve"> </w:t>
      </w:r>
      <w:r w:rsidR="0078318F">
        <w:rPr>
          <w:szCs w:val="24"/>
        </w:rPr>
        <w:t>(Accessed 19-Feb-24)</w:t>
      </w:r>
    </w:p>
    <w:p w14:paraId="5668C6AD" w14:textId="4571882D" w:rsidR="007B57AB" w:rsidRPr="00557C3A" w:rsidRDefault="00BE14B2" w:rsidP="00260224">
      <w:pPr>
        <w:ind w:left="720" w:hanging="720"/>
        <w:rPr>
          <w:szCs w:val="24"/>
        </w:rPr>
      </w:pPr>
      <w:r w:rsidRPr="00711E75">
        <w:rPr>
          <w:szCs w:val="24"/>
        </w:rPr>
        <w:t xml:space="preserve">Parguel, B. and Johnson, G., </w:t>
      </w:r>
      <w:r w:rsidR="00045B7F">
        <w:rPr>
          <w:szCs w:val="24"/>
        </w:rPr>
        <w:t>(</w:t>
      </w:r>
      <w:r w:rsidRPr="00711E75">
        <w:rPr>
          <w:szCs w:val="24"/>
        </w:rPr>
        <w:t>2021</w:t>
      </w:r>
      <w:r w:rsidR="00045B7F">
        <w:rPr>
          <w:szCs w:val="24"/>
        </w:rPr>
        <w:t>)</w:t>
      </w:r>
      <w:r w:rsidRPr="00711E75">
        <w:rPr>
          <w:szCs w:val="24"/>
        </w:rPr>
        <w:t xml:space="preserve">. Beyond greenwashing: Addressing ‘the great illusion’of green advertising. </w:t>
      </w:r>
      <w:r w:rsidRPr="00557C3A">
        <w:rPr>
          <w:szCs w:val="24"/>
        </w:rPr>
        <w:t xml:space="preserve">Revue de </w:t>
      </w:r>
      <w:proofErr w:type="spellStart"/>
      <w:r w:rsidRPr="00557C3A">
        <w:rPr>
          <w:szCs w:val="24"/>
        </w:rPr>
        <w:t>l’organisation</w:t>
      </w:r>
      <w:proofErr w:type="spellEnd"/>
      <w:r w:rsidRPr="00557C3A">
        <w:rPr>
          <w:szCs w:val="24"/>
        </w:rPr>
        <w:t xml:space="preserve"> </w:t>
      </w:r>
      <w:proofErr w:type="spellStart"/>
      <w:r w:rsidRPr="00557C3A">
        <w:rPr>
          <w:szCs w:val="24"/>
        </w:rPr>
        <w:t>responsable</w:t>
      </w:r>
      <w:proofErr w:type="spellEnd"/>
      <w:r w:rsidRPr="00557C3A">
        <w:rPr>
          <w:szCs w:val="24"/>
        </w:rPr>
        <w:t>, 16(2), pp.59-66.</w:t>
      </w:r>
      <w:r w:rsidR="00260224" w:rsidRPr="00260224">
        <w:t xml:space="preserve"> </w:t>
      </w:r>
      <w:hyperlink r:id="rId24" w:history="1">
        <w:r w:rsidR="00260224" w:rsidRPr="00557C3A">
          <w:rPr>
            <w:rStyle w:val="Hyperlink"/>
            <w:szCs w:val="24"/>
          </w:rPr>
          <w:t>https://www.cairn.info/revue-de-l-organisation-responsable-2021-2-page-59.htm</w:t>
        </w:r>
      </w:hyperlink>
      <w:r w:rsidR="0078318F" w:rsidRPr="0078318F">
        <w:rPr>
          <w:szCs w:val="24"/>
        </w:rPr>
        <w:t xml:space="preserve"> </w:t>
      </w:r>
      <w:r w:rsidR="0078318F">
        <w:rPr>
          <w:szCs w:val="24"/>
        </w:rPr>
        <w:t>(Accessed 19-Feb-24)</w:t>
      </w:r>
    </w:p>
    <w:p w14:paraId="0C9AB763" w14:textId="28F7C6FE" w:rsidR="00A90C71" w:rsidRPr="00711E75" w:rsidRDefault="00BE14B2" w:rsidP="00260224">
      <w:pPr>
        <w:ind w:left="720" w:hanging="720"/>
        <w:rPr>
          <w:szCs w:val="24"/>
        </w:rPr>
      </w:pPr>
      <w:proofErr w:type="spellStart"/>
      <w:r w:rsidRPr="00711E75">
        <w:rPr>
          <w:szCs w:val="24"/>
          <w:lang w:val="pt-PT"/>
        </w:rPr>
        <w:t>Úbeda</w:t>
      </w:r>
      <w:proofErr w:type="spellEnd"/>
      <w:r w:rsidRPr="00711E75">
        <w:rPr>
          <w:szCs w:val="24"/>
          <w:lang w:val="pt-PT"/>
        </w:rPr>
        <w:t xml:space="preserve">-García, M., Claver-Cortés, E., Marco-Lajara, B. and Zaragoza-Sáez, P., </w:t>
      </w:r>
      <w:r w:rsidR="00045B7F">
        <w:rPr>
          <w:szCs w:val="24"/>
          <w:lang w:val="pt-PT"/>
        </w:rPr>
        <w:t>(</w:t>
      </w:r>
      <w:r w:rsidRPr="00711E75">
        <w:rPr>
          <w:szCs w:val="24"/>
          <w:lang w:val="pt-PT"/>
        </w:rPr>
        <w:t>2021</w:t>
      </w:r>
      <w:r w:rsidR="00045B7F">
        <w:rPr>
          <w:szCs w:val="24"/>
          <w:lang w:val="pt-PT"/>
        </w:rPr>
        <w:t>)</w:t>
      </w:r>
      <w:r w:rsidRPr="00711E75">
        <w:rPr>
          <w:szCs w:val="24"/>
          <w:lang w:val="pt-PT"/>
        </w:rPr>
        <w:t xml:space="preserve">. </w:t>
      </w:r>
      <w:r w:rsidRPr="00711E75">
        <w:rPr>
          <w:szCs w:val="24"/>
        </w:rPr>
        <w:t>Corporate social responsibility and firm performance in the hotel industry. The mediating role of green human resource management and environmental outcomes. Journal of Business Research, 123, pp.57-69.</w:t>
      </w:r>
      <w:r w:rsidR="0078318F" w:rsidRPr="0078318F">
        <w:rPr>
          <w:szCs w:val="24"/>
        </w:rPr>
        <w:t xml:space="preserve"> </w:t>
      </w:r>
      <w:hyperlink r:id="rId25" w:history="1">
        <w:r w:rsidR="00260224" w:rsidRPr="00A50E8D">
          <w:rPr>
            <w:rStyle w:val="Hyperlink"/>
            <w:szCs w:val="24"/>
          </w:rPr>
          <w:t>https://doi.org/10.1016/j.jbusres.2020.09.055</w:t>
        </w:r>
      </w:hyperlink>
      <w:r w:rsidR="00260224">
        <w:rPr>
          <w:szCs w:val="24"/>
        </w:rPr>
        <w:t xml:space="preserve"> </w:t>
      </w:r>
      <w:r w:rsidR="0078318F">
        <w:rPr>
          <w:szCs w:val="24"/>
        </w:rPr>
        <w:t>(Accessed 19-Feb-24)</w:t>
      </w:r>
    </w:p>
    <w:p w14:paraId="267A10F5" w14:textId="587B5674" w:rsidR="00C45BB7" w:rsidRPr="00711E75" w:rsidRDefault="00C45BB7" w:rsidP="00260224">
      <w:pPr>
        <w:ind w:left="720" w:hanging="720"/>
        <w:rPr>
          <w:szCs w:val="24"/>
        </w:rPr>
      </w:pPr>
      <w:r w:rsidRPr="00711E75">
        <w:rPr>
          <w:szCs w:val="24"/>
        </w:rPr>
        <w:t xml:space="preserve">von </w:t>
      </w:r>
      <w:proofErr w:type="spellStart"/>
      <w:r w:rsidRPr="00711E75">
        <w:rPr>
          <w:szCs w:val="24"/>
        </w:rPr>
        <w:t>Flüe</w:t>
      </w:r>
      <w:proofErr w:type="spellEnd"/>
      <w:r w:rsidRPr="00711E75">
        <w:rPr>
          <w:szCs w:val="24"/>
        </w:rPr>
        <w:t xml:space="preserve">, L., Efferson, C. and Vogt, S., </w:t>
      </w:r>
      <w:r w:rsidR="00045B7F">
        <w:rPr>
          <w:szCs w:val="24"/>
        </w:rPr>
        <w:t>(</w:t>
      </w:r>
      <w:r w:rsidRPr="00711E75">
        <w:rPr>
          <w:szCs w:val="24"/>
        </w:rPr>
        <w:t>2024</w:t>
      </w:r>
      <w:r w:rsidR="00045B7F">
        <w:rPr>
          <w:szCs w:val="24"/>
        </w:rPr>
        <w:t>)</w:t>
      </w:r>
      <w:r w:rsidRPr="00711E75">
        <w:rPr>
          <w:szCs w:val="24"/>
        </w:rPr>
        <w:t>. Green preferences sustain greenwashing: challenges in the cultural transition to a sustainable future. Philosophical Transactions of the Royal Society B, 379(1893), p.20220268.</w:t>
      </w:r>
      <w:r w:rsidR="00260224" w:rsidRPr="00260224">
        <w:t xml:space="preserve"> </w:t>
      </w:r>
      <w:hyperlink r:id="rId26" w:history="1">
        <w:r w:rsidR="00260224" w:rsidRPr="00A50E8D">
          <w:rPr>
            <w:rStyle w:val="Hyperlink"/>
            <w:szCs w:val="24"/>
          </w:rPr>
          <w:t>https://doi.org/10.1098/rstb.2022.0268</w:t>
        </w:r>
      </w:hyperlink>
      <w:r w:rsidR="0078318F" w:rsidRPr="0078318F">
        <w:rPr>
          <w:szCs w:val="24"/>
        </w:rPr>
        <w:t xml:space="preserve"> </w:t>
      </w:r>
      <w:r w:rsidR="0078318F">
        <w:rPr>
          <w:szCs w:val="24"/>
        </w:rPr>
        <w:t>(Accessed 19-Feb-24)</w:t>
      </w:r>
    </w:p>
    <w:p w14:paraId="33E93F20" w14:textId="257D8A40" w:rsidR="00037CF0" w:rsidRPr="00711E75" w:rsidRDefault="00BE14B2" w:rsidP="00007A3A">
      <w:pPr>
        <w:ind w:left="720" w:hanging="720"/>
        <w:rPr>
          <w:szCs w:val="24"/>
        </w:rPr>
      </w:pPr>
      <w:r w:rsidRPr="00711E75">
        <w:rPr>
          <w:szCs w:val="24"/>
        </w:rPr>
        <w:t xml:space="preserve">Wong, A.K.F. and Kim, S.S., </w:t>
      </w:r>
      <w:r w:rsidR="00045B7F">
        <w:rPr>
          <w:szCs w:val="24"/>
        </w:rPr>
        <w:t>(</w:t>
      </w:r>
      <w:r w:rsidRPr="00711E75">
        <w:rPr>
          <w:szCs w:val="24"/>
        </w:rPr>
        <w:t>2020</w:t>
      </w:r>
      <w:r w:rsidR="00045B7F">
        <w:rPr>
          <w:szCs w:val="24"/>
        </w:rPr>
        <w:t>)</w:t>
      </w:r>
      <w:r w:rsidRPr="00711E75">
        <w:rPr>
          <w:szCs w:val="24"/>
        </w:rPr>
        <w:t>. Development and validation of standard hotel corporate social responsibility (CSR) scale from the employee perspective. International Journal of Hospitality Management, 87, p.102507.</w:t>
      </w:r>
      <w:r w:rsidR="00007A3A" w:rsidRPr="00007A3A">
        <w:t xml:space="preserve"> </w:t>
      </w:r>
      <w:hyperlink r:id="rId27" w:history="1">
        <w:r w:rsidR="00007A3A" w:rsidRPr="00A50E8D">
          <w:rPr>
            <w:rStyle w:val="Hyperlink"/>
            <w:szCs w:val="24"/>
          </w:rPr>
          <w:t>https://doi.org/10.1016/j.ijhm.2020.102507</w:t>
        </w:r>
      </w:hyperlink>
      <w:r w:rsidR="0078318F" w:rsidRPr="0078318F">
        <w:rPr>
          <w:szCs w:val="24"/>
        </w:rPr>
        <w:t xml:space="preserve"> </w:t>
      </w:r>
      <w:r w:rsidR="0078318F">
        <w:rPr>
          <w:szCs w:val="24"/>
        </w:rPr>
        <w:t>(Accessed 19-Feb-24)</w:t>
      </w:r>
    </w:p>
    <w:p w14:paraId="16278A57" w14:textId="3302F5DA" w:rsidR="00827F4A" w:rsidRPr="00711E75" w:rsidRDefault="00BE14B2" w:rsidP="00007A3A">
      <w:pPr>
        <w:ind w:left="720" w:hanging="720"/>
        <w:rPr>
          <w:szCs w:val="24"/>
        </w:rPr>
      </w:pPr>
      <w:r w:rsidRPr="00711E75">
        <w:rPr>
          <w:szCs w:val="24"/>
        </w:rPr>
        <w:t xml:space="preserve">Yang, Z., Nguyen, T.T.H., Nguyen, H.N., Nguyen, T.T.N. and Cao, T.T., </w:t>
      </w:r>
      <w:r w:rsidR="00045B7F">
        <w:rPr>
          <w:szCs w:val="24"/>
        </w:rPr>
        <w:t>(2020)</w:t>
      </w:r>
      <w:r w:rsidRPr="00711E75">
        <w:rPr>
          <w:szCs w:val="24"/>
        </w:rPr>
        <w:t xml:space="preserve"> Greenwashing behaviours: Causes, taxonomy and consequences based on a systematic literature review. Journal of Business Economics and Management, </w:t>
      </w:r>
      <w:r w:rsidRPr="00711E75">
        <w:rPr>
          <w:szCs w:val="24"/>
        </w:rPr>
        <w:lastRenderedPageBreak/>
        <w:t>21(5), pp.1486-1507.</w:t>
      </w:r>
      <w:r w:rsidR="00007A3A" w:rsidRPr="00007A3A">
        <w:t xml:space="preserve"> </w:t>
      </w:r>
      <w:hyperlink r:id="rId28" w:history="1">
        <w:r w:rsidR="00007A3A" w:rsidRPr="00A50E8D">
          <w:rPr>
            <w:rStyle w:val="Hyperlink"/>
            <w:szCs w:val="24"/>
          </w:rPr>
          <w:t>https://doi.org/10.3846/jbem.2020.13225</w:t>
        </w:r>
      </w:hyperlink>
      <w:r w:rsidR="0078318F" w:rsidRPr="0078318F">
        <w:rPr>
          <w:szCs w:val="24"/>
        </w:rPr>
        <w:t xml:space="preserve"> </w:t>
      </w:r>
      <w:r w:rsidR="0078318F">
        <w:rPr>
          <w:szCs w:val="24"/>
        </w:rPr>
        <w:t>(Accessed 19-Feb-24)</w:t>
      </w:r>
    </w:p>
    <w:sectPr w:rsidR="00827F4A" w:rsidRPr="00711E75" w:rsidSect="004E1B82">
      <w:headerReference w:type="default" r:id="rId2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11D16" w14:textId="77777777" w:rsidR="00336954" w:rsidRDefault="00336954" w:rsidP="00D84747">
      <w:r>
        <w:separator/>
      </w:r>
    </w:p>
  </w:endnote>
  <w:endnote w:type="continuationSeparator" w:id="0">
    <w:p w14:paraId="2308DA4C" w14:textId="77777777" w:rsidR="00336954" w:rsidRDefault="00336954" w:rsidP="00D84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7C1EB" w14:textId="77777777" w:rsidR="00336954" w:rsidRDefault="00336954" w:rsidP="00D84747">
      <w:r>
        <w:separator/>
      </w:r>
    </w:p>
  </w:footnote>
  <w:footnote w:type="continuationSeparator" w:id="0">
    <w:p w14:paraId="59B795DD" w14:textId="77777777" w:rsidR="00336954" w:rsidRDefault="00336954" w:rsidP="00D847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3201583"/>
      <w:docPartObj>
        <w:docPartGallery w:val="Page Numbers (Top of Page)"/>
        <w:docPartUnique/>
      </w:docPartObj>
    </w:sdtPr>
    <w:sdtEndPr>
      <w:rPr>
        <w:noProof/>
      </w:rPr>
    </w:sdtEndPr>
    <w:sdtContent>
      <w:p w14:paraId="0AD36A9A" w14:textId="77777777" w:rsidR="001D0141" w:rsidRDefault="001D0141" w:rsidP="00D84747">
        <w:pPr>
          <w:pStyle w:val="Header"/>
        </w:pPr>
        <w:r>
          <w:fldChar w:fldCharType="begin"/>
        </w:r>
        <w:r>
          <w:instrText xml:space="preserve"> PAGE   \* MERGEFORMAT </w:instrText>
        </w:r>
        <w:r>
          <w:fldChar w:fldCharType="separate"/>
        </w:r>
        <w:r w:rsidR="00045B7F">
          <w:rPr>
            <w:noProof/>
          </w:rPr>
          <w:t>14</w:t>
        </w:r>
        <w:r>
          <w:rPr>
            <w:noProof/>
          </w:rPr>
          <w:fldChar w:fldCharType="end"/>
        </w:r>
      </w:p>
    </w:sdtContent>
  </w:sdt>
  <w:p w14:paraId="6BAD4A05" w14:textId="77777777" w:rsidR="001D0141" w:rsidRDefault="001D0141" w:rsidP="00D847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4120F"/>
    <w:multiLevelType w:val="hybridMultilevel"/>
    <w:tmpl w:val="F11EA216"/>
    <w:lvl w:ilvl="0" w:tplc="AE4AE9BE">
      <w:start w:val="1"/>
      <w:numFmt w:val="decimal"/>
      <w:lvlText w:val="%1."/>
      <w:lvlJc w:val="left"/>
      <w:pPr>
        <w:ind w:left="720" w:hanging="360"/>
      </w:pPr>
    </w:lvl>
    <w:lvl w:ilvl="1" w:tplc="DDC8EACE">
      <w:start w:val="1"/>
      <w:numFmt w:val="lowerLetter"/>
      <w:lvlText w:val="%2."/>
      <w:lvlJc w:val="left"/>
      <w:pPr>
        <w:ind w:left="1440" w:hanging="360"/>
      </w:pPr>
    </w:lvl>
    <w:lvl w:ilvl="2" w:tplc="92AA1F56" w:tentative="1">
      <w:start w:val="1"/>
      <w:numFmt w:val="lowerRoman"/>
      <w:lvlText w:val="%3."/>
      <w:lvlJc w:val="right"/>
      <w:pPr>
        <w:ind w:left="2160" w:hanging="180"/>
      </w:pPr>
    </w:lvl>
    <w:lvl w:ilvl="3" w:tplc="954E4AD0" w:tentative="1">
      <w:start w:val="1"/>
      <w:numFmt w:val="decimal"/>
      <w:lvlText w:val="%4."/>
      <w:lvlJc w:val="left"/>
      <w:pPr>
        <w:ind w:left="2880" w:hanging="360"/>
      </w:pPr>
    </w:lvl>
    <w:lvl w:ilvl="4" w:tplc="8FA2C9BA" w:tentative="1">
      <w:start w:val="1"/>
      <w:numFmt w:val="lowerLetter"/>
      <w:lvlText w:val="%5."/>
      <w:lvlJc w:val="left"/>
      <w:pPr>
        <w:ind w:left="3600" w:hanging="360"/>
      </w:pPr>
    </w:lvl>
    <w:lvl w:ilvl="5" w:tplc="5EF0864C" w:tentative="1">
      <w:start w:val="1"/>
      <w:numFmt w:val="lowerRoman"/>
      <w:lvlText w:val="%6."/>
      <w:lvlJc w:val="right"/>
      <w:pPr>
        <w:ind w:left="4320" w:hanging="180"/>
      </w:pPr>
    </w:lvl>
    <w:lvl w:ilvl="6" w:tplc="AEC2CCEC" w:tentative="1">
      <w:start w:val="1"/>
      <w:numFmt w:val="decimal"/>
      <w:lvlText w:val="%7."/>
      <w:lvlJc w:val="left"/>
      <w:pPr>
        <w:ind w:left="5040" w:hanging="360"/>
      </w:pPr>
    </w:lvl>
    <w:lvl w:ilvl="7" w:tplc="1730E96A" w:tentative="1">
      <w:start w:val="1"/>
      <w:numFmt w:val="lowerLetter"/>
      <w:lvlText w:val="%8."/>
      <w:lvlJc w:val="left"/>
      <w:pPr>
        <w:ind w:left="5760" w:hanging="360"/>
      </w:pPr>
    </w:lvl>
    <w:lvl w:ilvl="8" w:tplc="3DD2F810" w:tentative="1">
      <w:start w:val="1"/>
      <w:numFmt w:val="lowerRoman"/>
      <w:lvlText w:val="%9."/>
      <w:lvlJc w:val="right"/>
      <w:pPr>
        <w:ind w:left="6480" w:hanging="180"/>
      </w:pPr>
    </w:lvl>
  </w:abstractNum>
  <w:num w:numId="1" w16cid:durableId="894320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10D6"/>
    <w:rsid w:val="00007A3A"/>
    <w:rsid w:val="00037CF0"/>
    <w:rsid w:val="00045B7F"/>
    <w:rsid w:val="000852BD"/>
    <w:rsid w:val="000B1632"/>
    <w:rsid w:val="00114CFB"/>
    <w:rsid w:val="001210BC"/>
    <w:rsid w:val="001475F8"/>
    <w:rsid w:val="00184D40"/>
    <w:rsid w:val="001C26F0"/>
    <w:rsid w:val="001D0141"/>
    <w:rsid w:val="001E1D07"/>
    <w:rsid w:val="001F6B37"/>
    <w:rsid w:val="002303DA"/>
    <w:rsid w:val="00260224"/>
    <w:rsid w:val="002C1A56"/>
    <w:rsid w:val="00301B5A"/>
    <w:rsid w:val="00304758"/>
    <w:rsid w:val="00336954"/>
    <w:rsid w:val="0034539F"/>
    <w:rsid w:val="00351E96"/>
    <w:rsid w:val="003579D2"/>
    <w:rsid w:val="00364C34"/>
    <w:rsid w:val="003C48AA"/>
    <w:rsid w:val="003E7E78"/>
    <w:rsid w:val="00423ED2"/>
    <w:rsid w:val="00457CC4"/>
    <w:rsid w:val="00470D0D"/>
    <w:rsid w:val="00494B57"/>
    <w:rsid w:val="004D7E81"/>
    <w:rsid w:val="004E1B82"/>
    <w:rsid w:val="00500645"/>
    <w:rsid w:val="0050089B"/>
    <w:rsid w:val="00552BA2"/>
    <w:rsid w:val="00557C3A"/>
    <w:rsid w:val="00667B5F"/>
    <w:rsid w:val="00687E19"/>
    <w:rsid w:val="006A52DA"/>
    <w:rsid w:val="006C406B"/>
    <w:rsid w:val="006C4BF5"/>
    <w:rsid w:val="006F77FC"/>
    <w:rsid w:val="00711E75"/>
    <w:rsid w:val="00725B13"/>
    <w:rsid w:val="00742FAC"/>
    <w:rsid w:val="0078318F"/>
    <w:rsid w:val="007B57AB"/>
    <w:rsid w:val="00806FC7"/>
    <w:rsid w:val="00816121"/>
    <w:rsid w:val="00827F4A"/>
    <w:rsid w:val="008910D6"/>
    <w:rsid w:val="008D2E6A"/>
    <w:rsid w:val="008D564E"/>
    <w:rsid w:val="008E7158"/>
    <w:rsid w:val="008F6043"/>
    <w:rsid w:val="00906A26"/>
    <w:rsid w:val="0092017C"/>
    <w:rsid w:val="00935E14"/>
    <w:rsid w:val="00992BD1"/>
    <w:rsid w:val="00A24C30"/>
    <w:rsid w:val="00A77E66"/>
    <w:rsid w:val="00A90C71"/>
    <w:rsid w:val="00A95E90"/>
    <w:rsid w:val="00B42378"/>
    <w:rsid w:val="00B6693F"/>
    <w:rsid w:val="00BB73AF"/>
    <w:rsid w:val="00BE14B2"/>
    <w:rsid w:val="00BF6573"/>
    <w:rsid w:val="00C45BB7"/>
    <w:rsid w:val="00C82234"/>
    <w:rsid w:val="00CB0D03"/>
    <w:rsid w:val="00CB5747"/>
    <w:rsid w:val="00D175C6"/>
    <w:rsid w:val="00D84747"/>
    <w:rsid w:val="00D93BA0"/>
    <w:rsid w:val="00DC7D9A"/>
    <w:rsid w:val="00E204ED"/>
    <w:rsid w:val="00E27175"/>
    <w:rsid w:val="00E8201C"/>
    <w:rsid w:val="00EB41DF"/>
    <w:rsid w:val="00EE231C"/>
    <w:rsid w:val="00F83F3B"/>
    <w:rsid w:val="00FD41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E2279"/>
  <w15:chartTrackingRefBased/>
  <w15:docId w15:val="{F3D135B0-9C66-47C9-89A5-801BEE82D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747"/>
    <w:pPr>
      <w:spacing w:line="360" w:lineRule="auto"/>
      <w:ind w:firstLine="720"/>
      <w:jc w:val="both"/>
    </w:pPr>
    <w:rPr>
      <w:rFonts w:ascii="Arial" w:hAnsi="Arial" w:cs="Arial"/>
      <w:sz w:val="24"/>
      <w:lang w:val="en-GB"/>
    </w:rPr>
  </w:style>
  <w:style w:type="paragraph" w:styleId="Heading1">
    <w:name w:val="heading 1"/>
    <w:basedOn w:val="Normal"/>
    <w:next w:val="Normal"/>
    <w:link w:val="Heading1Char"/>
    <w:uiPriority w:val="9"/>
    <w:qFormat/>
    <w:rsid w:val="001210BC"/>
    <w:pPr>
      <w:keepNext/>
      <w:keepLines/>
      <w:spacing w:before="240" w:after="0"/>
      <w:ind w:firstLine="0"/>
      <w:outlineLvl w:val="0"/>
    </w:pPr>
    <w:rPr>
      <w:rFonts w:eastAsiaTheme="majorEastAsia"/>
      <w:b/>
      <w:color w:val="000000" w:themeColor="text1"/>
      <w:sz w:val="28"/>
      <w:szCs w:val="28"/>
    </w:rPr>
  </w:style>
  <w:style w:type="paragraph" w:styleId="Heading2">
    <w:name w:val="heading 2"/>
    <w:basedOn w:val="Normal"/>
    <w:next w:val="Normal"/>
    <w:link w:val="Heading2Char"/>
    <w:autoRedefine/>
    <w:uiPriority w:val="9"/>
    <w:unhideWhenUsed/>
    <w:qFormat/>
    <w:rsid w:val="00D84747"/>
    <w:pPr>
      <w:keepNext/>
      <w:keepLines/>
      <w:spacing w:before="40" w:after="0"/>
      <w:ind w:firstLine="0"/>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0BC"/>
    <w:rPr>
      <w:rFonts w:ascii="Times New Roman" w:eastAsiaTheme="majorEastAsia" w:hAnsi="Times New Roman" w:cs="Arial"/>
      <w:b/>
      <w:color w:val="000000" w:themeColor="text1"/>
      <w:sz w:val="28"/>
      <w:szCs w:val="28"/>
      <w:lang w:val="en-GB"/>
    </w:rPr>
  </w:style>
  <w:style w:type="character" w:customStyle="1" w:styleId="Heading2Char">
    <w:name w:val="Heading 2 Char"/>
    <w:basedOn w:val="DefaultParagraphFont"/>
    <w:link w:val="Heading2"/>
    <w:uiPriority w:val="9"/>
    <w:rsid w:val="00D84747"/>
    <w:rPr>
      <w:rFonts w:ascii="Arial" w:eastAsiaTheme="majorEastAsia" w:hAnsi="Arial" w:cstheme="majorBidi"/>
      <w:b/>
      <w:i/>
      <w:color w:val="000000" w:themeColor="text1"/>
      <w:sz w:val="24"/>
      <w:szCs w:val="26"/>
      <w:lang w:val="en-GB"/>
    </w:rPr>
  </w:style>
  <w:style w:type="paragraph" w:styleId="TOCHeading">
    <w:name w:val="TOC Heading"/>
    <w:basedOn w:val="Heading1"/>
    <w:next w:val="Normal"/>
    <w:uiPriority w:val="39"/>
    <w:unhideWhenUsed/>
    <w:qFormat/>
    <w:rsid w:val="0050089B"/>
    <w:pPr>
      <w:spacing w:line="259" w:lineRule="auto"/>
      <w:jc w:val="left"/>
      <w:outlineLvl w:val="9"/>
    </w:pPr>
    <w:rPr>
      <w:rFonts w:asciiTheme="majorHAnsi"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0089B"/>
    <w:pPr>
      <w:spacing w:after="100"/>
    </w:pPr>
  </w:style>
  <w:style w:type="paragraph" w:styleId="TOC2">
    <w:name w:val="toc 2"/>
    <w:basedOn w:val="Normal"/>
    <w:next w:val="Normal"/>
    <w:autoRedefine/>
    <w:uiPriority w:val="39"/>
    <w:unhideWhenUsed/>
    <w:rsid w:val="0050089B"/>
    <w:pPr>
      <w:spacing w:after="100"/>
      <w:ind w:left="240"/>
    </w:pPr>
  </w:style>
  <w:style w:type="character" w:styleId="Hyperlink">
    <w:name w:val="Hyperlink"/>
    <w:basedOn w:val="DefaultParagraphFont"/>
    <w:uiPriority w:val="99"/>
    <w:unhideWhenUsed/>
    <w:rsid w:val="0050089B"/>
    <w:rPr>
      <w:color w:val="0563C1" w:themeColor="hyperlink"/>
      <w:u w:val="single"/>
    </w:rPr>
  </w:style>
  <w:style w:type="paragraph" w:styleId="ListParagraph">
    <w:name w:val="List Paragraph"/>
    <w:basedOn w:val="Normal"/>
    <w:uiPriority w:val="34"/>
    <w:qFormat/>
    <w:rsid w:val="00992BD1"/>
    <w:pPr>
      <w:ind w:left="720"/>
      <w:contextualSpacing/>
    </w:pPr>
  </w:style>
  <w:style w:type="paragraph" w:styleId="Header">
    <w:name w:val="header"/>
    <w:basedOn w:val="Normal"/>
    <w:link w:val="HeaderChar"/>
    <w:uiPriority w:val="99"/>
    <w:unhideWhenUsed/>
    <w:rsid w:val="001D01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0141"/>
    <w:rPr>
      <w:rFonts w:ascii="Times New Roman" w:hAnsi="Times New Roman"/>
      <w:sz w:val="24"/>
      <w:lang w:val="en-GB"/>
    </w:rPr>
  </w:style>
  <w:style w:type="paragraph" w:styleId="Footer">
    <w:name w:val="footer"/>
    <w:basedOn w:val="Normal"/>
    <w:link w:val="FooterChar"/>
    <w:uiPriority w:val="99"/>
    <w:unhideWhenUsed/>
    <w:rsid w:val="001D01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0141"/>
    <w:rPr>
      <w:rFonts w:ascii="Times New Roman" w:hAnsi="Times New Roman"/>
      <w:sz w:val="24"/>
      <w:lang w:val="en-GB"/>
    </w:rPr>
  </w:style>
  <w:style w:type="character" w:customStyle="1" w:styleId="UnresolvedMention1">
    <w:name w:val="Unresolved Mention1"/>
    <w:basedOn w:val="DefaultParagraphFont"/>
    <w:uiPriority w:val="99"/>
    <w:semiHidden/>
    <w:unhideWhenUsed/>
    <w:rsid w:val="00667B5F"/>
    <w:rPr>
      <w:color w:val="605E5C"/>
      <w:shd w:val="clear" w:color="auto" w:fill="E1DFDD"/>
    </w:rPr>
  </w:style>
  <w:style w:type="character" w:styleId="FollowedHyperlink">
    <w:name w:val="FollowedHyperlink"/>
    <w:basedOn w:val="DefaultParagraphFont"/>
    <w:uiPriority w:val="99"/>
    <w:semiHidden/>
    <w:unhideWhenUsed/>
    <w:rsid w:val="002602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5335/enrichment.v12i2.447" TargetMode="External"/><Relationship Id="rId13" Type="http://schemas.openxmlformats.org/officeDocument/2006/relationships/hyperlink" Target="https://doi.org/10.1007/978-3-030-41142-8_8" TargetMode="External"/><Relationship Id="rId18" Type="http://schemas.openxmlformats.org/officeDocument/2006/relationships/hyperlink" Target="https://doi.org/10.1016/j.cesys.2023.100136" TargetMode="External"/><Relationship Id="rId26" Type="http://schemas.openxmlformats.org/officeDocument/2006/relationships/hyperlink" Target="https://doi.org/10.1098/rstb.2022.0268" TargetMode="External"/><Relationship Id="rId3" Type="http://schemas.openxmlformats.org/officeDocument/2006/relationships/styles" Target="styles.xml"/><Relationship Id="rId21" Type="http://schemas.openxmlformats.org/officeDocument/2006/relationships/hyperlink" Target="http://portal.amelica.org/ameli/jatsRepo/364/3641460005/html/" TargetMode="External"/><Relationship Id="rId7" Type="http://schemas.openxmlformats.org/officeDocument/2006/relationships/endnotes" Target="endnotes.xml"/><Relationship Id="rId12" Type="http://schemas.openxmlformats.org/officeDocument/2006/relationships/hyperlink" Target="https://doi.org/10.1002/smj.3532" TargetMode="External"/><Relationship Id="rId17" Type="http://schemas.openxmlformats.org/officeDocument/2006/relationships/hyperlink" Target="https://doi.org/10.1016/j.tmp.2019.05.004" TargetMode="External"/><Relationship Id="rId25" Type="http://schemas.openxmlformats.org/officeDocument/2006/relationships/hyperlink" Target="https://doi.org/10.1016/j.jbusres.2020.09.055" TargetMode="External"/><Relationship Id="rId2" Type="http://schemas.openxmlformats.org/officeDocument/2006/relationships/numbering" Target="numbering.xml"/><Relationship Id="rId16" Type="http://schemas.openxmlformats.org/officeDocument/2006/relationships/hyperlink" Target="https://doi.org/10.1007/978-3-030-64111-5_1" TargetMode="External"/><Relationship Id="rId20" Type="http://schemas.openxmlformats.org/officeDocument/2006/relationships/hyperlink" Target="https://doi.org/10.1016/j.ijhm.2020.102565"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6031050" TargetMode="External"/><Relationship Id="rId24" Type="http://schemas.openxmlformats.org/officeDocument/2006/relationships/hyperlink" Target="https://www.cairn.info/revue-de-l-organisation-responsable-2021-2-page-59.htm" TargetMode="External"/><Relationship Id="rId5" Type="http://schemas.openxmlformats.org/officeDocument/2006/relationships/webSettings" Target="webSettings.xml"/><Relationship Id="rId15" Type="http://schemas.openxmlformats.org/officeDocument/2006/relationships/hyperlink" Target="https://doi.org/10.1002/csr.1489" TargetMode="External"/><Relationship Id="rId23" Type="http://schemas.openxmlformats.org/officeDocument/2006/relationships/hyperlink" Target="https://doi.org/10.1108/IJCHM-04-2022-0495" TargetMode="External"/><Relationship Id="rId28" Type="http://schemas.openxmlformats.org/officeDocument/2006/relationships/hyperlink" Target="https://doi.org/10.3846/jbem.2020.13225" TargetMode="External"/><Relationship Id="rId10" Type="http://schemas.openxmlformats.org/officeDocument/2006/relationships/hyperlink" Target="https://doi.org/10.3389/fpsyg.2022.853125" TargetMode="External"/><Relationship Id="rId19" Type="http://schemas.openxmlformats.org/officeDocument/2006/relationships/hyperlink" Target="https://www.researchgate.net/profile/Manal-Ait-Daoud/publication/365153312_BUSINESS_CONTRIBUTION_OF_KEY_DIGITAL_TECHNOLOGIES_TO_THE_GOALS_OF_DIGITAL_BUSINESS_TRANSFORMATION/links/6366c7b737878b3e87852537/BUSINESS-CONTRIBUTION-OF-KEY-DIGITAL-TECHNOLOGIES-TO-THE-GOALS-OF-DIGITAL-BUSINESS-TRANSFORMATION.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11/beer.12603" TargetMode="External"/><Relationship Id="rId14" Type="http://schemas.openxmlformats.org/officeDocument/2006/relationships/hyperlink" Target="https://repositorio.ucp.pt/handle/10400.14/32102" TargetMode="External"/><Relationship Id="rId22" Type="http://schemas.openxmlformats.org/officeDocument/2006/relationships/hyperlink" Target="https://www.emerald.com/insight/content/doi/10.1108/SJME-06-2019-0029/full/htm" TargetMode="External"/><Relationship Id="rId27" Type="http://schemas.openxmlformats.org/officeDocument/2006/relationships/hyperlink" Target="https://doi.org/10.1016/j.ijhm.2020.10250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5C953B-53AE-4467-A2C0-F20CFC979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14</Pages>
  <Words>3812</Words>
  <Characters>20588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SourceCode</dc:creator>
  <cp:lastModifiedBy>Raquel De Oliveira Vazao (2027266)</cp:lastModifiedBy>
  <cp:revision>35</cp:revision>
  <dcterms:created xsi:type="dcterms:W3CDTF">2024-02-07T11:45:00Z</dcterms:created>
  <dcterms:modified xsi:type="dcterms:W3CDTF">2024-02-28T19:20:00Z</dcterms:modified>
</cp:coreProperties>
</file>