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D4315" w14:textId="77777777" w:rsidR="00953EDC" w:rsidRPr="007022FE" w:rsidRDefault="00953EDC" w:rsidP="00953EDC">
      <w:pPr>
        <w:rPr>
          <w:b/>
          <w:bCs/>
        </w:rPr>
      </w:pPr>
      <w:r w:rsidRPr="007022FE">
        <w:rPr>
          <w:b/>
          <w:bCs/>
        </w:rPr>
        <w:t xml:space="preserve">Essay One: </w:t>
      </w:r>
    </w:p>
    <w:p w14:paraId="737351E5" w14:textId="77777777" w:rsidR="00953EDC" w:rsidRPr="007022FE" w:rsidRDefault="00953EDC" w:rsidP="00953EDC">
      <w:pPr>
        <w:rPr>
          <w:i/>
          <w:iCs/>
        </w:rPr>
      </w:pPr>
      <w:r w:rsidRPr="007022FE">
        <w:rPr>
          <w:i/>
          <w:iCs/>
        </w:rPr>
        <w:t xml:space="preserve">How effectively has the </w:t>
      </w:r>
      <w:bookmarkStart w:id="0" w:name="_Hlk162455842"/>
      <w:r w:rsidRPr="007022FE">
        <w:rPr>
          <w:i/>
          <w:iCs/>
        </w:rPr>
        <w:t>police service adapted to accommodate diversity within the UK</w:t>
      </w:r>
      <w:bookmarkEnd w:id="0"/>
      <w:r w:rsidRPr="007022FE">
        <w:rPr>
          <w:i/>
          <w:iCs/>
        </w:rPr>
        <w:t>? Consider the police force itself and/or the way police engage with diverse communities.</w:t>
      </w:r>
    </w:p>
    <w:p w14:paraId="2A19B328" w14:textId="77777777" w:rsidR="00953EDC" w:rsidRDefault="00953EDC" w:rsidP="00953EDC">
      <w:pPr>
        <w:rPr>
          <w:b/>
          <w:bCs/>
        </w:rPr>
      </w:pPr>
      <w:r w:rsidRPr="007022FE">
        <w:rPr>
          <w:b/>
          <w:bCs/>
        </w:rPr>
        <w:t>Word limit: 1000 words.</w:t>
      </w:r>
    </w:p>
    <w:p w14:paraId="36FACDD7" w14:textId="7687B0D7" w:rsidR="00953EDC" w:rsidRDefault="00953EDC" w:rsidP="00953EDC">
      <w:r>
        <w:t>Diversity is defined as “the deliberate inclusion in a group or activity of people who are, for example, of different races, genders, and religions”</w:t>
      </w:r>
      <w:sdt>
        <w:sdtPr>
          <w:id w:val="2126113943"/>
          <w:citation/>
        </w:sdtPr>
        <w:sdtEndPr/>
        <w:sdtContent>
          <w:r>
            <w:fldChar w:fldCharType="begin"/>
          </w:r>
          <w:r>
            <w:instrText xml:space="preserve"> CITATION COLLINS \l 2057 </w:instrText>
          </w:r>
          <w:r>
            <w:fldChar w:fldCharType="separate"/>
          </w:r>
          <w:r>
            <w:rPr>
              <w:noProof/>
            </w:rPr>
            <w:t xml:space="preserve"> (Collins, 2024)</w:t>
          </w:r>
          <w:r>
            <w:fldChar w:fldCharType="end"/>
          </w:r>
        </w:sdtContent>
      </w:sdt>
      <w:r>
        <w:t xml:space="preserve">. It is assumed that by putting these characteristics at the heart of policing this will “attract, recruit, and retain a diverse workforce” </w:t>
      </w:r>
      <w:sdt>
        <w:sdtPr>
          <w:id w:val="-1147669108"/>
          <w:citation/>
        </w:sdtPr>
        <w:sdtEndPr/>
        <w:sdtContent>
          <w:r>
            <w:fldChar w:fldCharType="begin"/>
          </w:r>
          <w:r w:rsidR="00570B2A">
            <w:instrText xml:space="preserve">CITATION Col24 \t  \l 2057 </w:instrText>
          </w:r>
          <w:r>
            <w:fldChar w:fldCharType="separate"/>
          </w:r>
          <w:r w:rsidR="00570B2A">
            <w:rPr>
              <w:noProof/>
            </w:rPr>
            <w:t>(Policing, 2024)</w:t>
          </w:r>
          <w:r>
            <w:fldChar w:fldCharType="end"/>
          </w:r>
        </w:sdtContent>
      </w:sdt>
      <w:r>
        <w:t xml:space="preserve">. This is essential if the police service is to be representative of the communities each force serves and underscores the original objectives outlined by Robert Peel, founder of the Metropolitan Police Service, regarding the </w:t>
      </w:r>
      <w:r w:rsidR="00747DC0">
        <w:t xml:space="preserve">notion </w:t>
      </w:r>
      <w:r>
        <w:t xml:space="preserve">of policing by consent and nine original policing principles. This idea is “rooted in the belief that for policing to be effective, there must be broad public support for a police service’s actions” </w:t>
      </w:r>
      <w:sdt>
        <w:sdtPr>
          <w:id w:val="-637179763"/>
          <w:citation/>
        </w:sdtPr>
        <w:sdtEndPr/>
        <w:sdtContent>
          <w:r>
            <w:fldChar w:fldCharType="begin"/>
          </w:r>
          <w:r>
            <w:instrText xml:space="preserve"> CITATION Des20 \l 2057 </w:instrText>
          </w:r>
          <w:r>
            <w:fldChar w:fldCharType="separate"/>
          </w:r>
          <w:r>
            <w:rPr>
              <w:noProof/>
            </w:rPr>
            <w:t>(Desai, 2020)</w:t>
          </w:r>
          <w:r>
            <w:fldChar w:fldCharType="end"/>
          </w:r>
        </w:sdtContent>
      </w:sdt>
      <w:r>
        <w:t xml:space="preserve">. </w:t>
      </w:r>
    </w:p>
    <w:p w14:paraId="4EB76F72" w14:textId="2361B9D1" w:rsidR="00953EDC" w:rsidRDefault="00953EDC" w:rsidP="00953EDC">
      <w:r>
        <w:t xml:space="preserve">It is only logical to believe that as communities become more diverse, the police service must adapt to such change. This change can be measured by comparing the relative population values for ethnic groups in England and Wales versus the ethnicity of serving police officers. For example, in 2021, 81.7% (48.7 million) residents in England and Wales identified themselves as white </w:t>
      </w:r>
      <w:sdt>
        <w:sdtPr>
          <w:id w:val="-879173402"/>
          <w:citation/>
        </w:sdtPr>
        <w:sdtEndPr/>
        <w:sdtContent>
          <w:r>
            <w:fldChar w:fldCharType="begin"/>
          </w:r>
          <w:r>
            <w:instrText xml:space="preserve"> CITATION Off22 \l 2057 </w:instrText>
          </w:r>
          <w:r>
            <w:fldChar w:fldCharType="separate"/>
          </w:r>
          <w:r>
            <w:rPr>
              <w:noProof/>
            </w:rPr>
            <w:t>(Statistics, 2022)</w:t>
          </w:r>
          <w:r>
            <w:fldChar w:fldCharType="end"/>
          </w:r>
        </w:sdtContent>
      </w:sdt>
      <w:r>
        <w:t>. Compare those numbers to the official police statistics for the same period in England and Wales, we can see that 91.9% (</w:t>
      </w:r>
      <w:r w:rsidRPr="00DB1C8B">
        <w:t>128</w:t>
      </w:r>
      <w:r>
        <w:t>.</w:t>
      </w:r>
      <w:r w:rsidRPr="00DB1C8B">
        <w:t>92</w:t>
      </w:r>
      <w:r>
        <w:t>5)</w:t>
      </w:r>
      <w:r w:rsidR="0017456F">
        <w:t xml:space="preserve"> police officers</w:t>
      </w:r>
      <w:r>
        <w:t xml:space="preserve"> identified as white </w:t>
      </w:r>
      <w:sdt>
        <w:sdtPr>
          <w:id w:val="1747369962"/>
          <w:citation/>
        </w:sdtPr>
        <w:sdtEndPr/>
        <w:sdtContent>
          <w:r>
            <w:fldChar w:fldCharType="begin"/>
          </w:r>
          <w:r w:rsidR="00570B2A">
            <w:instrText xml:space="preserve">CITATION GOV231 \t  \l 2057 </w:instrText>
          </w:r>
          <w:r>
            <w:fldChar w:fldCharType="separate"/>
          </w:r>
          <w:r w:rsidR="00570B2A">
            <w:rPr>
              <w:noProof/>
            </w:rPr>
            <w:t>(GOV.UK, 2023)</w:t>
          </w:r>
          <w:r>
            <w:fldChar w:fldCharType="end"/>
          </w:r>
        </w:sdtContent>
      </w:sdt>
      <w:r>
        <w:t>. This is an important statistic as it shows an imbalance between the number of predominantly white police officers and the disproportionate value of “other” ethnic minorities in the police service. If we</w:t>
      </w:r>
      <w:r w:rsidR="00747DC0">
        <w:t xml:space="preserve"> subscribe to </w:t>
      </w:r>
      <w:r>
        <w:t xml:space="preserve">the </w:t>
      </w:r>
      <w:r w:rsidR="00747DC0">
        <w:t>term ‘</w:t>
      </w:r>
      <w:r>
        <w:t>policing by consent</w:t>
      </w:r>
      <w:r w:rsidR="00747DC0">
        <w:t>’</w:t>
      </w:r>
      <w:r>
        <w:t xml:space="preserve"> literally, then the statistics show that the police service must do more to close the gap between white officers and those from other ethnic backgrounds (8.1%). This is also favourable if the police service desires to be more representative of the communities they serve and thus achieve the necessary consent required to police effectively.</w:t>
      </w:r>
    </w:p>
    <w:p w14:paraId="6E3B470C" w14:textId="2237013A" w:rsidR="00953EDC" w:rsidRDefault="00570B2A" w:rsidP="00953EDC">
      <w:r>
        <w:t>T</w:t>
      </w:r>
      <w:r w:rsidR="00953EDC">
        <w:t>he police service is a public sector employer, and a duty exists to comply with the Equality Act that came into force in 2011, and to actively take steps to promote the objectives encompassed by this. The police service, predominantly the College of Policing and the National Police Chiefs Council (NPCC), has a duty to ensure transparency by publishing information to demonstrate such compliance and translate this into working policies for regional forces. This Act of law states that public authorities “a</w:t>
      </w:r>
      <w:r w:rsidR="00953EDC" w:rsidRPr="009B4287">
        <w:t>re now required, in carrying out their functions, to have due regard to the need to achieve the objectives set out under s149 of the Equality Act 2010</w:t>
      </w:r>
      <w:r w:rsidR="00953EDC">
        <w:t>”</w:t>
      </w:r>
      <w:sdt>
        <w:sdtPr>
          <w:id w:val="-709494041"/>
          <w:citation/>
        </w:sdtPr>
        <w:sdtEndPr/>
        <w:sdtContent>
          <w:r w:rsidR="00953EDC">
            <w:fldChar w:fldCharType="begin"/>
          </w:r>
          <w:r>
            <w:instrText xml:space="preserve">CITATION GOV12 \t  \l 2057 </w:instrText>
          </w:r>
          <w:r w:rsidR="00953EDC">
            <w:fldChar w:fldCharType="separate"/>
          </w:r>
          <w:r>
            <w:rPr>
              <w:noProof/>
            </w:rPr>
            <w:t xml:space="preserve"> (GOV.UK, 2012)</w:t>
          </w:r>
          <w:r w:rsidR="00953EDC">
            <w:fldChar w:fldCharType="end"/>
          </w:r>
        </w:sdtContent>
      </w:sdt>
      <w:r w:rsidR="00953EDC">
        <w:t>. This places a greater emphasis on institutions such as the police service to; “</w:t>
      </w:r>
      <w:r w:rsidR="00953EDC" w:rsidRPr="009B4287">
        <w:t>eliminate discrimination, harassment, victimisation</w:t>
      </w:r>
      <w:r w:rsidR="00953EDC">
        <w:t>…</w:t>
      </w:r>
      <w:r w:rsidR="00953EDC" w:rsidRPr="009B4287">
        <w:t>advance equality of opportunity</w:t>
      </w:r>
      <w:r w:rsidR="00953EDC">
        <w:t>…</w:t>
      </w:r>
      <w:r w:rsidR="00953EDC" w:rsidRPr="009B4287">
        <w:t>foster good relations between persons who share a relevant protected characteristic and persons who do not share it</w:t>
      </w:r>
      <w:r w:rsidR="00953EDC">
        <w:t>”</w:t>
      </w:r>
      <w:sdt>
        <w:sdtPr>
          <w:id w:val="342520456"/>
          <w:citation/>
        </w:sdtPr>
        <w:sdtEndPr/>
        <w:sdtContent>
          <w:r w:rsidR="00953EDC">
            <w:fldChar w:fldCharType="begin"/>
          </w:r>
          <w:r w:rsidR="00953EDC">
            <w:instrText xml:space="preserve"> CITATION Leg11 \l 2057 </w:instrText>
          </w:r>
          <w:r w:rsidR="00953EDC">
            <w:fldChar w:fldCharType="separate"/>
          </w:r>
          <w:r w:rsidR="00953EDC">
            <w:rPr>
              <w:noProof/>
            </w:rPr>
            <w:t xml:space="preserve"> (Legislation.gov.uk, 2011)</w:t>
          </w:r>
          <w:r w:rsidR="00953EDC">
            <w:fldChar w:fldCharType="end"/>
          </w:r>
        </w:sdtContent>
      </w:sdt>
      <w:r w:rsidR="00953EDC">
        <w:t xml:space="preserve">. This act of law and others like it; The Human Rights Act 1998, specifically Article 9 – Freedom of thought, belief and religion, and Article 14 – Protection from discrimination in respect of these rights and freedoms </w:t>
      </w:r>
      <w:sdt>
        <w:sdtPr>
          <w:id w:val="1882137906"/>
          <w:citation/>
        </w:sdtPr>
        <w:sdtEndPr/>
        <w:sdtContent>
          <w:r w:rsidR="00953EDC">
            <w:fldChar w:fldCharType="begin"/>
          </w:r>
          <w:r w:rsidR="00953EDC">
            <w:instrText xml:space="preserve"> CITATION Equ18 \l 2057 </w:instrText>
          </w:r>
          <w:r w:rsidR="00953EDC">
            <w:fldChar w:fldCharType="separate"/>
          </w:r>
          <w:r w:rsidR="00953EDC">
            <w:rPr>
              <w:noProof/>
            </w:rPr>
            <w:t>(Commission, 2018)</w:t>
          </w:r>
          <w:r w:rsidR="00953EDC">
            <w:fldChar w:fldCharType="end"/>
          </w:r>
        </w:sdtContent>
      </w:sdt>
      <w:r w:rsidR="00953EDC">
        <w:t>, have set the foundations for the modern-day police service.</w:t>
      </w:r>
    </w:p>
    <w:p w14:paraId="73218101" w14:textId="04FC007C" w:rsidR="00953EDC" w:rsidRDefault="00953EDC" w:rsidP="00953EDC">
      <w:r>
        <w:t xml:space="preserve">This becomes more prevalent when we look at how the public views the police service both in the UK and wider afield. An extremely important example of how public perception of the police has diminished would be the tragic murder of George Floyd at the hands of police officers in the United States in 2020 and the ‘Black Lives Matter’ movement that followed sparking global protests </w:t>
      </w:r>
      <w:sdt>
        <w:sdtPr>
          <w:id w:val="85812073"/>
          <w:citation/>
        </w:sdtPr>
        <w:sdtEndPr/>
        <w:sdtContent>
          <w:r>
            <w:fldChar w:fldCharType="begin"/>
          </w:r>
          <w:r>
            <w:instrText xml:space="preserve">CITATION BBC21 \t  \l 2057 </w:instrText>
          </w:r>
          <w:r>
            <w:fldChar w:fldCharType="separate"/>
          </w:r>
          <w:r>
            <w:rPr>
              <w:noProof/>
            </w:rPr>
            <w:t>(BBC, 2021)</w:t>
          </w:r>
          <w:r>
            <w:fldChar w:fldCharType="end"/>
          </w:r>
        </w:sdtContent>
      </w:sdt>
      <w:r>
        <w:t>. This has led to increased scrutiny of the police service with multiple organisations and political figures calling for reform</w:t>
      </w:r>
      <w:r w:rsidR="00570B2A">
        <w:t>. This has led to questioning what policing by consent really means insofar as</w:t>
      </w:r>
      <w:r>
        <w:t xml:space="preserve"> “meaningful policing by consent means the power of the police must derive from the support entrusted into the service by all communities that comprise our society” </w:t>
      </w:r>
      <w:sdt>
        <w:sdtPr>
          <w:id w:val="-2130229496"/>
          <w:citation/>
        </w:sdtPr>
        <w:sdtEndPr/>
        <w:sdtContent>
          <w:r>
            <w:fldChar w:fldCharType="begin"/>
          </w:r>
          <w:r>
            <w:instrText xml:space="preserve"> CITATION Des20 \l 2057 </w:instrText>
          </w:r>
          <w:r>
            <w:fldChar w:fldCharType="separate"/>
          </w:r>
          <w:r>
            <w:rPr>
              <w:noProof/>
            </w:rPr>
            <w:t>(Desai, 2020)</w:t>
          </w:r>
          <w:r>
            <w:fldChar w:fldCharType="end"/>
          </w:r>
        </w:sdtContent>
      </w:sdt>
      <w:r>
        <w:t xml:space="preserve">. This is exacerbated further when the leading police force in the UK is labelled as “institutionally racist and misogynistic” </w:t>
      </w:r>
      <w:sdt>
        <w:sdtPr>
          <w:id w:val="392399080"/>
          <w:citation/>
        </w:sdtPr>
        <w:sdtEndPr/>
        <w:sdtContent>
          <w:r>
            <w:fldChar w:fldCharType="begin"/>
          </w:r>
          <w:r>
            <w:instrText xml:space="preserve">CITATION Bar23 \l 2057 </w:instrText>
          </w:r>
          <w:r>
            <w:fldChar w:fldCharType="separate"/>
          </w:r>
          <w:r>
            <w:rPr>
              <w:noProof/>
            </w:rPr>
            <w:t>(Blackstock, 2023)</w:t>
          </w:r>
          <w:r>
            <w:fldChar w:fldCharType="end"/>
          </w:r>
        </w:sdtContent>
      </w:sdt>
      <w:r>
        <w:t xml:space="preserve">, after one of their officers “abducted, raped and murdered Sarah Everard in March 2021” </w:t>
      </w:r>
      <w:sdt>
        <w:sdtPr>
          <w:id w:val="-585071213"/>
          <w:citation/>
        </w:sdtPr>
        <w:sdtEndPr/>
        <w:sdtContent>
          <w:r>
            <w:fldChar w:fldCharType="begin"/>
          </w:r>
          <w:r>
            <w:instrText xml:space="preserve">CITATION BBC23 \t  \l 2057 </w:instrText>
          </w:r>
          <w:r>
            <w:fldChar w:fldCharType="separate"/>
          </w:r>
          <w:r>
            <w:rPr>
              <w:noProof/>
            </w:rPr>
            <w:t>(BBC, 2023)</w:t>
          </w:r>
          <w:r>
            <w:fldChar w:fldCharType="end"/>
          </w:r>
        </w:sdtContent>
      </w:sdt>
      <w:r>
        <w:t xml:space="preserve">. None of these </w:t>
      </w:r>
      <w:r w:rsidR="00850D03">
        <w:t>events</w:t>
      </w:r>
      <w:r>
        <w:t xml:space="preserve"> enhance public approval for the police service, making it even more important that it must adapt to accommodate diversity and inclusion</w:t>
      </w:r>
      <w:r w:rsidR="00570B2A">
        <w:t xml:space="preserve"> and be aware of public perception of the police service</w:t>
      </w:r>
      <w:r>
        <w:t>.</w:t>
      </w:r>
    </w:p>
    <w:p w14:paraId="675F080F" w14:textId="64967399" w:rsidR="00953EDC" w:rsidRDefault="00953EDC" w:rsidP="00953EDC">
      <w:r>
        <w:t xml:space="preserve">So, what has the police done to address the issue? The police service must aim to promote of the nine protected characteristics set out under the Equality Act 2010, which includes “Age, Gender, Race, Disability, Religion or belief, Sexual orientation, Gender reassignment, Marriage or civil partnerships, Pregnancy and maternity” </w:t>
      </w:r>
      <w:sdt>
        <w:sdtPr>
          <w:id w:val="-228463971"/>
          <w:citation/>
        </w:sdtPr>
        <w:sdtEndPr/>
        <w:sdtContent>
          <w:r>
            <w:fldChar w:fldCharType="begin"/>
          </w:r>
          <w:r>
            <w:instrText xml:space="preserve"> CITATION ECH21 \l 2057 </w:instrText>
          </w:r>
          <w:r>
            <w:fldChar w:fldCharType="separate"/>
          </w:r>
          <w:r>
            <w:rPr>
              <w:noProof/>
            </w:rPr>
            <w:t>(ECHR, 2021)</w:t>
          </w:r>
          <w:r>
            <w:fldChar w:fldCharType="end"/>
          </w:r>
        </w:sdtContent>
      </w:sdt>
      <w:r>
        <w:t xml:space="preserve">. </w:t>
      </w:r>
      <w:r w:rsidR="003E76E0">
        <w:t>T</w:t>
      </w:r>
      <w:r>
        <w:t>he inclusion of the principles can be found in the framework published by the college of policing, which gives regional forces “r</w:t>
      </w:r>
      <w:r w:rsidRPr="00FB5A3E">
        <w:t>esources to help forces create positive work environments based on equity and respect</w:t>
      </w:r>
      <w:r>
        <w:t xml:space="preserve">” </w:t>
      </w:r>
      <w:sdt>
        <w:sdtPr>
          <w:id w:val="-226068608"/>
          <w:citation/>
        </w:sdtPr>
        <w:sdtEndPr/>
        <w:sdtContent>
          <w:r>
            <w:fldChar w:fldCharType="begin"/>
          </w:r>
          <w:r>
            <w:instrText xml:space="preserve">CITATION Col231 \t  \l 2057 </w:instrText>
          </w:r>
          <w:r>
            <w:fldChar w:fldCharType="separate"/>
          </w:r>
          <w:r>
            <w:rPr>
              <w:noProof/>
            </w:rPr>
            <w:t>(Policing, 2023)</w:t>
          </w:r>
          <w:r>
            <w:fldChar w:fldCharType="end"/>
          </w:r>
        </w:sdtContent>
      </w:sdt>
      <w:r>
        <w:t xml:space="preserve">. These resources include a “police race action plan, flexible working, faith in the workplace, workplace adjustment passports, positive action recruitment, and disability confident process maps” </w:t>
      </w:r>
      <w:sdt>
        <w:sdtPr>
          <w:id w:val="-1539807594"/>
          <w:citation/>
        </w:sdtPr>
        <w:sdtEndPr/>
        <w:sdtContent>
          <w:r>
            <w:fldChar w:fldCharType="begin"/>
          </w:r>
          <w:r>
            <w:instrText xml:space="preserve">CITATION Col231 \t  \l 2057 </w:instrText>
          </w:r>
          <w:r>
            <w:fldChar w:fldCharType="separate"/>
          </w:r>
          <w:r>
            <w:rPr>
              <w:noProof/>
            </w:rPr>
            <w:t>(Policing, 2023)</w:t>
          </w:r>
          <w:r>
            <w:fldChar w:fldCharType="end"/>
          </w:r>
        </w:sdtContent>
      </w:sdt>
      <w:r>
        <w:t>. All these resources are evidence of how the police service interacts and engages with those from diverse backgrounds taking into consideration the nine protected characteristics outlined above</w:t>
      </w:r>
      <w:r w:rsidR="00570B2A">
        <w:t>.</w:t>
      </w:r>
    </w:p>
    <w:p w14:paraId="43C51BAA" w14:textId="4A705346" w:rsidR="00953EDC" w:rsidRDefault="00953EDC" w:rsidP="00953EDC">
      <w:r>
        <w:t xml:space="preserve">In summary, the police service must negotiate an impasse in its history. Communities have changed dramatically since the police services’ inception by Robert Peel in 1829, however the notion of policing by consent has never been more poignant. Both the police service and public support </w:t>
      </w:r>
      <w:r w:rsidR="00570B2A">
        <w:t xml:space="preserve">for the police </w:t>
      </w:r>
      <w:r>
        <w:t>are locked in a</w:t>
      </w:r>
      <w:r w:rsidR="003E76E0">
        <w:t xml:space="preserve"> </w:t>
      </w:r>
      <w:r w:rsidR="0017456F">
        <w:t>ever-present</w:t>
      </w:r>
      <w:r w:rsidR="003E76E0">
        <w:t xml:space="preserve"> </w:t>
      </w:r>
      <w:r>
        <w:t>struggle where neither side is capable of</w:t>
      </w:r>
      <w:r w:rsidR="003E76E0">
        <w:t xml:space="preserve"> overthrowing the </w:t>
      </w:r>
      <w:proofErr w:type="gramStart"/>
      <w:r w:rsidR="003E76E0">
        <w:t>other</w:t>
      </w:r>
      <w:r>
        <w:t xml:space="preserve"> .</w:t>
      </w:r>
      <w:proofErr w:type="gramEnd"/>
      <w:r>
        <w:t xml:space="preserve"> Without public support, there can be no police as this would amount to martial law and make the UK a military state, on the other hand, there can be no public without the police as the state would fall into anarchy. The police service must do more to bridge the gap between ethical divisions, as this in turn would make the service more representative and contribute towards the meaningful consent of those communities to be policed. Ethnicity is also not the only protected characteristic the police service must continue to implement policies and procedures, outlined as ‘resources’ above to attract the attention of underrepresented groups. This is vital for the </w:t>
      </w:r>
      <w:r w:rsidRPr="00CD7326">
        <w:t>police service to accommodate diversity within the UK</w:t>
      </w:r>
      <w:r>
        <w:t xml:space="preserve"> and achieve the levels of consent necessary to police effectively.</w:t>
      </w:r>
    </w:p>
    <w:p w14:paraId="7BC31807" w14:textId="77777777" w:rsidR="00953EDC" w:rsidRDefault="00953EDC" w:rsidP="00953EDC"/>
    <w:p w14:paraId="067DCB7E" w14:textId="479A838F" w:rsidR="00953EDC" w:rsidRDefault="00953EDC" w:rsidP="00953EDC">
      <w:r w:rsidRPr="000F5137">
        <w:rPr>
          <w:b/>
          <w:bCs/>
        </w:rPr>
        <w:t>Word Count</w:t>
      </w:r>
      <w:r>
        <w:t xml:space="preserve">: </w:t>
      </w:r>
      <w:r w:rsidRPr="000F5137">
        <w:rPr>
          <w:i/>
          <w:iCs/>
        </w:rPr>
        <w:t>103</w:t>
      </w:r>
      <w:r w:rsidR="00B74786">
        <w:rPr>
          <w:i/>
          <w:iCs/>
        </w:rPr>
        <w:t>4</w:t>
      </w:r>
    </w:p>
    <w:p w14:paraId="22F4597F" w14:textId="77777777" w:rsidR="00953EDC" w:rsidRDefault="00953EDC" w:rsidP="00953EDC"/>
    <w:p w14:paraId="131A23DF" w14:textId="77777777" w:rsidR="00953EDC" w:rsidRDefault="00953EDC" w:rsidP="00953EDC"/>
    <w:p w14:paraId="6CDEE778" w14:textId="77777777" w:rsidR="00953EDC" w:rsidRDefault="00953EDC" w:rsidP="00953EDC"/>
    <w:p w14:paraId="3E62CF0B" w14:textId="77777777" w:rsidR="00953EDC" w:rsidRDefault="00953EDC" w:rsidP="00953EDC"/>
    <w:p w14:paraId="6FADBAED" w14:textId="77777777" w:rsidR="00953EDC" w:rsidRDefault="00953EDC" w:rsidP="00953EDC"/>
    <w:p w14:paraId="76E8FF72" w14:textId="77777777" w:rsidR="00953EDC" w:rsidRDefault="00953EDC" w:rsidP="00953EDC"/>
    <w:sdt>
      <w:sdtPr>
        <w:rPr>
          <w:rFonts w:asciiTheme="minorHAnsi" w:eastAsiaTheme="minorHAnsi" w:hAnsiTheme="minorHAnsi" w:cstheme="minorBidi"/>
          <w:color w:val="auto"/>
          <w:sz w:val="22"/>
          <w:szCs w:val="22"/>
        </w:rPr>
        <w:id w:val="-345090974"/>
        <w:docPartObj>
          <w:docPartGallery w:val="Bibliographies"/>
          <w:docPartUnique/>
        </w:docPartObj>
      </w:sdtPr>
      <w:sdtEndPr/>
      <w:sdtContent>
        <w:p w14:paraId="33F6F151" w14:textId="77777777" w:rsidR="00953EDC" w:rsidRDefault="00953EDC" w:rsidP="00953EDC">
          <w:pPr>
            <w:pStyle w:val="Heading1"/>
          </w:pPr>
          <w:r>
            <w:t>Bibliography</w:t>
          </w:r>
        </w:p>
        <w:sdt>
          <w:sdtPr>
            <w:id w:val="1086191660"/>
            <w:bibliography/>
          </w:sdtPr>
          <w:sdtEndPr/>
          <w:sdtContent>
            <w:p w14:paraId="23946EC5" w14:textId="77777777" w:rsidR="00953EDC" w:rsidRDefault="00953EDC" w:rsidP="00953EDC">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BBC. (2021, May 24). </w:t>
              </w:r>
              <w:r>
                <w:rPr>
                  <w:i/>
                  <w:iCs/>
                  <w:noProof/>
                  <w:lang w:val="en-US"/>
                </w:rPr>
                <w:t>Who was George Floyd and what happened to Derek Chauvin?</w:t>
              </w:r>
              <w:r>
                <w:rPr>
                  <w:noProof/>
                  <w:lang w:val="en-US"/>
                </w:rPr>
                <w:t xml:space="preserve"> Retrieved from BBC News: https://www.bbc.co.uk/news/world-us-canada-56270334</w:t>
              </w:r>
            </w:p>
            <w:p w14:paraId="106A33D7" w14:textId="77777777" w:rsidR="00953EDC" w:rsidRDefault="00953EDC" w:rsidP="00953EDC">
              <w:pPr>
                <w:pStyle w:val="Bibliography"/>
                <w:ind w:left="720" w:hanging="720"/>
                <w:rPr>
                  <w:noProof/>
                  <w:lang w:val="en-US"/>
                </w:rPr>
              </w:pPr>
              <w:r>
                <w:rPr>
                  <w:noProof/>
                  <w:lang w:val="en-US"/>
                </w:rPr>
                <w:t xml:space="preserve">BBC. (2023, March 21). </w:t>
              </w:r>
              <w:r>
                <w:rPr>
                  <w:i/>
                  <w:iCs/>
                  <w:noProof/>
                  <w:lang w:val="en-US"/>
                </w:rPr>
                <w:t>Met Police institutionally racist, misogynistic and homophobic - report</w:t>
              </w:r>
              <w:r>
                <w:rPr>
                  <w:noProof/>
                  <w:lang w:val="en-US"/>
                </w:rPr>
                <w:t>. Retrieved from BBC News: https://www.bbc.co.uk/news/av/uk-england-london-65031061</w:t>
              </w:r>
            </w:p>
            <w:p w14:paraId="55538264" w14:textId="77777777" w:rsidR="00953EDC" w:rsidRDefault="00953EDC" w:rsidP="00953EDC">
              <w:pPr>
                <w:pStyle w:val="Bibliography"/>
                <w:ind w:left="720" w:hanging="720"/>
                <w:rPr>
                  <w:noProof/>
                  <w:lang w:val="en-US"/>
                </w:rPr>
              </w:pPr>
              <w:r>
                <w:rPr>
                  <w:noProof/>
                  <w:lang w:val="en-US"/>
                </w:rPr>
                <w:t xml:space="preserve">Blackstock, B. C. (2023, March). </w:t>
              </w:r>
              <w:r>
                <w:rPr>
                  <w:i/>
                  <w:iCs/>
                  <w:noProof/>
                  <w:lang w:val="en-US"/>
                </w:rPr>
                <w:t>An independent review into the standards of behaviour and internal culture of the Metropolitan Police Service - Final Report.</w:t>
              </w:r>
              <w:r>
                <w:rPr>
                  <w:noProof/>
                  <w:lang w:val="en-US"/>
                </w:rPr>
                <w:t xml:space="preserve"> Retrieved from Metropolitan Police: https://www.met.police.uk/SysSiteAssets/media/downloads/met/about-us/baroness-casey-review/update-march-2023/baroness-casey-review-march-2023a.pdf</w:t>
              </w:r>
            </w:p>
            <w:p w14:paraId="7FBE1482" w14:textId="77777777" w:rsidR="00953EDC" w:rsidRDefault="00953EDC" w:rsidP="00953EDC">
              <w:pPr>
                <w:pStyle w:val="Bibliography"/>
                <w:ind w:left="720" w:hanging="720"/>
                <w:rPr>
                  <w:noProof/>
                  <w:lang w:val="en-US"/>
                </w:rPr>
              </w:pPr>
              <w:r>
                <w:rPr>
                  <w:noProof/>
                  <w:lang w:val="en-US"/>
                </w:rPr>
                <w:t xml:space="preserve">Collins. (2024). </w:t>
              </w:r>
              <w:r>
                <w:rPr>
                  <w:i/>
                  <w:iCs/>
                  <w:noProof/>
                  <w:lang w:val="en-US"/>
                </w:rPr>
                <w:t>English Dictionary</w:t>
              </w:r>
              <w:r>
                <w:rPr>
                  <w:noProof/>
                  <w:lang w:val="en-US"/>
                </w:rPr>
                <w:t>. Retrieved from Collins: https://www.collinsdictionary.com/dictionary/english/diversity</w:t>
              </w:r>
            </w:p>
            <w:p w14:paraId="3A25CBCB" w14:textId="77777777" w:rsidR="00953EDC" w:rsidRDefault="00953EDC" w:rsidP="00953EDC">
              <w:pPr>
                <w:pStyle w:val="Bibliography"/>
                <w:ind w:left="720" w:hanging="720"/>
                <w:rPr>
                  <w:noProof/>
                  <w:lang w:val="en-US"/>
                </w:rPr>
              </w:pPr>
              <w:r>
                <w:rPr>
                  <w:noProof/>
                  <w:lang w:val="en-US"/>
                </w:rPr>
                <w:t xml:space="preserve">Commission, E. a. (2018, November 15). </w:t>
              </w:r>
              <w:r>
                <w:rPr>
                  <w:i/>
                  <w:iCs/>
                  <w:noProof/>
                  <w:lang w:val="en-US"/>
                </w:rPr>
                <w:t>The Human Rights Act</w:t>
              </w:r>
              <w:r>
                <w:rPr>
                  <w:noProof/>
                  <w:lang w:val="en-US"/>
                </w:rPr>
                <w:t>. Retrieved from Equality and Human Rights Commission: https://www.equalityhumanrights.com/human-rights/human-rights-act</w:t>
              </w:r>
            </w:p>
            <w:p w14:paraId="5707FB4B" w14:textId="77777777" w:rsidR="00953EDC" w:rsidRDefault="00953EDC" w:rsidP="00953EDC">
              <w:pPr>
                <w:pStyle w:val="Bibliography"/>
                <w:ind w:left="720" w:hanging="720"/>
                <w:rPr>
                  <w:noProof/>
                  <w:lang w:val="en-US"/>
                </w:rPr>
              </w:pPr>
              <w:r>
                <w:rPr>
                  <w:noProof/>
                  <w:lang w:val="en-US"/>
                </w:rPr>
                <w:t xml:space="preserve">Desai, U. A. (2020). </w:t>
              </w:r>
              <w:r>
                <w:rPr>
                  <w:i/>
                  <w:iCs/>
                  <w:noProof/>
                  <w:lang w:val="en-US"/>
                </w:rPr>
                <w:t>Policing with Consent.</w:t>
              </w:r>
              <w:r>
                <w:rPr>
                  <w:noProof/>
                  <w:lang w:val="en-US"/>
                </w:rPr>
                <w:t xml:space="preserve"> London: London Assembly Labour.</w:t>
              </w:r>
            </w:p>
            <w:p w14:paraId="68405033" w14:textId="77777777" w:rsidR="00953EDC" w:rsidRDefault="00953EDC" w:rsidP="00953EDC">
              <w:pPr>
                <w:pStyle w:val="Bibliography"/>
                <w:ind w:left="720" w:hanging="720"/>
                <w:rPr>
                  <w:noProof/>
                  <w:lang w:val="en-US"/>
                </w:rPr>
              </w:pPr>
              <w:r>
                <w:rPr>
                  <w:noProof/>
                  <w:lang w:val="en-US"/>
                </w:rPr>
                <w:t xml:space="preserve">ECHR. (2021, July 6). </w:t>
              </w:r>
              <w:r>
                <w:rPr>
                  <w:i/>
                  <w:iCs/>
                  <w:noProof/>
                  <w:lang w:val="en-US"/>
                </w:rPr>
                <w:t>Protected characteristics</w:t>
              </w:r>
              <w:r>
                <w:rPr>
                  <w:noProof/>
                  <w:lang w:val="en-US"/>
                </w:rPr>
                <w:t>. Retrieved from Equality &amp; Human Rights Commission: https://www.equalityhumanrights.com/equality/equality-act-2010/protected-characteristics</w:t>
              </w:r>
            </w:p>
            <w:p w14:paraId="06519A35" w14:textId="77777777" w:rsidR="00953EDC" w:rsidRDefault="00953EDC" w:rsidP="00953EDC">
              <w:pPr>
                <w:pStyle w:val="Bibliography"/>
                <w:ind w:left="720" w:hanging="720"/>
                <w:rPr>
                  <w:noProof/>
                  <w:lang w:val="en-US"/>
                </w:rPr>
              </w:pPr>
              <w:r>
                <w:rPr>
                  <w:noProof/>
                  <w:lang w:val="en-US"/>
                </w:rPr>
                <w:t xml:space="preserve">GOV.UK. (2012, july 06). </w:t>
              </w:r>
              <w:r>
                <w:rPr>
                  <w:i/>
                  <w:iCs/>
                  <w:noProof/>
                  <w:lang w:val="en-US"/>
                </w:rPr>
                <w:t>Public sector equality duty</w:t>
              </w:r>
              <w:r>
                <w:rPr>
                  <w:noProof/>
                  <w:lang w:val="en-US"/>
                </w:rPr>
                <w:t>. Retrieved from GOV.UK: https://www.gov.uk/government/publications/public-sector-equality-duty</w:t>
              </w:r>
            </w:p>
            <w:p w14:paraId="0395A964" w14:textId="77777777" w:rsidR="00953EDC" w:rsidRDefault="00953EDC" w:rsidP="00953EDC">
              <w:pPr>
                <w:pStyle w:val="Bibliography"/>
                <w:ind w:left="720" w:hanging="720"/>
                <w:rPr>
                  <w:noProof/>
                  <w:lang w:val="en-US"/>
                </w:rPr>
              </w:pPr>
              <w:r>
                <w:rPr>
                  <w:noProof/>
                  <w:lang w:val="en-US"/>
                </w:rPr>
                <w:t xml:space="preserve">GOV.UK. (2023, May 26). </w:t>
              </w:r>
              <w:r>
                <w:rPr>
                  <w:i/>
                  <w:iCs/>
                  <w:noProof/>
                  <w:lang w:val="en-US"/>
                </w:rPr>
                <w:t>Police workforce</w:t>
              </w:r>
              <w:r>
                <w:rPr>
                  <w:noProof/>
                  <w:lang w:val="en-US"/>
                </w:rPr>
                <w:t>. Retrieved from GOV.UK: https://www.ethnicity-facts-figures.service.gov.uk/workforce-and-business/workforce-diversity/police-workforce/latest/</w:t>
              </w:r>
            </w:p>
            <w:p w14:paraId="1F901568" w14:textId="77777777" w:rsidR="00953EDC" w:rsidRDefault="00953EDC" w:rsidP="00953EDC">
              <w:pPr>
                <w:pStyle w:val="Bibliography"/>
                <w:ind w:left="720" w:hanging="720"/>
                <w:rPr>
                  <w:noProof/>
                  <w:lang w:val="en-US"/>
                </w:rPr>
              </w:pPr>
              <w:r>
                <w:rPr>
                  <w:noProof/>
                  <w:lang w:val="en-US"/>
                </w:rPr>
                <w:t xml:space="preserve">Legislation.gov.uk. (2011). </w:t>
              </w:r>
              <w:r>
                <w:rPr>
                  <w:i/>
                  <w:iCs/>
                  <w:noProof/>
                  <w:lang w:val="en-US"/>
                </w:rPr>
                <w:t>legislation.gov.uk</w:t>
              </w:r>
              <w:r>
                <w:rPr>
                  <w:noProof/>
                  <w:lang w:val="en-US"/>
                </w:rPr>
                <w:t>. Retrieved from The Equality Act 2010 Regulations 2011 NO.2260: https://www.legislation.gov.uk/uksi/2011/2260/contents/made</w:t>
              </w:r>
            </w:p>
            <w:p w14:paraId="7591F378" w14:textId="77777777" w:rsidR="00953EDC" w:rsidRDefault="00953EDC" w:rsidP="00953EDC">
              <w:pPr>
                <w:pStyle w:val="Bibliography"/>
                <w:ind w:left="720" w:hanging="720"/>
                <w:rPr>
                  <w:noProof/>
                  <w:lang w:val="en-US"/>
                </w:rPr>
              </w:pPr>
              <w:r>
                <w:rPr>
                  <w:noProof/>
                  <w:lang w:val="en-US"/>
                </w:rPr>
                <w:t xml:space="preserve">Policing, C. o. (2023). </w:t>
              </w:r>
              <w:r>
                <w:rPr>
                  <w:i/>
                  <w:iCs/>
                  <w:noProof/>
                  <w:lang w:val="en-US"/>
                </w:rPr>
                <w:t>Diversity and Inclusion</w:t>
              </w:r>
              <w:r>
                <w:rPr>
                  <w:noProof/>
                  <w:lang w:val="en-US"/>
                </w:rPr>
                <w:t>. Retrieved from College of Policing: https://www.college.police.uk/support-forces/diversity-and-inclusion</w:t>
              </w:r>
            </w:p>
            <w:p w14:paraId="7B3647BD" w14:textId="77777777" w:rsidR="00953EDC" w:rsidRDefault="00953EDC" w:rsidP="00953EDC">
              <w:pPr>
                <w:pStyle w:val="Bibliography"/>
                <w:ind w:left="720" w:hanging="720"/>
                <w:rPr>
                  <w:noProof/>
                  <w:lang w:val="en-US"/>
                </w:rPr>
              </w:pPr>
              <w:r>
                <w:rPr>
                  <w:noProof/>
                  <w:lang w:val="en-US"/>
                </w:rPr>
                <w:t xml:space="preserve">Policing, C. o. (2024). </w:t>
              </w:r>
              <w:r>
                <w:rPr>
                  <w:i/>
                  <w:iCs/>
                  <w:noProof/>
                  <w:lang w:val="en-US"/>
                </w:rPr>
                <w:t>Diversity and Inclusion</w:t>
              </w:r>
              <w:r>
                <w:rPr>
                  <w:noProof/>
                  <w:lang w:val="en-US"/>
                </w:rPr>
                <w:t>. Retrieved from College of Policing: https://www.college.police.uk/support-forces/diversity-and-inclusion</w:t>
              </w:r>
            </w:p>
            <w:p w14:paraId="6C6B1551" w14:textId="77777777" w:rsidR="00953EDC" w:rsidRDefault="00953EDC" w:rsidP="00953EDC">
              <w:pPr>
                <w:pStyle w:val="Bibliography"/>
                <w:ind w:left="720" w:hanging="720"/>
                <w:rPr>
                  <w:noProof/>
                  <w:lang w:val="en-US"/>
                </w:rPr>
              </w:pPr>
              <w:r>
                <w:rPr>
                  <w:noProof/>
                  <w:lang w:val="en-US"/>
                </w:rPr>
                <w:t xml:space="preserve">Statistics, O. f. (2022, November 29). </w:t>
              </w:r>
              <w:r>
                <w:rPr>
                  <w:i/>
                  <w:iCs/>
                  <w:noProof/>
                  <w:lang w:val="en-US"/>
                </w:rPr>
                <w:t>Ethnic group, England and Wales: Census 2021</w:t>
              </w:r>
              <w:r>
                <w:rPr>
                  <w:noProof/>
                  <w:lang w:val="en-US"/>
                </w:rPr>
                <w:t>. Retrieved from Office for National Statistics: https://www.ons.gov.uk/peoplepopulationandcommunity/culturalidentity/ethnicity/bulletins/ethnicgroupenglandandwales/census2021</w:t>
              </w:r>
            </w:p>
            <w:p w14:paraId="631DC7C6" w14:textId="77777777" w:rsidR="00953EDC" w:rsidRPr="00312A7A" w:rsidRDefault="00953EDC" w:rsidP="00953EDC">
              <w:r>
                <w:rPr>
                  <w:b/>
                  <w:bCs/>
                  <w:noProof/>
                </w:rPr>
                <w:fldChar w:fldCharType="end"/>
              </w:r>
            </w:p>
          </w:sdtContent>
        </w:sdt>
      </w:sdtContent>
    </w:sdt>
    <w:p w14:paraId="69E79D58" w14:textId="77777777" w:rsidR="00953EDC" w:rsidRDefault="00953EDC" w:rsidP="00953EDC">
      <w:pPr>
        <w:rPr>
          <w:b/>
          <w:bCs/>
        </w:rPr>
      </w:pPr>
    </w:p>
    <w:p w14:paraId="1AEB2A2B" w14:textId="77777777" w:rsidR="00953EDC" w:rsidRDefault="00953EDC" w:rsidP="00953EDC">
      <w:pPr>
        <w:rPr>
          <w:b/>
          <w:bCs/>
        </w:rPr>
      </w:pPr>
    </w:p>
    <w:p w14:paraId="14C733DE" w14:textId="758C1AC0" w:rsidR="00953EDC" w:rsidRPr="00AF277D" w:rsidRDefault="00953EDC" w:rsidP="00953EDC">
      <w:pPr>
        <w:rPr>
          <w:b/>
          <w:bCs/>
        </w:rPr>
      </w:pPr>
      <w:r w:rsidRPr="00AF277D">
        <w:rPr>
          <w:b/>
          <w:bCs/>
        </w:rPr>
        <w:t xml:space="preserve">Essay two: </w:t>
      </w:r>
    </w:p>
    <w:p w14:paraId="391D77A2" w14:textId="77777777" w:rsidR="00953EDC" w:rsidRPr="00AF277D" w:rsidRDefault="00953EDC" w:rsidP="00953EDC">
      <w:pPr>
        <w:rPr>
          <w:i/>
          <w:iCs/>
        </w:rPr>
      </w:pPr>
      <w:r w:rsidRPr="00AF277D">
        <w:rPr>
          <w:i/>
          <w:iCs/>
        </w:rPr>
        <w:t xml:space="preserve">Choose one of the following questions: </w:t>
      </w:r>
    </w:p>
    <w:p w14:paraId="3A834D3B" w14:textId="77777777" w:rsidR="00953EDC" w:rsidRPr="00AF277D" w:rsidRDefault="00953EDC" w:rsidP="00953EDC">
      <w:pPr>
        <w:rPr>
          <w:i/>
          <w:iCs/>
        </w:rPr>
      </w:pPr>
      <w:r w:rsidRPr="00AF277D">
        <w:rPr>
          <w:i/>
          <w:iCs/>
        </w:rPr>
        <w:t xml:space="preserve">• </w:t>
      </w:r>
      <w:r w:rsidRPr="00D92F2D">
        <w:rPr>
          <w:i/>
          <w:iCs/>
          <w:sz w:val="18"/>
          <w:szCs w:val="18"/>
        </w:rPr>
        <w:t>Counter-terrorism policing – How might terrorist groups’ involvement in other forms of criminality inform counter-terrorism policing?</w:t>
      </w:r>
      <w:r w:rsidRPr="00AF277D">
        <w:rPr>
          <w:i/>
          <w:iCs/>
        </w:rPr>
        <w:t xml:space="preserve"> </w:t>
      </w:r>
    </w:p>
    <w:p w14:paraId="5A369FEE" w14:textId="77777777" w:rsidR="00953EDC" w:rsidRPr="00F15CE9" w:rsidRDefault="00953EDC" w:rsidP="00953EDC">
      <w:pPr>
        <w:rPr>
          <w:b/>
          <w:bCs/>
        </w:rPr>
      </w:pPr>
      <w:r w:rsidRPr="00F15CE9">
        <w:rPr>
          <w:b/>
          <w:bCs/>
        </w:rPr>
        <w:t xml:space="preserve">• </w:t>
      </w:r>
      <w:r w:rsidRPr="00D92F2D">
        <w:rPr>
          <w:b/>
          <w:bCs/>
          <w:sz w:val="24"/>
          <w:szCs w:val="24"/>
        </w:rPr>
        <w:t>Response policing – Why is it important to manage mental wellbeing in policing? What can be the consequences if mental wellbeing is not managed appropriately?</w:t>
      </w:r>
      <w:r w:rsidRPr="00F15CE9">
        <w:rPr>
          <w:b/>
          <w:bCs/>
        </w:rPr>
        <w:t xml:space="preserve"> </w:t>
      </w:r>
    </w:p>
    <w:p w14:paraId="7CA262F2" w14:textId="77777777" w:rsidR="00953EDC" w:rsidRPr="00D92F2D" w:rsidRDefault="00953EDC" w:rsidP="00953EDC">
      <w:pPr>
        <w:rPr>
          <w:i/>
          <w:iCs/>
          <w:sz w:val="18"/>
          <w:szCs w:val="18"/>
        </w:rPr>
      </w:pPr>
      <w:r w:rsidRPr="00AF277D">
        <w:rPr>
          <w:i/>
          <w:iCs/>
        </w:rPr>
        <w:t>•</w:t>
      </w:r>
      <w:r w:rsidRPr="00D92F2D">
        <w:rPr>
          <w:i/>
          <w:iCs/>
          <w:sz w:val="18"/>
          <w:szCs w:val="18"/>
        </w:rPr>
        <w:t xml:space="preserve"> Community policing – Why is partnership working the most effective way to reach groups or communities who are unwilling to engage with police? </w:t>
      </w:r>
    </w:p>
    <w:p w14:paraId="7CBAD6EB" w14:textId="77777777" w:rsidR="00953EDC" w:rsidRDefault="00953EDC" w:rsidP="00953EDC">
      <w:pPr>
        <w:rPr>
          <w:b/>
          <w:bCs/>
        </w:rPr>
      </w:pPr>
      <w:r w:rsidRPr="00AF277D">
        <w:rPr>
          <w:b/>
          <w:bCs/>
        </w:rPr>
        <w:t>Word limit: 1000 words.</w:t>
      </w:r>
    </w:p>
    <w:p w14:paraId="26D40310" w14:textId="07DC42A3" w:rsidR="00953EDC" w:rsidRDefault="00953EDC" w:rsidP="00850D03">
      <w:r>
        <w:t>Mental health is “</w:t>
      </w:r>
      <w:r w:rsidRPr="004F110B">
        <w:t>an integral part of health; indeed, there is no health without mental health</w:t>
      </w:r>
      <w:r>
        <w:t xml:space="preserve">” </w:t>
      </w:r>
      <w:sdt>
        <w:sdtPr>
          <w:id w:val="888303133"/>
          <w:citation/>
        </w:sdtPr>
        <w:sdtEndPr/>
        <w:sdtContent>
          <w:r>
            <w:fldChar w:fldCharType="begin"/>
          </w:r>
          <w:r w:rsidR="00850D03">
            <w:instrText xml:space="preserve">CITATION Wor18 \l 2057 </w:instrText>
          </w:r>
          <w:r>
            <w:fldChar w:fldCharType="separate"/>
          </w:r>
          <w:r w:rsidR="00850D03">
            <w:rPr>
              <w:noProof/>
            </w:rPr>
            <w:t>(WHO, 2018)</w:t>
          </w:r>
          <w:r>
            <w:fldChar w:fldCharType="end"/>
          </w:r>
        </w:sdtContent>
      </w:sdt>
      <w:r w:rsidRPr="004F110B">
        <w:t>.</w:t>
      </w:r>
      <w:r>
        <w:t xml:space="preserve"> Mental health is an inevitable and omni</w:t>
      </w:r>
      <w:r w:rsidR="00B74786">
        <w:t>pres</w:t>
      </w:r>
      <w:r>
        <w:t>ent concern when discussing policing during the current state. It is important to recognise the limits of mental wellbeing for police officers and explore how police officers interact with members of the public whose mental health can also be unpredictable. A very broad definition provided by the World Health Organisation illustrates, “m</w:t>
      </w:r>
      <w:r w:rsidRPr="001B3C2D">
        <w:t xml:space="preserve">ental health </w:t>
      </w:r>
      <w:r>
        <w:t>as</w:t>
      </w:r>
      <w:r w:rsidRPr="001B3C2D">
        <w:t xml:space="preserve"> a state of well-being in which an individual realizes his or her own abilities, can cope with the normal stresses of life, can work productively and is able to make a contribution to his or her community</w:t>
      </w:r>
      <w:r>
        <w:t xml:space="preserve">” </w:t>
      </w:r>
      <w:sdt>
        <w:sdtPr>
          <w:id w:val="-1341228396"/>
          <w:citation/>
        </w:sdtPr>
        <w:sdtEndPr/>
        <w:sdtContent>
          <w:r>
            <w:fldChar w:fldCharType="begin"/>
          </w:r>
          <w:r w:rsidR="00850D03">
            <w:instrText xml:space="preserve">CITATION Wor18 \l 2057 </w:instrText>
          </w:r>
          <w:r>
            <w:fldChar w:fldCharType="separate"/>
          </w:r>
          <w:r w:rsidR="00850D03">
            <w:rPr>
              <w:noProof/>
            </w:rPr>
            <w:t>(WHO, 2018)</w:t>
          </w:r>
          <w:r>
            <w:fldChar w:fldCharType="end"/>
          </w:r>
        </w:sdtContent>
      </w:sdt>
      <w:r w:rsidRPr="001B3C2D">
        <w:t>.</w:t>
      </w:r>
      <w:r>
        <w:t xml:space="preserve"> This definition is important when applied to the pressures and hazards of response policing, as mental health is likely to be affected by the events that police officers encounter during a typical tour of duty. This is a juxtaposition, as the very nature of response policing requires that no tour of duty is ever the same, “by the nature of their work, they have little control over their day-to-day activities” </w:t>
      </w:r>
      <w:sdt>
        <w:sdtPr>
          <w:id w:val="-890877484"/>
          <w:citation/>
        </w:sdtPr>
        <w:sdtEndPr/>
        <w:sdtContent>
          <w:r>
            <w:fldChar w:fldCharType="begin"/>
          </w:r>
          <w:r>
            <w:instrText xml:space="preserve"> CITATION Osc20 \l 2057 </w:instrText>
          </w:r>
          <w:r>
            <w:fldChar w:fldCharType="separate"/>
          </w:r>
          <w:r>
            <w:rPr>
              <w:noProof/>
            </w:rPr>
            <w:t>(Kilo, 2020)</w:t>
          </w:r>
          <w:r>
            <w:fldChar w:fldCharType="end"/>
          </w:r>
        </w:sdtContent>
      </w:sdt>
      <w:r>
        <w:t xml:space="preserve">. This leads </w:t>
      </w:r>
      <w:r w:rsidR="00B74786">
        <w:t>police officers</w:t>
      </w:r>
      <w:r>
        <w:t xml:space="preserve"> to inevitably experience “traumatic scenes or events” </w:t>
      </w:r>
      <w:sdt>
        <w:sdtPr>
          <w:id w:val="229200847"/>
          <w:citation/>
        </w:sdtPr>
        <w:sdtEndPr/>
        <w:sdtContent>
          <w:r>
            <w:fldChar w:fldCharType="begin"/>
          </w:r>
          <w:r>
            <w:instrText xml:space="preserve"> CITATION Osc20 \l 2057 </w:instrText>
          </w:r>
          <w:r>
            <w:fldChar w:fldCharType="separate"/>
          </w:r>
          <w:r>
            <w:rPr>
              <w:noProof/>
            </w:rPr>
            <w:t>(Kilo, 2020)</w:t>
          </w:r>
          <w:r>
            <w:fldChar w:fldCharType="end"/>
          </w:r>
        </w:sdtContent>
      </w:sdt>
      <w:r>
        <w:t xml:space="preserve"> in their primary role as first responders. How this trauma is managed will ultimately affect the </w:t>
      </w:r>
      <w:r w:rsidR="00946F1E">
        <w:t>resilience</w:t>
      </w:r>
      <w:r>
        <w:t xml:space="preserve"> of </w:t>
      </w:r>
      <w:r w:rsidR="00E466F1">
        <w:t xml:space="preserve">those </w:t>
      </w:r>
      <w:r>
        <w:t>officers and should be at the forefront of any conversation on mental wellbeing in policing.</w:t>
      </w:r>
    </w:p>
    <w:p w14:paraId="2E8642DF" w14:textId="0CD01CF3" w:rsidR="00953EDC" w:rsidRDefault="00953EDC" w:rsidP="00953EDC">
      <w:pPr>
        <w:rPr>
          <w:color w:val="000000"/>
          <w:shd w:val="clear" w:color="auto" w:fill="FFFFFF"/>
        </w:rPr>
      </w:pPr>
      <w:r>
        <w:t xml:space="preserve">Policing relies on interacting with members of the public and responding to emergencies. </w:t>
      </w:r>
      <w:r w:rsidR="00E466F1">
        <w:t xml:space="preserve">The </w:t>
      </w:r>
      <w:r>
        <w:t>lack of any predetermined remit exposes response officers t</w:t>
      </w:r>
      <w:r w:rsidRPr="00850D03">
        <w:t>o</w:t>
      </w:r>
      <w:r w:rsidRPr="00850D03">
        <w:rPr>
          <w:rFonts w:ascii="System" w:hAnsi="System"/>
          <w:color w:val="000000"/>
          <w:shd w:val="clear" w:color="auto" w:fill="FFFFF6"/>
        </w:rPr>
        <w:t xml:space="preserve"> </w:t>
      </w:r>
      <w:r w:rsidRPr="00A03155">
        <w:rPr>
          <w:color w:val="000000"/>
          <w:shd w:val="clear" w:color="auto" w:fill="FFFFF6"/>
        </w:rPr>
        <w:t xml:space="preserve">“a wide range of incidents that may include complex and confrontational situations” </w:t>
      </w:r>
      <w:sdt>
        <w:sdtPr>
          <w:rPr>
            <w:color w:val="000000"/>
            <w:shd w:val="clear" w:color="auto" w:fill="FFFFF6"/>
          </w:rPr>
          <w:id w:val="155110730"/>
          <w:citation/>
        </w:sdtPr>
        <w:sdtEndPr/>
        <w:sdtContent>
          <w:r w:rsidRPr="00A03155">
            <w:rPr>
              <w:color w:val="000000"/>
              <w:shd w:val="clear" w:color="auto" w:fill="FFFFF6"/>
            </w:rPr>
            <w:fldChar w:fldCharType="begin"/>
          </w:r>
          <w:r w:rsidRPr="00A03155">
            <w:rPr>
              <w:color w:val="000000"/>
              <w:shd w:val="clear" w:color="auto" w:fill="FFFFF6"/>
            </w:rPr>
            <w:instrText xml:space="preserve">CITATION Col241 \t  \l 2057 </w:instrText>
          </w:r>
          <w:r w:rsidRPr="00A03155">
            <w:rPr>
              <w:color w:val="000000"/>
              <w:shd w:val="clear" w:color="auto" w:fill="FFFFF6"/>
            </w:rPr>
            <w:fldChar w:fldCharType="separate"/>
          </w:r>
          <w:r w:rsidRPr="00A03155">
            <w:rPr>
              <w:noProof/>
              <w:color w:val="000000"/>
              <w:shd w:val="clear" w:color="auto" w:fill="FFFFF6"/>
            </w:rPr>
            <w:t>(Policing, 2024)</w:t>
          </w:r>
          <w:r w:rsidRPr="00A03155">
            <w:rPr>
              <w:color w:val="000000"/>
              <w:shd w:val="clear" w:color="auto" w:fill="FFFFF6"/>
            </w:rPr>
            <w:fldChar w:fldCharType="end"/>
          </w:r>
        </w:sdtContent>
      </w:sdt>
      <w:r w:rsidRPr="00A03155">
        <w:rPr>
          <w:color w:val="000000"/>
          <w:shd w:val="clear" w:color="auto" w:fill="FFFFF6"/>
        </w:rPr>
        <w:t xml:space="preserve">. This can have an adverse effect on the mental wellbeing of these officers as prolonged exposure to such complex and traumatic incidents </w:t>
      </w:r>
      <w:r w:rsidR="00B74786">
        <w:rPr>
          <w:color w:val="000000"/>
          <w:shd w:val="clear" w:color="auto" w:fill="FFFFF6"/>
        </w:rPr>
        <w:t>has been shown to lead to</w:t>
      </w:r>
      <w:r w:rsidRPr="00A03155">
        <w:rPr>
          <w:color w:val="000000"/>
          <w:shd w:val="clear" w:color="auto" w:fill="FFFFF6"/>
        </w:rPr>
        <w:t xml:space="preserve"> “</w:t>
      </w:r>
      <w:r>
        <w:rPr>
          <w:color w:val="000000"/>
          <w:shd w:val="clear" w:color="auto" w:fill="FFFFFF"/>
        </w:rPr>
        <w:t xml:space="preserve">increased rates of acute stress disorder, posttraumatic stress disorder (PTSD), major depression, panic disorder, generalized anxiety disorder, and substance use disorder” </w:t>
      </w:r>
      <w:sdt>
        <w:sdtPr>
          <w:rPr>
            <w:color w:val="000000"/>
            <w:shd w:val="clear" w:color="auto" w:fill="FFFFFF"/>
          </w:rPr>
          <w:id w:val="87976722"/>
          <w:citation/>
        </w:sdtPr>
        <w:sdtEndPr/>
        <w:sdtContent>
          <w:r>
            <w:rPr>
              <w:color w:val="000000"/>
              <w:shd w:val="clear" w:color="auto" w:fill="FFFFFF"/>
            </w:rPr>
            <w:fldChar w:fldCharType="begin"/>
          </w:r>
          <w:r>
            <w:rPr>
              <w:color w:val="000000"/>
              <w:shd w:val="clear" w:color="auto" w:fill="FFFFFF"/>
            </w:rPr>
            <w:instrText xml:space="preserve"> CITATION Kes95 \l 2057 </w:instrText>
          </w:r>
          <w:r>
            <w:rPr>
              <w:color w:val="000000"/>
              <w:shd w:val="clear" w:color="auto" w:fill="FFFFFF"/>
            </w:rPr>
            <w:fldChar w:fldCharType="separate"/>
          </w:r>
          <w:r w:rsidRPr="00D92F2D">
            <w:rPr>
              <w:noProof/>
              <w:color w:val="000000"/>
              <w:shd w:val="clear" w:color="auto" w:fill="FFFFFF"/>
            </w:rPr>
            <w:t>(Kessler, 1995)</w:t>
          </w:r>
          <w:r>
            <w:rPr>
              <w:color w:val="000000"/>
              <w:shd w:val="clear" w:color="auto" w:fill="FFFFFF"/>
            </w:rPr>
            <w:fldChar w:fldCharType="end"/>
          </w:r>
        </w:sdtContent>
      </w:sdt>
      <w:r>
        <w:rPr>
          <w:color w:val="000000"/>
          <w:shd w:val="clear" w:color="auto" w:fill="FFFFFF"/>
        </w:rPr>
        <w:t xml:space="preserve">. This is due to a state of chronic hyperarousal whereby </w:t>
      </w:r>
      <w:r>
        <w:t xml:space="preserve">Police officers “inhabit a world in which their safety and success requires them to be constantly alert and attentive to the smallest indication of a hazardous situation or an important piece of evidence” </w:t>
      </w:r>
      <w:sdt>
        <w:sdtPr>
          <w:id w:val="-1885094823"/>
          <w:citation/>
        </w:sdtPr>
        <w:sdtEndPr/>
        <w:sdtContent>
          <w:r>
            <w:fldChar w:fldCharType="begin"/>
          </w:r>
          <w:r>
            <w:instrText xml:space="preserve"> CITATION Osc20 \l 2057 </w:instrText>
          </w:r>
          <w:r>
            <w:fldChar w:fldCharType="separate"/>
          </w:r>
          <w:r>
            <w:rPr>
              <w:noProof/>
            </w:rPr>
            <w:t>(Kilo, 2020)</w:t>
          </w:r>
          <w:r>
            <w:fldChar w:fldCharType="end"/>
          </w:r>
        </w:sdtContent>
      </w:sdt>
      <w:r>
        <w:t>. Over time, it is proposed that such pressure</w:t>
      </w:r>
      <w:r w:rsidR="00A03155">
        <w:t>s</w:t>
      </w:r>
      <w:r>
        <w:t xml:space="preserve"> will likely </w:t>
      </w:r>
      <w:r w:rsidR="00E466F1">
        <w:t xml:space="preserve">amass </w:t>
      </w:r>
      <w:r>
        <w:t xml:space="preserve">and can lead to “psychological exhaustion and burnout” </w:t>
      </w:r>
      <w:sdt>
        <w:sdtPr>
          <w:id w:val="-522788990"/>
          <w:citation/>
        </w:sdtPr>
        <w:sdtEndPr/>
        <w:sdtContent>
          <w:r>
            <w:fldChar w:fldCharType="begin"/>
          </w:r>
          <w:r>
            <w:instrText xml:space="preserve"> CITATION Osc20 \l 2057 </w:instrText>
          </w:r>
          <w:r>
            <w:fldChar w:fldCharType="separate"/>
          </w:r>
          <w:r>
            <w:rPr>
              <w:noProof/>
            </w:rPr>
            <w:t>(Kilo, 2020)</w:t>
          </w:r>
          <w:r>
            <w:fldChar w:fldCharType="end"/>
          </w:r>
        </w:sdtContent>
      </w:sdt>
      <w:r>
        <w:t>. This is without considering the shift work that forms the backbone of response policing and the distinct lack of sociable hours which may be available in other professions, in which mental wellbeing may be discussed down the local pub over a pint or glass of wine with friends.</w:t>
      </w:r>
      <w:r>
        <w:rPr>
          <w:color w:val="000000"/>
          <w:shd w:val="clear" w:color="auto" w:fill="FFFFFF"/>
        </w:rPr>
        <w:t xml:space="preserve"> It is essential that the police service recognises this and implements effective strategies to support those officers who </w:t>
      </w:r>
      <w:r w:rsidR="00E466F1">
        <w:rPr>
          <w:color w:val="000000"/>
          <w:shd w:val="clear" w:color="auto" w:fill="FFFFFF"/>
        </w:rPr>
        <w:t>are likely to</w:t>
      </w:r>
      <w:r>
        <w:rPr>
          <w:color w:val="000000"/>
          <w:shd w:val="clear" w:color="auto" w:fill="FFFFFF"/>
        </w:rPr>
        <w:t xml:space="preserve"> experience any of the psychological conditions previously mentioned.</w:t>
      </w:r>
    </w:p>
    <w:p w14:paraId="6FC0387B" w14:textId="4DB70FB8" w:rsidR="00953EDC" w:rsidRDefault="00953EDC" w:rsidP="00953EDC">
      <w:pPr>
        <w:rPr>
          <w:color w:val="000000"/>
          <w:shd w:val="clear" w:color="auto" w:fill="FFFFFF"/>
        </w:rPr>
      </w:pPr>
      <w:r>
        <w:rPr>
          <w:color w:val="000000"/>
          <w:shd w:val="clear" w:color="auto" w:fill="FFFFFF"/>
        </w:rPr>
        <w:t xml:space="preserve">Most Police Forces across the UK have adopted the </w:t>
      </w:r>
      <w:proofErr w:type="spellStart"/>
      <w:r>
        <w:rPr>
          <w:color w:val="000000"/>
          <w:shd w:val="clear" w:color="auto" w:fill="FFFFFF"/>
        </w:rPr>
        <w:t>TRiM</w:t>
      </w:r>
      <w:proofErr w:type="spellEnd"/>
      <w:r>
        <w:rPr>
          <w:color w:val="000000"/>
          <w:shd w:val="clear" w:color="auto" w:fill="FFFFFF"/>
        </w:rPr>
        <w:t xml:space="preserve"> model - </w:t>
      </w:r>
      <w:r w:rsidRPr="00912398">
        <w:rPr>
          <w:color w:val="000000"/>
          <w:shd w:val="clear" w:color="auto" w:fill="FFFFFF"/>
        </w:rPr>
        <w:t>Trauma Risk Management</w:t>
      </w:r>
      <w:r>
        <w:rPr>
          <w:color w:val="000000"/>
          <w:shd w:val="clear" w:color="auto" w:fill="FFFFFF"/>
        </w:rPr>
        <w:t>, in response to the</w:t>
      </w:r>
      <w:r w:rsidRPr="00912398">
        <w:rPr>
          <w:color w:val="000000"/>
          <w:shd w:val="clear" w:color="auto" w:fill="FFFFFF"/>
        </w:rPr>
        <w:t xml:space="preserve"> traumatic events </w:t>
      </w:r>
      <w:r>
        <w:rPr>
          <w:color w:val="000000"/>
          <w:shd w:val="clear" w:color="auto" w:fill="FFFFFF"/>
        </w:rPr>
        <w:t xml:space="preserve">that police officers will encounter </w:t>
      </w:r>
      <w:r w:rsidRPr="00912398">
        <w:rPr>
          <w:color w:val="000000"/>
          <w:shd w:val="clear" w:color="auto" w:fill="FFFFFF"/>
        </w:rPr>
        <w:t>as part of their operational duty</w:t>
      </w:r>
      <w:r>
        <w:rPr>
          <w:color w:val="000000"/>
          <w:shd w:val="clear" w:color="auto" w:fill="FFFFFF"/>
        </w:rPr>
        <w:t>. “</w:t>
      </w:r>
      <w:proofErr w:type="spellStart"/>
      <w:r w:rsidRPr="00FC3A15">
        <w:rPr>
          <w:color w:val="000000"/>
          <w:shd w:val="clear" w:color="auto" w:fill="FFFFFF"/>
        </w:rPr>
        <w:t>TRiM</w:t>
      </w:r>
      <w:proofErr w:type="spellEnd"/>
      <w:r w:rsidRPr="00FC3A15">
        <w:rPr>
          <w:color w:val="000000"/>
          <w:shd w:val="clear" w:color="auto" w:fill="FFFFFF"/>
        </w:rPr>
        <w:t xml:space="preserve"> is a peer-support process that aims to support employees following trauma, reduce stigma, and encourage help-seeking</w:t>
      </w:r>
      <w:r>
        <w:rPr>
          <w:color w:val="000000"/>
          <w:shd w:val="clear" w:color="auto" w:fill="FFFFFF"/>
        </w:rPr>
        <w:t xml:space="preserve">” </w:t>
      </w:r>
      <w:sdt>
        <w:sdtPr>
          <w:rPr>
            <w:color w:val="000000"/>
            <w:shd w:val="clear" w:color="auto" w:fill="FFFFFF"/>
          </w:rPr>
          <w:id w:val="-1484002105"/>
          <w:citation/>
        </w:sdtPr>
        <w:sdtEndPr/>
        <w:sdtContent>
          <w:r>
            <w:rPr>
              <w:color w:val="000000"/>
              <w:shd w:val="clear" w:color="auto" w:fill="FFFFFF"/>
            </w:rPr>
            <w:fldChar w:fldCharType="begin"/>
          </w:r>
          <w:r>
            <w:rPr>
              <w:color w:val="000000"/>
              <w:shd w:val="clear" w:color="auto" w:fill="FFFFFF"/>
            </w:rPr>
            <w:instrText xml:space="preserve"> CITATION Wat18 \l 2057 </w:instrText>
          </w:r>
          <w:r>
            <w:rPr>
              <w:color w:val="000000"/>
              <w:shd w:val="clear" w:color="auto" w:fill="FFFFFF"/>
            </w:rPr>
            <w:fldChar w:fldCharType="separate"/>
          </w:r>
          <w:r w:rsidRPr="00D92F2D">
            <w:rPr>
              <w:noProof/>
              <w:color w:val="000000"/>
              <w:shd w:val="clear" w:color="auto" w:fill="FFFFFF"/>
            </w:rPr>
            <w:t>(Watson, 2018)</w:t>
          </w:r>
          <w:r>
            <w:rPr>
              <w:color w:val="000000"/>
              <w:shd w:val="clear" w:color="auto" w:fill="FFFFFF"/>
            </w:rPr>
            <w:fldChar w:fldCharType="end"/>
          </w:r>
        </w:sdtContent>
      </w:sdt>
      <w:r w:rsidRPr="00FC3A15">
        <w:rPr>
          <w:color w:val="000000"/>
          <w:shd w:val="clear" w:color="auto" w:fill="FFFFFF"/>
        </w:rPr>
        <w:t>. </w:t>
      </w:r>
      <w:r>
        <w:rPr>
          <w:color w:val="000000"/>
          <w:shd w:val="clear" w:color="auto" w:fill="FFFFFF"/>
        </w:rPr>
        <w:t xml:space="preserve">This is designed to be an in-house post incident service which supports officers, enabling them to access specialists in the field of mental health, in turn signposting those officers to the most adequate forms of treatment available. Much of the research behind </w:t>
      </w:r>
      <w:proofErr w:type="spellStart"/>
      <w:r>
        <w:rPr>
          <w:color w:val="000000"/>
          <w:shd w:val="clear" w:color="auto" w:fill="FFFFFF"/>
        </w:rPr>
        <w:t>TRiM</w:t>
      </w:r>
      <w:proofErr w:type="spellEnd"/>
      <w:r>
        <w:rPr>
          <w:color w:val="000000"/>
          <w:shd w:val="clear" w:color="auto" w:fill="FFFFFF"/>
        </w:rPr>
        <w:t xml:space="preserve"> is based on</w:t>
      </w:r>
      <w:r w:rsidRPr="00912398">
        <w:rPr>
          <w:color w:val="000000"/>
          <w:shd w:val="clear" w:color="auto" w:fill="FFFFFF"/>
        </w:rPr>
        <w:t xml:space="preserve"> </w:t>
      </w:r>
      <w:r>
        <w:rPr>
          <w:color w:val="000000"/>
          <w:shd w:val="clear" w:color="auto" w:fill="FFFFFF"/>
        </w:rPr>
        <w:t>“</w:t>
      </w:r>
      <w:r w:rsidRPr="00912398">
        <w:rPr>
          <w:color w:val="000000"/>
          <w:shd w:val="clear" w:color="auto" w:fill="FFFFFF"/>
        </w:rPr>
        <w:t>military populations</w:t>
      </w:r>
      <w:r>
        <w:rPr>
          <w:color w:val="000000"/>
          <w:shd w:val="clear" w:color="auto" w:fill="FFFFFF"/>
        </w:rPr>
        <w:t xml:space="preserve">” </w:t>
      </w:r>
      <w:sdt>
        <w:sdtPr>
          <w:rPr>
            <w:color w:val="000000"/>
            <w:shd w:val="clear" w:color="auto" w:fill="FFFFFF"/>
          </w:rPr>
          <w:id w:val="2049868377"/>
          <w:citation/>
        </w:sdtPr>
        <w:sdtEndPr/>
        <w:sdtContent>
          <w:r>
            <w:rPr>
              <w:color w:val="000000"/>
              <w:shd w:val="clear" w:color="auto" w:fill="FFFFFF"/>
            </w:rPr>
            <w:fldChar w:fldCharType="begin"/>
          </w:r>
          <w:r>
            <w:rPr>
              <w:color w:val="000000"/>
              <w:shd w:val="clear" w:color="auto" w:fill="FFFFFF"/>
            </w:rPr>
            <w:instrText xml:space="preserve"> CITATION Wat18 \l 2057 </w:instrText>
          </w:r>
          <w:r>
            <w:rPr>
              <w:color w:val="000000"/>
              <w:shd w:val="clear" w:color="auto" w:fill="FFFFFF"/>
            </w:rPr>
            <w:fldChar w:fldCharType="separate"/>
          </w:r>
          <w:r w:rsidRPr="00D92F2D">
            <w:rPr>
              <w:noProof/>
              <w:color w:val="000000"/>
              <w:shd w:val="clear" w:color="auto" w:fill="FFFFFF"/>
            </w:rPr>
            <w:t>(Watson, 2018)</w:t>
          </w:r>
          <w:r>
            <w:rPr>
              <w:color w:val="000000"/>
              <w:shd w:val="clear" w:color="auto" w:fill="FFFFFF"/>
            </w:rPr>
            <w:fldChar w:fldCharType="end"/>
          </w:r>
        </w:sdtContent>
      </w:sdt>
      <w:r>
        <w:rPr>
          <w:color w:val="000000"/>
          <w:shd w:val="clear" w:color="auto" w:fill="FFFFFF"/>
        </w:rPr>
        <w:t xml:space="preserve"> and</w:t>
      </w:r>
      <w:r w:rsidRPr="00912398">
        <w:rPr>
          <w:color w:val="000000"/>
          <w:shd w:val="clear" w:color="auto" w:fill="FFFFFF"/>
        </w:rPr>
        <w:t xml:space="preserve"> the beneficial effects</w:t>
      </w:r>
      <w:r>
        <w:rPr>
          <w:color w:val="000000"/>
          <w:shd w:val="clear" w:color="auto" w:fill="FFFFFF"/>
        </w:rPr>
        <w:t xml:space="preserve"> of this method in early identification of PTSD victims. The </w:t>
      </w:r>
      <w:r w:rsidRPr="00B71394">
        <w:rPr>
          <w:color w:val="000000"/>
          <w:shd w:val="clear" w:color="auto" w:fill="FFFFFF"/>
        </w:rPr>
        <w:t>National Institute for Health and Care Excellence (NICE)</w:t>
      </w:r>
      <w:r>
        <w:rPr>
          <w:color w:val="000000"/>
          <w:shd w:val="clear" w:color="auto" w:fill="FFFFFF"/>
        </w:rPr>
        <w:t xml:space="preserve"> also issues guidance which supports the “active monitoring” </w:t>
      </w:r>
      <w:sdt>
        <w:sdtPr>
          <w:rPr>
            <w:color w:val="000000"/>
            <w:shd w:val="clear" w:color="auto" w:fill="FFFFFF"/>
          </w:rPr>
          <w:id w:val="-563642932"/>
          <w:citation/>
        </w:sdtPr>
        <w:sdtEndPr/>
        <w:sdtContent>
          <w:r>
            <w:rPr>
              <w:color w:val="000000"/>
              <w:shd w:val="clear" w:color="auto" w:fill="FFFFFF"/>
            </w:rPr>
            <w:fldChar w:fldCharType="begin"/>
          </w:r>
          <w:r>
            <w:rPr>
              <w:color w:val="000000"/>
              <w:shd w:val="clear" w:color="auto" w:fill="FFFFFF"/>
            </w:rPr>
            <w:instrText xml:space="preserve"> CITATION Mar24 \l 2057 </w:instrText>
          </w:r>
          <w:r>
            <w:rPr>
              <w:color w:val="000000"/>
              <w:shd w:val="clear" w:color="auto" w:fill="FFFFFF"/>
            </w:rPr>
            <w:fldChar w:fldCharType="separate"/>
          </w:r>
          <w:r w:rsidRPr="00D92F2D">
            <w:rPr>
              <w:noProof/>
              <w:color w:val="000000"/>
              <w:shd w:val="clear" w:color="auto" w:fill="FFFFFF"/>
            </w:rPr>
            <w:t>(Stress.com, 2024)</w:t>
          </w:r>
          <w:r>
            <w:rPr>
              <w:color w:val="000000"/>
              <w:shd w:val="clear" w:color="auto" w:fill="FFFFFF"/>
            </w:rPr>
            <w:fldChar w:fldCharType="end"/>
          </w:r>
        </w:sdtContent>
      </w:sdt>
      <w:r>
        <w:rPr>
          <w:color w:val="000000"/>
          <w:shd w:val="clear" w:color="auto" w:fill="FFFFFF"/>
        </w:rPr>
        <w:t xml:space="preserve"> of those persons effected by a traumatic incident. The </w:t>
      </w:r>
      <w:proofErr w:type="spellStart"/>
      <w:r>
        <w:rPr>
          <w:color w:val="000000"/>
          <w:shd w:val="clear" w:color="auto" w:fill="FFFFFF"/>
        </w:rPr>
        <w:t>TRiM</w:t>
      </w:r>
      <w:proofErr w:type="spellEnd"/>
      <w:r>
        <w:rPr>
          <w:color w:val="000000"/>
          <w:shd w:val="clear" w:color="auto" w:fill="FFFFFF"/>
        </w:rPr>
        <w:t xml:space="preserve"> process is fully consistent with such guidance. Also relevant in this context, are the introduction of “Trauma Risk Assessments” </w:t>
      </w:r>
      <w:sdt>
        <w:sdtPr>
          <w:rPr>
            <w:color w:val="000000"/>
            <w:shd w:val="clear" w:color="auto" w:fill="FFFFFF"/>
          </w:rPr>
          <w:id w:val="-766610849"/>
          <w:citation/>
        </w:sdtPr>
        <w:sdtEndPr/>
        <w:sdtContent>
          <w:r>
            <w:rPr>
              <w:color w:val="000000"/>
              <w:shd w:val="clear" w:color="auto" w:fill="FFFFFF"/>
            </w:rPr>
            <w:fldChar w:fldCharType="begin"/>
          </w:r>
          <w:r>
            <w:rPr>
              <w:color w:val="000000"/>
              <w:shd w:val="clear" w:color="auto" w:fill="FFFFFF"/>
            </w:rPr>
            <w:instrText xml:space="preserve">CITATION Teh19 \t  \l 2057 </w:instrText>
          </w:r>
          <w:r>
            <w:rPr>
              <w:color w:val="000000"/>
              <w:shd w:val="clear" w:color="auto" w:fill="FFFFFF"/>
            </w:rPr>
            <w:fldChar w:fldCharType="separate"/>
          </w:r>
          <w:r w:rsidRPr="00D92F2D">
            <w:rPr>
              <w:noProof/>
              <w:color w:val="000000"/>
              <w:shd w:val="clear" w:color="auto" w:fill="FFFFFF"/>
            </w:rPr>
            <w:t>(Tehrani, 2019)</w:t>
          </w:r>
          <w:r>
            <w:rPr>
              <w:color w:val="000000"/>
              <w:shd w:val="clear" w:color="auto" w:fill="FFFFFF"/>
            </w:rPr>
            <w:fldChar w:fldCharType="end"/>
          </w:r>
        </w:sdtContent>
      </w:sdt>
      <w:r>
        <w:rPr>
          <w:color w:val="000000"/>
          <w:shd w:val="clear" w:color="auto" w:fill="FFFFFF"/>
        </w:rPr>
        <w:t>. These assessments are used as a tool to identify when an individual has been exposed to or ‘scored’ too high on the trauma risk identification chart,</w:t>
      </w:r>
      <w:r w:rsidR="00B74786">
        <w:rPr>
          <w:color w:val="000000"/>
          <w:shd w:val="clear" w:color="auto" w:fill="FFFFFF"/>
        </w:rPr>
        <w:t xml:space="preserve"> much like </w:t>
      </w:r>
      <w:proofErr w:type="spellStart"/>
      <w:r w:rsidR="00B74786">
        <w:rPr>
          <w:color w:val="000000"/>
          <w:shd w:val="clear" w:color="auto" w:fill="FFFFFF"/>
        </w:rPr>
        <w:t>TRiM</w:t>
      </w:r>
      <w:proofErr w:type="spellEnd"/>
      <w:r w:rsidR="00B74786">
        <w:rPr>
          <w:color w:val="000000"/>
          <w:shd w:val="clear" w:color="auto" w:fill="FFFFFF"/>
        </w:rPr>
        <w:t>,</w:t>
      </w:r>
      <w:r>
        <w:rPr>
          <w:color w:val="000000"/>
          <w:shd w:val="clear" w:color="auto" w:fill="FFFFFF"/>
        </w:rPr>
        <w:t xml:space="preserve"> which may prompt a discussion with a supervisor who may be offer support or suggest a period of reflection. It is vital that public sector employers, especially the emergency services and armed forces continue to raise awareness of mental wellbeing and “improve the coordination of care and accessibility of services” </w:t>
      </w:r>
      <w:sdt>
        <w:sdtPr>
          <w:rPr>
            <w:color w:val="000000"/>
            <w:shd w:val="clear" w:color="auto" w:fill="FFFFFF"/>
          </w:rPr>
          <w:id w:val="980119791"/>
          <w:citation/>
        </w:sdtPr>
        <w:sdtEndPr/>
        <w:sdtContent>
          <w:r>
            <w:rPr>
              <w:color w:val="000000"/>
              <w:shd w:val="clear" w:color="auto" w:fill="FFFFFF"/>
            </w:rPr>
            <w:fldChar w:fldCharType="begin"/>
          </w:r>
          <w:r>
            <w:rPr>
              <w:color w:val="000000"/>
              <w:shd w:val="clear" w:color="auto" w:fill="FFFFFF"/>
            </w:rPr>
            <w:instrText xml:space="preserve">CITATION Nat18 \l 2057 </w:instrText>
          </w:r>
          <w:r>
            <w:rPr>
              <w:color w:val="000000"/>
              <w:shd w:val="clear" w:color="auto" w:fill="FFFFFF"/>
            </w:rPr>
            <w:fldChar w:fldCharType="separate"/>
          </w:r>
          <w:r w:rsidRPr="00D92F2D">
            <w:rPr>
              <w:noProof/>
              <w:color w:val="000000"/>
              <w:shd w:val="clear" w:color="auto" w:fill="FFFFFF"/>
            </w:rPr>
            <w:t>(NICE, 2018)</w:t>
          </w:r>
          <w:r>
            <w:rPr>
              <w:color w:val="000000"/>
              <w:shd w:val="clear" w:color="auto" w:fill="FFFFFF"/>
            </w:rPr>
            <w:fldChar w:fldCharType="end"/>
          </w:r>
        </w:sdtContent>
      </w:sdt>
      <w:r>
        <w:rPr>
          <w:color w:val="000000"/>
          <w:shd w:val="clear" w:color="auto" w:fill="FFFFFF"/>
        </w:rPr>
        <w:t xml:space="preserve">. </w:t>
      </w:r>
    </w:p>
    <w:p w14:paraId="3C43ADDC" w14:textId="77DD49FB" w:rsidR="00953EDC" w:rsidRDefault="00953EDC" w:rsidP="00953EDC">
      <w:r>
        <w:rPr>
          <w:color w:val="000000"/>
          <w:shd w:val="clear" w:color="auto" w:fill="FFFFFF"/>
        </w:rPr>
        <w:t>The effects of not m</w:t>
      </w:r>
      <w:r w:rsidR="00850D03">
        <w:rPr>
          <w:color w:val="000000"/>
          <w:shd w:val="clear" w:color="auto" w:fill="FFFFFF"/>
        </w:rPr>
        <w:t>anaging</w:t>
      </w:r>
      <w:r>
        <w:rPr>
          <w:color w:val="000000"/>
          <w:shd w:val="clear" w:color="auto" w:fill="FFFFFF"/>
        </w:rPr>
        <w:t xml:space="preserve"> mental health have been shown to have catastrophic effects. Between 2011 to 2019, there have been “</w:t>
      </w:r>
      <w:r w:rsidRPr="0055457A">
        <w:rPr>
          <w:color w:val="000000"/>
          <w:shd w:val="clear" w:color="auto" w:fill="FFFFFF"/>
        </w:rPr>
        <w:t>163 police officers’ deaths</w:t>
      </w:r>
      <w:r>
        <w:rPr>
          <w:color w:val="000000"/>
          <w:shd w:val="clear" w:color="auto" w:fill="FFFFFF"/>
        </w:rPr>
        <w:t xml:space="preserve">” </w:t>
      </w:r>
      <w:sdt>
        <w:sdtPr>
          <w:rPr>
            <w:color w:val="000000"/>
            <w:shd w:val="clear" w:color="auto" w:fill="FFFFFF"/>
          </w:rPr>
          <w:id w:val="2143144409"/>
          <w:citation/>
        </w:sdtPr>
        <w:sdtEndPr/>
        <w:sdtContent>
          <w:r>
            <w:rPr>
              <w:color w:val="000000"/>
              <w:shd w:val="clear" w:color="auto" w:fill="FFFFFF"/>
            </w:rPr>
            <w:fldChar w:fldCharType="begin"/>
          </w:r>
          <w:r>
            <w:rPr>
              <w:color w:val="000000"/>
              <w:shd w:val="clear" w:color="auto" w:fill="FFFFFF"/>
            </w:rPr>
            <w:instrText xml:space="preserve">CITATION Sta21 \t  \l 2057 </w:instrText>
          </w:r>
          <w:r>
            <w:rPr>
              <w:color w:val="000000"/>
              <w:shd w:val="clear" w:color="auto" w:fill="FFFFFF"/>
            </w:rPr>
            <w:fldChar w:fldCharType="separate"/>
          </w:r>
          <w:r w:rsidRPr="00D92F2D">
            <w:rPr>
              <w:noProof/>
              <w:color w:val="000000"/>
              <w:shd w:val="clear" w:color="auto" w:fill="FFFFFF"/>
            </w:rPr>
            <w:t>(Statistics, 2021)</w:t>
          </w:r>
          <w:r>
            <w:rPr>
              <w:color w:val="000000"/>
              <w:shd w:val="clear" w:color="auto" w:fill="FFFFFF"/>
            </w:rPr>
            <w:fldChar w:fldCharType="end"/>
          </w:r>
        </w:sdtContent>
      </w:sdt>
      <w:r>
        <w:rPr>
          <w:color w:val="000000"/>
          <w:shd w:val="clear" w:color="auto" w:fill="FFFFFF"/>
        </w:rPr>
        <w:t xml:space="preserve">  c</w:t>
      </w:r>
      <w:r w:rsidRPr="0055457A">
        <w:rPr>
          <w:color w:val="000000"/>
          <w:shd w:val="clear" w:color="auto" w:fill="FFFFFF"/>
        </w:rPr>
        <w:t xml:space="preserve">lassified as suicide. </w:t>
      </w:r>
      <w:r>
        <w:rPr>
          <w:color w:val="000000"/>
          <w:shd w:val="clear" w:color="auto" w:fill="FFFFFF"/>
        </w:rPr>
        <w:t>“</w:t>
      </w:r>
      <w:r w:rsidRPr="0055457A">
        <w:rPr>
          <w:color w:val="000000"/>
          <w:shd w:val="clear" w:color="auto" w:fill="FFFFFF"/>
        </w:rPr>
        <w:t>Of these, 146 were men and 17 were women</w:t>
      </w:r>
      <w:r>
        <w:rPr>
          <w:color w:val="000000"/>
          <w:shd w:val="clear" w:color="auto" w:fill="FFFFFF"/>
        </w:rPr>
        <w:t xml:space="preserve">” </w:t>
      </w:r>
      <w:sdt>
        <w:sdtPr>
          <w:rPr>
            <w:color w:val="000000"/>
            <w:shd w:val="clear" w:color="auto" w:fill="FFFFFF"/>
          </w:rPr>
          <w:id w:val="-893976697"/>
          <w:citation/>
        </w:sdtPr>
        <w:sdtEndPr/>
        <w:sdtContent>
          <w:r>
            <w:rPr>
              <w:color w:val="000000"/>
              <w:shd w:val="clear" w:color="auto" w:fill="FFFFFF"/>
            </w:rPr>
            <w:fldChar w:fldCharType="begin"/>
          </w:r>
          <w:r>
            <w:rPr>
              <w:color w:val="000000"/>
              <w:shd w:val="clear" w:color="auto" w:fill="FFFFFF"/>
            </w:rPr>
            <w:instrText xml:space="preserve">CITATION Pol22 \t  \l 2057 </w:instrText>
          </w:r>
          <w:r>
            <w:rPr>
              <w:color w:val="000000"/>
              <w:shd w:val="clear" w:color="auto" w:fill="FFFFFF"/>
            </w:rPr>
            <w:fldChar w:fldCharType="separate"/>
          </w:r>
          <w:r w:rsidRPr="00D92F2D">
            <w:rPr>
              <w:noProof/>
              <w:color w:val="000000"/>
              <w:shd w:val="clear" w:color="auto" w:fill="FFFFFF"/>
            </w:rPr>
            <w:t>(Policing, 2022)</w:t>
          </w:r>
          <w:r>
            <w:rPr>
              <w:color w:val="000000"/>
              <w:shd w:val="clear" w:color="auto" w:fill="FFFFFF"/>
            </w:rPr>
            <w:fldChar w:fldCharType="end"/>
          </w:r>
        </w:sdtContent>
      </w:sdt>
      <w:r>
        <w:rPr>
          <w:color w:val="000000"/>
          <w:shd w:val="clear" w:color="auto" w:fill="FFFFFF"/>
        </w:rPr>
        <w:t xml:space="preserve">. This is the worst-case scenario, and although it is not easy to attribute specific reasons why a person may comprehend suicide, for example, </w:t>
      </w:r>
      <w:r>
        <w:t xml:space="preserve">“suicide results not from one major crisis, but an accumulation of more minor events” </w:t>
      </w:r>
      <w:sdt>
        <w:sdtPr>
          <w:id w:val="-1709866821"/>
          <w:citation/>
        </w:sdtPr>
        <w:sdtEndPr/>
        <w:sdtContent>
          <w:r>
            <w:fldChar w:fldCharType="begin"/>
          </w:r>
          <w:r>
            <w:instrText xml:space="preserve"> CITATION Vio07 \l 2057 </w:instrText>
          </w:r>
          <w:r>
            <w:fldChar w:fldCharType="separate"/>
          </w:r>
          <w:r>
            <w:rPr>
              <w:noProof/>
            </w:rPr>
            <w:t>(Violanti, 2007)</w:t>
          </w:r>
          <w:r>
            <w:fldChar w:fldCharType="end"/>
          </w:r>
        </w:sdtContent>
      </w:sdt>
      <w:r>
        <w:t xml:space="preserve">, it is important nonetheless that police officers are aware of the inherent risk factors associated with their work and take action to relieve symptoms and develop coping mechanisms. Statistics show that response officers form “the largest group in policing and account for the most sickness absence”. </w:t>
      </w:r>
      <w:sdt>
        <w:sdtPr>
          <w:id w:val="-749267238"/>
          <w:citation/>
        </w:sdtPr>
        <w:sdtEndPr/>
        <w:sdtContent>
          <w:r>
            <w:fldChar w:fldCharType="begin"/>
          </w:r>
          <w:r>
            <w:instrText xml:space="preserve"> CITATION Osc20 \l 2057 </w:instrText>
          </w:r>
          <w:r>
            <w:fldChar w:fldCharType="separate"/>
          </w:r>
          <w:r>
            <w:rPr>
              <w:noProof/>
            </w:rPr>
            <w:t>(Kilo, 2020)</w:t>
          </w:r>
          <w:r>
            <w:fldChar w:fldCharType="end"/>
          </w:r>
        </w:sdtContent>
      </w:sdt>
      <w:r>
        <w:t xml:space="preserve"> Although dated, in 2017 a police workforce report showed, “2,358 full time officers on long term sick, </w:t>
      </w:r>
      <w:r w:rsidRPr="00046422">
        <w:t>a further 4,426 on recuperative duties and 4,111 in</w:t>
      </w:r>
      <w:r>
        <w:t xml:space="preserve"> </w:t>
      </w:r>
      <w:r w:rsidRPr="00046422">
        <w:t>adjusted/restricted duty posts</w:t>
      </w:r>
      <w:r>
        <w:t xml:space="preserve">” </w:t>
      </w:r>
      <w:sdt>
        <w:sdtPr>
          <w:id w:val="-1613885621"/>
          <w:citation/>
        </w:sdtPr>
        <w:sdtEndPr/>
        <w:sdtContent>
          <w:r>
            <w:fldChar w:fldCharType="begin"/>
          </w:r>
          <w:r>
            <w:instrText xml:space="preserve">CITATION Har17 \l 2057 </w:instrText>
          </w:r>
          <w:r>
            <w:fldChar w:fldCharType="separate"/>
          </w:r>
          <w:r>
            <w:rPr>
              <w:noProof/>
            </w:rPr>
            <w:t>(Hargreaves, 2017)</w:t>
          </w:r>
          <w:r>
            <w:fldChar w:fldCharType="end"/>
          </w:r>
        </w:sdtContent>
      </w:sdt>
      <w:r>
        <w:t xml:space="preserve">. The National Police Wellbeing Service (NPWS) states that, “In the past, sickness absence was mainly caused by physical conditions…today, however, a high proportion of sickness absence is due to mental health conditions” </w:t>
      </w:r>
      <w:sdt>
        <w:sdtPr>
          <w:id w:val="316699071"/>
          <w:citation/>
        </w:sdtPr>
        <w:sdtEndPr/>
        <w:sdtContent>
          <w:r>
            <w:fldChar w:fldCharType="begin"/>
          </w:r>
          <w:r>
            <w:instrText xml:space="preserve"> CITATION Osc20 \l 2057 </w:instrText>
          </w:r>
          <w:r>
            <w:fldChar w:fldCharType="separate"/>
          </w:r>
          <w:r>
            <w:rPr>
              <w:noProof/>
            </w:rPr>
            <w:t>(Kilo, 2020)</w:t>
          </w:r>
          <w:r>
            <w:fldChar w:fldCharType="end"/>
          </w:r>
        </w:sdtContent>
      </w:sdt>
      <w:r>
        <w:t xml:space="preserve">. None of this evidence downplays the importance of </w:t>
      </w:r>
      <w:r w:rsidR="00784E0C">
        <w:t>mental health</w:t>
      </w:r>
      <w:r>
        <w:t xml:space="preserve"> and should be an important statistic to </w:t>
      </w:r>
      <w:r w:rsidR="00D6148B">
        <w:t xml:space="preserve">promote </w:t>
      </w:r>
      <w:r>
        <w:t xml:space="preserve">wellbeing in </w:t>
      </w:r>
      <w:r w:rsidR="00784E0C">
        <w:t xml:space="preserve">the world of </w:t>
      </w:r>
      <w:r>
        <w:t>response policing.</w:t>
      </w:r>
    </w:p>
    <w:p w14:paraId="0B71AF69" w14:textId="041E0028" w:rsidR="00953EDC" w:rsidRDefault="00953EDC" w:rsidP="00953EDC">
      <w:r>
        <w:t xml:space="preserve">This essay has attempted to understand the importance of mental health and the consequences of when this is not managed effectively. What is clear is that response policing will always incur inherent risks. How the police service </w:t>
      </w:r>
      <w:r w:rsidR="00850D03">
        <w:t>manages</w:t>
      </w:r>
      <w:r>
        <w:t xml:space="preserve"> these risks remains to be seen, but psychological hazards should be widely explored and </w:t>
      </w:r>
      <w:r w:rsidR="00336069">
        <w:t>addressed</w:t>
      </w:r>
      <w:r>
        <w:t xml:space="preserve"> as part of the job role, along with the physical hazards that currently take precedence. Early interventions such as </w:t>
      </w:r>
      <w:proofErr w:type="spellStart"/>
      <w:r>
        <w:t>TRiM</w:t>
      </w:r>
      <w:proofErr w:type="spellEnd"/>
      <w:r>
        <w:t xml:space="preserve"> or Trauma Risk Assessments should be widely popularized</w:t>
      </w:r>
      <w:r w:rsidR="00336069">
        <w:t xml:space="preserve"> and sign-posted</w:t>
      </w:r>
      <w:r>
        <w:t xml:space="preserve"> forming part of the process of early intervention. These methods cannot build resilience alone but can act as a type of psychological first aid that can be administered to victims of trauma allowing for early monitoring and support. A holistic approach to the relative problems discussed here will be key for response policing moving forward.</w:t>
      </w:r>
    </w:p>
    <w:p w14:paraId="2363047F" w14:textId="467B39FF" w:rsidR="00953EDC" w:rsidRPr="00747BF7" w:rsidRDefault="00953EDC" w:rsidP="00953EDC">
      <w:pPr>
        <w:rPr>
          <w:b/>
          <w:bCs/>
        </w:rPr>
      </w:pPr>
      <w:r w:rsidRPr="00747BF7">
        <w:rPr>
          <w:b/>
          <w:bCs/>
        </w:rPr>
        <w:t>WORD COUNT: 10</w:t>
      </w:r>
      <w:r w:rsidR="00D6148B">
        <w:rPr>
          <w:b/>
          <w:bCs/>
        </w:rPr>
        <w:t>68</w:t>
      </w:r>
    </w:p>
    <w:p w14:paraId="61456370" w14:textId="77777777" w:rsidR="00953EDC" w:rsidRDefault="00953EDC" w:rsidP="00953EDC">
      <w:pPr>
        <w:rPr>
          <w:color w:val="000000"/>
          <w:shd w:val="clear" w:color="auto" w:fill="FFFFFF"/>
        </w:rPr>
      </w:pPr>
    </w:p>
    <w:p w14:paraId="0E0CD61E" w14:textId="77777777" w:rsidR="00D6148B" w:rsidRDefault="00D6148B" w:rsidP="00953EDC">
      <w:pPr>
        <w:rPr>
          <w:color w:val="000000"/>
          <w:shd w:val="clear" w:color="auto" w:fill="FFFFFF"/>
        </w:rPr>
      </w:pPr>
    </w:p>
    <w:sdt>
      <w:sdtPr>
        <w:id w:val="2010241883"/>
        <w:docPartObj>
          <w:docPartGallery w:val="Bibliographies"/>
          <w:docPartUnique/>
        </w:docPartObj>
      </w:sdtPr>
      <w:sdtEndPr/>
      <w:sdtContent>
        <w:p w14:paraId="0C0255FC" w14:textId="79BACB0E" w:rsidR="00953EDC" w:rsidRDefault="00953EDC" w:rsidP="00953EDC">
          <w:r>
            <w:t>Bibliography</w:t>
          </w:r>
        </w:p>
        <w:sdt>
          <w:sdtPr>
            <w:id w:val="111145805"/>
            <w:bibliography/>
          </w:sdtPr>
          <w:sdtEndPr/>
          <w:sdtContent>
            <w:p w14:paraId="50A955C6" w14:textId="77777777" w:rsidR="00953EDC" w:rsidRDefault="00953EDC" w:rsidP="00953EDC">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(WHO), W. H. (2018, January 1). </w:t>
              </w:r>
              <w:r>
                <w:rPr>
                  <w:i/>
                  <w:iCs/>
                  <w:noProof/>
                </w:rPr>
                <w:t>Mental Health</w:t>
              </w:r>
              <w:r>
                <w:rPr>
                  <w:noProof/>
                </w:rPr>
                <w:t>. Retrieved from World Health Organisation : https://www.who.int/data/gho/data/themes/mental-health</w:t>
              </w:r>
            </w:p>
            <w:p w14:paraId="0B4C73BC" w14:textId="77777777" w:rsidR="00953EDC" w:rsidRDefault="00953EDC" w:rsidP="00953EDC">
              <w:pPr>
                <w:pStyle w:val="Bibliography"/>
                <w:ind w:left="720" w:hanging="720"/>
                <w:rPr>
                  <w:noProof/>
                </w:rPr>
              </w:pPr>
              <w:r>
                <w:rPr>
                  <w:noProof/>
                </w:rPr>
                <w:t xml:space="preserve">Federation, P. (2016, August). </w:t>
              </w:r>
              <w:r>
                <w:rPr>
                  <w:i/>
                  <w:iCs/>
                  <w:noProof/>
                </w:rPr>
                <w:t>Professional Behaviour &amp; Ethics</w:t>
              </w:r>
              <w:r>
                <w:rPr>
                  <w:noProof/>
                </w:rPr>
                <w:t>. Retrieved from Warwickshire Police Federation: https://www.polfed.org/warks/advice/standards/professional-behaviour-ethics/</w:t>
              </w:r>
            </w:p>
            <w:p w14:paraId="0F00AEDE" w14:textId="77777777" w:rsidR="00953EDC" w:rsidRDefault="00953EDC" w:rsidP="00953EDC">
              <w:pPr>
                <w:pStyle w:val="Bibliography"/>
                <w:ind w:left="720" w:hanging="720"/>
                <w:rPr>
                  <w:noProof/>
                </w:rPr>
              </w:pPr>
              <w:r>
                <w:rPr>
                  <w:noProof/>
                </w:rPr>
                <w:t xml:space="preserve">Hargreaves, H. a. (2017). </w:t>
              </w:r>
              <w:r>
                <w:rPr>
                  <w:i/>
                  <w:iCs/>
                  <w:noProof/>
                </w:rPr>
                <w:t>Police workforce, England and Wales 31 March 2017.</w:t>
              </w:r>
              <w:r>
                <w:rPr>
                  <w:noProof/>
                </w:rPr>
                <w:t xml:space="preserve"> London: Home Office Statistical Bulletin 10/17.</w:t>
              </w:r>
            </w:p>
            <w:p w14:paraId="28413DA3" w14:textId="77777777" w:rsidR="00953EDC" w:rsidRDefault="00953EDC" w:rsidP="00953EDC">
              <w:pPr>
                <w:pStyle w:val="Bibliography"/>
                <w:ind w:left="720" w:hanging="720"/>
                <w:rPr>
                  <w:noProof/>
                </w:rPr>
              </w:pPr>
              <w:r>
                <w:rPr>
                  <w:noProof/>
                </w:rPr>
                <w:t xml:space="preserve">HMICFRS. (2023, March 7). </w:t>
              </w:r>
              <w:r>
                <w:rPr>
                  <w:i/>
                  <w:iCs/>
                  <w:noProof/>
                </w:rPr>
                <w:t>Policing and Mental Health: Picking Up the Pieces</w:t>
              </w:r>
              <w:r>
                <w:rPr>
                  <w:noProof/>
                </w:rPr>
                <w:t>. Retrieved from HMICFRS: https://hmicfrs.justiceinspectorates.gov.uk/publication-html/policing-and-mental-health-picking-up-the-pieces/</w:t>
              </w:r>
            </w:p>
            <w:p w14:paraId="69E65886" w14:textId="77777777" w:rsidR="00953EDC" w:rsidRDefault="00953EDC" w:rsidP="00953EDC">
              <w:pPr>
                <w:pStyle w:val="Bibliography"/>
                <w:ind w:left="720" w:hanging="720"/>
                <w:rPr>
                  <w:noProof/>
                </w:rPr>
              </w:pPr>
              <w:r>
                <w:rPr>
                  <w:noProof/>
                </w:rPr>
                <w:t xml:space="preserve">Kessler, R. C. (1995). Posttraumatic stress disorder in the National Comorbidity Survey. </w:t>
              </w:r>
              <w:r>
                <w:rPr>
                  <w:i/>
                  <w:iCs/>
                  <w:noProof/>
                </w:rPr>
                <w:t>Archives of general psychiatry</w:t>
              </w:r>
              <w:r>
                <w:rPr>
                  <w:noProof/>
                </w:rPr>
                <w:t>, 52(12), 1048–1060.</w:t>
              </w:r>
            </w:p>
            <w:p w14:paraId="44DF035E" w14:textId="77777777" w:rsidR="00953EDC" w:rsidRDefault="00953EDC" w:rsidP="00953EDC">
              <w:pPr>
                <w:pStyle w:val="Bibliography"/>
                <w:ind w:left="720" w:hanging="720"/>
                <w:rPr>
                  <w:noProof/>
                </w:rPr>
              </w:pPr>
              <w:r>
                <w:rPr>
                  <w:noProof/>
                </w:rPr>
                <w:t xml:space="preserve">Kilo, O. (2020). </w:t>
              </w:r>
              <w:r>
                <w:rPr>
                  <w:i/>
                  <w:iCs/>
                  <w:noProof/>
                </w:rPr>
                <w:t>Responding to trauma in policing, a practical guide.</w:t>
              </w:r>
              <w:r>
                <w:rPr>
                  <w:noProof/>
                </w:rPr>
                <w:t xml:space="preserve"> Retrieved from College of Policing - Oscar Kilo: https://www.oscarkilo.org.uk/media/304/download?inline</w:t>
              </w:r>
            </w:p>
            <w:p w14:paraId="3A90FC33" w14:textId="77777777" w:rsidR="00953EDC" w:rsidRDefault="00953EDC" w:rsidP="00953EDC">
              <w:pPr>
                <w:pStyle w:val="Bibliography"/>
                <w:ind w:left="720" w:hanging="720"/>
                <w:rPr>
                  <w:noProof/>
                </w:rPr>
              </w:pPr>
              <w:r>
                <w:rPr>
                  <w:noProof/>
                </w:rPr>
                <w:t xml:space="preserve">NICE. (2018, December 5). </w:t>
              </w:r>
              <w:r>
                <w:rPr>
                  <w:i/>
                  <w:iCs/>
                  <w:noProof/>
                </w:rPr>
                <w:t>Post-traumatic stress disorder</w:t>
              </w:r>
              <w:r>
                <w:rPr>
                  <w:noProof/>
                </w:rPr>
                <w:t>. Retrieved from National Insitute for Health and Care Excellence: https://www.nice.org.uk/guidance/ng116</w:t>
              </w:r>
            </w:p>
            <w:p w14:paraId="6727FC34" w14:textId="77777777" w:rsidR="00953EDC" w:rsidRDefault="00953EDC" w:rsidP="00953EDC">
              <w:pPr>
                <w:pStyle w:val="Bibliography"/>
                <w:ind w:left="720" w:hanging="720"/>
                <w:rPr>
                  <w:noProof/>
                </w:rPr>
              </w:pPr>
              <w:r>
                <w:rPr>
                  <w:noProof/>
                </w:rPr>
                <w:t xml:space="preserve">Policing, C. o. (2022). </w:t>
              </w:r>
              <w:r>
                <w:rPr>
                  <w:i/>
                  <w:iCs/>
                  <w:noProof/>
                </w:rPr>
                <w:t>Suicide prevention in Policing. Current landscape.</w:t>
              </w:r>
              <w:r>
                <w:rPr>
                  <w:noProof/>
                </w:rPr>
                <w:t xml:space="preserve"> Retrieved from College of Policing: https://assets.production.copweb.aws.college.police.uk/s3fs-public/2022-02/Suicide-prevention-current-landscape.pdf</w:t>
              </w:r>
            </w:p>
            <w:p w14:paraId="04034244" w14:textId="77777777" w:rsidR="00953EDC" w:rsidRDefault="00953EDC" w:rsidP="00953EDC">
              <w:pPr>
                <w:pStyle w:val="Bibliography"/>
                <w:ind w:left="720" w:hanging="720"/>
                <w:rPr>
                  <w:noProof/>
                </w:rPr>
              </w:pPr>
              <w:r>
                <w:rPr>
                  <w:noProof/>
                </w:rPr>
                <w:t xml:space="preserve">Policing, C. o. (2024). </w:t>
              </w:r>
              <w:r>
                <w:rPr>
                  <w:i/>
                  <w:iCs/>
                  <w:noProof/>
                </w:rPr>
                <w:t>Response Constable</w:t>
              </w:r>
              <w:r>
                <w:rPr>
                  <w:noProof/>
                </w:rPr>
                <w:t>. Retrieved from College of Policing: https://profdev.college.police.uk/professional-profile/test-9/</w:t>
              </w:r>
            </w:p>
            <w:p w14:paraId="0C11E959" w14:textId="77777777" w:rsidR="00953EDC" w:rsidRDefault="00953EDC" w:rsidP="00953EDC">
              <w:pPr>
                <w:pStyle w:val="Bibliography"/>
                <w:ind w:left="720" w:hanging="720"/>
                <w:rPr>
                  <w:noProof/>
                </w:rPr>
              </w:pPr>
              <w:r>
                <w:rPr>
                  <w:noProof/>
                </w:rPr>
                <w:t xml:space="preserve">Statistics, O. f. (2021). </w:t>
              </w:r>
              <w:r>
                <w:rPr>
                  <w:i/>
                  <w:iCs/>
                  <w:noProof/>
                </w:rPr>
                <w:t>Suicide by occupation, England and Wales 2011 to 2019 registrations</w:t>
              </w:r>
              <w:r>
                <w:rPr>
                  <w:noProof/>
                </w:rPr>
                <w:t>. Retrieved from Office for National Statistics: https://www.ons.gov.uk/peoplepopulationandcommunity/birthsdeathsandmarriages/deaths/adhocs/13674suicidebyoccupationenglandandwales2011to2020registrations</w:t>
              </w:r>
            </w:p>
            <w:p w14:paraId="2631A91D" w14:textId="77777777" w:rsidR="00953EDC" w:rsidRDefault="00953EDC" w:rsidP="00953EDC">
              <w:pPr>
                <w:pStyle w:val="Bibliography"/>
                <w:ind w:left="720" w:hanging="720"/>
                <w:rPr>
                  <w:noProof/>
                </w:rPr>
              </w:pPr>
              <w:r>
                <w:rPr>
                  <w:noProof/>
                </w:rPr>
                <w:t xml:space="preserve">Statistics, O. f. (2023, March). </w:t>
              </w:r>
              <w:r>
                <w:rPr>
                  <w:i/>
                  <w:iCs/>
                  <w:noProof/>
                </w:rPr>
                <w:t>Sociodemographic inequalities in suicides in England and Wales: 2011 to 2021</w:t>
              </w:r>
              <w:r>
                <w:rPr>
                  <w:noProof/>
                </w:rPr>
                <w:t>. Retrieved from Office for National Statistics: https://www.ons.gov.uk/peoplepopulationandcommunity/healthandsocialcare/healthinequalities/bulletins/sociodemographicinequalitiesinsuicidesinenglandandwales/2011to2021</w:t>
              </w:r>
            </w:p>
            <w:p w14:paraId="5A3196B3" w14:textId="77777777" w:rsidR="00953EDC" w:rsidRDefault="00953EDC" w:rsidP="00953EDC">
              <w:pPr>
                <w:pStyle w:val="Bibliography"/>
                <w:ind w:left="720" w:hanging="720"/>
                <w:rPr>
                  <w:noProof/>
                </w:rPr>
              </w:pPr>
              <w:r>
                <w:rPr>
                  <w:noProof/>
                </w:rPr>
                <w:t xml:space="preserve">Stress.com, M. o. (2024). </w:t>
              </w:r>
              <w:r>
                <w:rPr>
                  <w:i/>
                  <w:iCs/>
                  <w:noProof/>
                </w:rPr>
                <w:t>Trauma Risk Management</w:t>
              </w:r>
              <w:r>
                <w:rPr>
                  <w:noProof/>
                </w:rPr>
                <w:t>. Retrieved from March on Stress.com: https://www.marchonstress.com/page/p/trim</w:t>
              </w:r>
            </w:p>
            <w:p w14:paraId="3B6F30B6" w14:textId="77777777" w:rsidR="00953EDC" w:rsidRDefault="00953EDC" w:rsidP="00953EDC">
              <w:pPr>
                <w:pStyle w:val="Bibliography"/>
                <w:ind w:left="720" w:hanging="720"/>
                <w:rPr>
                  <w:noProof/>
                </w:rPr>
              </w:pPr>
              <w:r>
                <w:rPr>
                  <w:noProof/>
                </w:rPr>
                <w:t xml:space="preserve">Tehrani. (2019). Evaluation of a trauma therapy programme within emergency service organizations. </w:t>
              </w:r>
              <w:r>
                <w:rPr>
                  <w:i/>
                  <w:iCs/>
                  <w:noProof/>
                </w:rPr>
                <w:t>Occupational Medicine</w:t>
              </w:r>
              <w:r>
                <w:rPr>
                  <w:noProof/>
                </w:rPr>
                <w:t>, (69) 559-565.</w:t>
              </w:r>
            </w:p>
            <w:p w14:paraId="33AC8E3C" w14:textId="77777777" w:rsidR="00953EDC" w:rsidRDefault="00953EDC" w:rsidP="00953EDC">
              <w:pPr>
                <w:pStyle w:val="Bibliography"/>
                <w:ind w:left="720" w:hanging="720"/>
                <w:rPr>
                  <w:noProof/>
                </w:rPr>
              </w:pPr>
              <w:r>
                <w:rPr>
                  <w:noProof/>
                </w:rPr>
                <w:t xml:space="preserve">Violanti. (2007). </w:t>
              </w:r>
              <w:r>
                <w:rPr>
                  <w:i/>
                  <w:iCs/>
                  <w:noProof/>
                </w:rPr>
                <w:t>Police Suicide: Epidemic in blue.</w:t>
              </w:r>
              <w:r>
                <w:rPr>
                  <w:noProof/>
                </w:rPr>
                <w:t xml:space="preserve"> Springfield, IL: Charles C Thomas.</w:t>
              </w:r>
            </w:p>
            <w:p w14:paraId="7DD95EA6" w14:textId="77777777" w:rsidR="00953EDC" w:rsidRDefault="00953EDC" w:rsidP="00953EDC">
              <w:pPr>
                <w:pStyle w:val="Bibliography"/>
                <w:ind w:left="720" w:hanging="720"/>
                <w:rPr>
                  <w:noProof/>
                </w:rPr>
              </w:pPr>
              <w:r>
                <w:rPr>
                  <w:noProof/>
                </w:rPr>
                <w:t xml:space="preserve">Watson, L. &amp;. (2018). The effect of a Trauma Risk Management (TRiM) program on stigma and barriers to help-seeking in the police. </w:t>
              </w:r>
              <w:r>
                <w:rPr>
                  <w:i/>
                  <w:iCs/>
                  <w:noProof/>
                </w:rPr>
                <w:t>International Journal of Stress Managemen</w:t>
              </w:r>
              <w:r>
                <w:rPr>
                  <w:noProof/>
                </w:rPr>
                <w:t>, 25(4), 348–356.</w:t>
              </w:r>
            </w:p>
            <w:p w14:paraId="1710F1C1" w14:textId="77777777" w:rsidR="00953EDC" w:rsidRDefault="00953EDC" w:rsidP="00953EDC">
              <w:pPr>
                <w:rPr>
                  <w:color w:val="000000"/>
                  <w:shd w:val="clear" w:color="auto" w:fill="FFFFFF"/>
                </w:rPr>
              </w:pPr>
              <w:r>
                <w:rPr>
                  <w:b/>
                  <w:bCs/>
                  <w:noProof/>
                </w:rPr>
                <w:fldChar w:fldCharType="end"/>
              </w:r>
              <w:r w:rsidRPr="00D92F2D">
                <w:rPr>
                  <w:color w:val="000000"/>
                  <w:shd w:val="clear" w:color="auto" w:fill="FFFFFF"/>
                </w:rPr>
                <w:t xml:space="preserve"> </w:t>
              </w:r>
            </w:p>
          </w:sdtContent>
        </w:sdt>
      </w:sdtContent>
    </w:sdt>
    <w:p w14:paraId="5FD1BF44" w14:textId="77777777" w:rsidR="00953EDC" w:rsidRPr="006D0CFE" w:rsidRDefault="00953EDC" w:rsidP="00953EDC">
      <w:pPr>
        <w:rPr>
          <w:b/>
          <w:bCs/>
        </w:rPr>
      </w:pPr>
      <w:r w:rsidRPr="006D0CFE">
        <w:rPr>
          <w:b/>
          <w:bCs/>
        </w:rPr>
        <w:t xml:space="preserve">Essay four: </w:t>
      </w:r>
    </w:p>
    <w:p w14:paraId="0CA376D6" w14:textId="77777777" w:rsidR="00953EDC" w:rsidRPr="006D0CFE" w:rsidRDefault="00953EDC" w:rsidP="00953EDC">
      <w:pPr>
        <w:rPr>
          <w:i/>
          <w:iCs/>
        </w:rPr>
      </w:pPr>
      <w:r w:rsidRPr="006D0CFE">
        <w:rPr>
          <w:i/>
          <w:iCs/>
        </w:rPr>
        <w:t xml:space="preserve">Outline potential links between serious and organised crime and public protection issues. What characteristics make some people more vulnerable to exploitation by serious and organised crime gangs? </w:t>
      </w:r>
    </w:p>
    <w:p w14:paraId="7612AF21" w14:textId="77777777" w:rsidR="00953EDC" w:rsidRDefault="00953EDC" w:rsidP="00953EDC">
      <w:pPr>
        <w:rPr>
          <w:b/>
          <w:bCs/>
        </w:rPr>
      </w:pPr>
      <w:r w:rsidRPr="006D0CFE">
        <w:rPr>
          <w:b/>
          <w:bCs/>
        </w:rPr>
        <w:t>Word limit: 1000 words</w:t>
      </w:r>
    </w:p>
    <w:p w14:paraId="45D57874" w14:textId="30C4EE8C" w:rsidR="00953EDC" w:rsidRDefault="00953EDC" w:rsidP="00953EDC">
      <w:r w:rsidRPr="002D71EB">
        <w:t>Serious and organised crime is “criminal activity that is planned, coordinated and committed by people working individually, in groups, or as part of transnational networks”</w:t>
      </w:r>
      <w:r>
        <w:t xml:space="preserve"> </w:t>
      </w:r>
      <w:sdt>
        <w:sdtPr>
          <w:id w:val="983742326"/>
          <w:citation/>
        </w:sdtPr>
        <w:sdtEndPr/>
        <w:sdtContent>
          <w:r>
            <w:fldChar w:fldCharType="begin"/>
          </w:r>
          <w:r>
            <w:instrText xml:space="preserve"> CITATION Nat19 \l 2057 </w:instrText>
          </w:r>
          <w:r>
            <w:fldChar w:fldCharType="separate"/>
          </w:r>
          <w:r>
            <w:rPr>
              <w:noProof/>
            </w:rPr>
            <w:t>(Office, 2019)</w:t>
          </w:r>
          <w:r>
            <w:fldChar w:fldCharType="end"/>
          </w:r>
        </w:sdtContent>
      </w:sdt>
      <w:r w:rsidRPr="002D71EB">
        <w:t xml:space="preserve"> </w:t>
      </w:r>
      <w:r>
        <w:t xml:space="preserve">This type of </w:t>
      </w:r>
      <w:r w:rsidRPr="002D71EB">
        <w:t xml:space="preserve">crime is </w:t>
      </w:r>
      <w:r>
        <w:t xml:space="preserve">orchestrated by </w:t>
      </w:r>
      <w:r w:rsidRPr="002D71EB">
        <w:t>Organised Crime Groups (OCG’s) who are, according to the shared definition of the United Nations and the European Union as; “A group of three or more persons existing over a period of time acting in concert with the aim of committing crimes for financial or material benefit</w:t>
      </w:r>
      <w:r>
        <w:t xml:space="preserve">” </w:t>
      </w:r>
      <w:sdt>
        <w:sdtPr>
          <w:id w:val="215169702"/>
          <w:citation/>
        </w:sdtPr>
        <w:sdtEndPr/>
        <w:sdtContent>
          <w:r>
            <w:fldChar w:fldCharType="begin"/>
          </w:r>
          <w:r>
            <w:instrText xml:space="preserve"> CITATION Eur24 \l 2057 </w:instrText>
          </w:r>
          <w:r>
            <w:fldChar w:fldCharType="separate"/>
          </w:r>
          <w:r>
            <w:rPr>
              <w:noProof/>
            </w:rPr>
            <w:t>(Europol, 2024)</w:t>
          </w:r>
          <w:r>
            <w:fldChar w:fldCharType="end"/>
          </w:r>
        </w:sdtContent>
      </w:sdt>
      <w:r>
        <w:t xml:space="preserve">. It can be conceived that the victims of such crime are likely to be those who possess vulnerabilities that </w:t>
      </w:r>
      <w:r w:rsidR="00892054">
        <w:t>criminals</w:t>
      </w:r>
      <w:r>
        <w:t xml:space="preserve"> can prey upon and manipulate to </w:t>
      </w:r>
      <w:r w:rsidRPr="002D71EB">
        <w:t>acquir</w:t>
      </w:r>
      <w:r>
        <w:t>e</w:t>
      </w:r>
      <w:r w:rsidRPr="002D71EB">
        <w:t xml:space="preserve"> </w:t>
      </w:r>
      <w:r>
        <w:t>“</w:t>
      </w:r>
      <w:r w:rsidRPr="002D71EB">
        <w:t>money, profit, influence and power”</w:t>
      </w:r>
      <w:r>
        <w:t xml:space="preserve"> </w:t>
      </w:r>
      <w:sdt>
        <w:sdtPr>
          <w:id w:val="-1691761536"/>
          <w:citation/>
        </w:sdtPr>
        <w:sdtEndPr/>
        <w:sdtContent>
          <w:r>
            <w:fldChar w:fldCharType="begin"/>
          </w:r>
          <w:r>
            <w:instrText xml:space="preserve">CITATION NCA19 \t  \l 2057 </w:instrText>
          </w:r>
          <w:r>
            <w:fldChar w:fldCharType="separate"/>
          </w:r>
          <w:r>
            <w:rPr>
              <w:noProof/>
            </w:rPr>
            <w:t>(NCA N. C., 2019)</w:t>
          </w:r>
          <w:r>
            <w:fldChar w:fldCharType="end"/>
          </w:r>
        </w:sdtContent>
      </w:sdt>
      <w:r>
        <w:t xml:space="preserve">. This is reflected by the Director General of the National Crime Agency (NCA) that leads the UK’s response to Serious and Organised Crime, </w:t>
      </w:r>
      <w:r w:rsidR="00892054">
        <w:t>“</w:t>
      </w:r>
      <w:r w:rsidR="00892054">
        <w:t xml:space="preserve">Serious and organised crime does not concern itself with the victims of its processes only the succession of power and profit. Such profit is enormous with an estimated cost to the UK economy of at least “£37 billion every year” </w:t>
      </w:r>
      <w:sdt>
        <w:sdtPr>
          <w:id w:val="-1038658650"/>
          <w:citation/>
        </w:sdtPr>
        <w:sdtContent>
          <w:r w:rsidR="00892054">
            <w:fldChar w:fldCharType="begin"/>
          </w:r>
          <w:r w:rsidR="00892054">
            <w:instrText xml:space="preserve"> CITATION Owe19 \l 2057 </w:instrText>
          </w:r>
          <w:r w:rsidR="00892054">
            <w:fldChar w:fldCharType="separate"/>
          </w:r>
          <w:r w:rsidR="00892054">
            <w:rPr>
              <w:noProof/>
            </w:rPr>
            <w:t>(Owens, 2019)</w:t>
          </w:r>
          <w:r w:rsidR="00892054">
            <w:fldChar w:fldCharType="end"/>
          </w:r>
        </w:sdtContent>
      </w:sdt>
      <w:r>
        <w:t>. This essay will briefly outline three specific areas</w:t>
      </w:r>
      <w:r w:rsidR="00892054">
        <w:t xml:space="preserve">, </w:t>
      </w:r>
      <w:r>
        <w:t>Child Sexual Abuse and Exploitation, Modern Slavery</w:t>
      </w:r>
      <w:r w:rsidR="00D6148B">
        <w:t xml:space="preserve"> and </w:t>
      </w:r>
      <w:r>
        <w:t xml:space="preserve">Human Trafficking, and Organised Immigration Crime. It is believed that these areas </w:t>
      </w:r>
      <w:r w:rsidR="00D6148B">
        <w:t xml:space="preserve">specifically </w:t>
      </w:r>
      <w:r>
        <w:t>describe the indiscriminate nature of organised crime and highlight the</w:t>
      </w:r>
      <w:r w:rsidR="007B79EB">
        <w:t xml:space="preserve"> risks towards the</w:t>
      </w:r>
      <w:r>
        <w:t xml:space="preserve"> most vulnerable members of society.</w:t>
      </w:r>
      <w:r w:rsidR="00892054">
        <w:t xml:space="preserve"> </w:t>
      </w:r>
      <w:r>
        <w:t xml:space="preserve">The breadth and complexity of this task is truly staggering and should not be underestimated. It is believed that there are more than “4542 OCG’s active in the UK and over 181,000 people involved in serious and organised crime in the UK” </w:t>
      </w:r>
      <w:sdt>
        <w:sdtPr>
          <w:id w:val="-1359733241"/>
          <w:citation/>
        </w:sdtPr>
        <w:sdtEndPr/>
        <w:sdtContent>
          <w:r>
            <w:fldChar w:fldCharType="begin"/>
          </w:r>
          <w:r>
            <w:instrText xml:space="preserve"> CITATION Owe19 \l 2057 </w:instrText>
          </w:r>
          <w:r>
            <w:fldChar w:fldCharType="separate"/>
          </w:r>
          <w:r>
            <w:rPr>
              <w:noProof/>
            </w:rPr>
            <w:t>(Owens, 2019)</w:t>
          </w:r>
          <w:r>
            <w:fldChar w:fldCharType="end"/>
          </w:r>
        </w:sdtContent>
      </w:sdt>
      <w:r>
        <w:t xml:space="preserve">. This is more than “twice the strength of the regular British Army” </w:t>
      </w:r>
      <w:sdt>
        <w:sdtPr>
          <w:id w:val="-956408143"/>
          <w:citation/>
        </w:sdtPr>
        <w:sdtEndPr/>
        <w:sdtContent>
          <w:r>
            <w:fldChar w:fldCharType="begin"/>
          </w:r>
          <w:r>
            <w:instrText xml:space="preserve"> CITATION Owe19 \l 2057 </w:instrText>
          </w:r>
          <w:r>
            <w:fldChar w:fldCharType="separate"/>
          </w:r>
          <w:r>
            <w:rPr>
              <w:noProof/>
            </w:rPr>
            <w:t>(Owens, 2019)</w:t>
          </w:r>
          <w:r>
            <w:fldChar w:fldCharType="end"/>
          </w:r>
        </w:sdtContent>
      </w:sdt>
      <w:r>
        <w:t>.</w:t>
      </w:r>
    </w:p>
    <w:p w14:paraId="297AD089" w14:textId="27FA526C" w:rsidR="00953EDC" w:rsidRPr="00AB4359" w:rsidRDefault="00953EDC" w:rsidP="00953EDC">
      <w:pPr>
        <w:rPr>
          <w:strike/>
        </w:rPr>
      </w:pPr>
      <w:r>
        <w:t xml:space="preserve">Child Sexual Abuse and Exploitation (CSAE) covers a range of crimes such as “accessing indecent images, online grooming, blackmail, and extortion”  </w:t>
      </w:r>
      <w:sdt>
        <w:sdtPr>
          <w:id w:val="1399015564"/>
          <w:citation/>
        </w:sdtPr>
        <w:sdtEndPr/>
        <w:sdtContent>
          <w:r>
            <w:fldChar w:fldCharType="begin"/>
          </w:r>
          <w:r>
            <w:instrText xml:space="preserve">CITATION NCA19 \t  \l 2057 </w:instrText>
          </w:r>
          <w:r>
            <w:fldChar w:fldCharType="separate"/>
          </w:r>
          <w:r>
            <w:rPr>
              <w:noProof/>
            </w:rPr>
            <w:t>(NCA N. C., 2019)</w:t>
          </w:r>
          <w:r>
            <w:fldChar w:fldCharType="end"/>
          </w:r>
        </w:sdtContent>
      </w:sdt>
      <w:r>
        <w:t xml:space="preserve"> . This type of serious and organised crime targets the most vulnerable members of society, principally children and young persons, and often goes unreported. Individuals concerned with CSAE will use advances in technology such as the internet, the dark web, and social media to communicate and take advantage of victims. This has “a</w:t>
      </w:r>
      <w:r w:rsidRPr="00542E16">
        <w:t>llowed direct access to children at scale</w:t>
      </w:r>
      <w:r>
        <w:t xml:space="preserve">” </w:t>
      </w:r>
      <w:sdt>
        <w:sdtPr>
          <w:id w:val="1570612488"/>
          <w:citation/>
        </w:sdtPr>
        <w:sdtEndPr/>
        <w:sdtContent>
          <w:r>
            <w:fldChar w:fldCharType="begin"/>
          </w:r>
          <w:r>
            <w:instrText xml:space="preserve">CITATION NCA19 \t  \l 2057 </w:instrText>
          </w:r>
          <w:r>
            <w:fldChar w:fldCharType="separate"/>
          </w:r>
          <w:r>
            <w:rPr>
              <w:noProof/>
            </w:rPr>
            <w:t>(NCA N. C., 2019)</w:t>
          </w:r>
          <w:r>
            <w:fldChar w:fldCharType="end"/>
          </w:r>
        </w:sdtContent>
      </w:sdt>
      <w:r>
        <w:t xml:space="preserve"> and is reflected by the “2.88 million accounts existing globally on the most harmful CSAE dark web sites” </w:t>
      </w:r>
      <w:sdt>
        <w:sdtPr>
          <w:id w:val="1080942555"/>
          <w:citation/>
        </w:sdtPr>
        <w:sdtEndPr/>
        <w:sdtContent>
          <w:r>
            <w:fldChar w:fldCharType="begin"/>
          </w:r>
          <w:r>
            <w:instrText xml:space="preserve">CITATION NCA19 \t  \l 2057 </w:instrText>
          </w:r>
          <w:r>
            <w:fldChar w:fldCharType="separate"/>
          </w:r>
          <w:r>
            <w:rPr>
              <w:noProof/>
            </w:rPr>
            <w:t>(NCA N. C., 2019)</w:t>
          </w:r>
          <w:r>
            <w:fldChar w:fldCharType="end"/>
          </w:r>
        </w:sdtContent>
      </w:sdt>
      <w:r w:rsidRPr="00542E16">
        <w:t xml:space="preserve">. </w:t>
      </w:r>
      <w:r>
        <w:t xml:space="preserve"> </w:t>
      </w:r>
      <w:r w:rsidR="00874534">
        <w:t xml:space="preserve">Children and young persons are vulnerable due to their age and should be better protected against such oppression by online exploitation. </w:t>
      </w:r>
      <w:r>
        <w:t>CSAE is a serious form of organised crime with perpetrators gaining sexual gratification from such encounters and targeting children who may not know how they are being exploited in the first place.</w:t>
      </w:r>
    </w:p>
    <w:p w14:paraId="679EDBCD" w14:textId="712E35EC" w:rsidR="00953EDC" w:rsidRDefault="00953EDC" w:rsidP="00953EDC">
      <w:r>
        <w:t xml:space="preserve">Modern Slavery and Human Trafficking (MSHT) refers to the offences of “human trafficking, slavery, servitude and forced or compulsory labour” </w:t>
      </w:r>
      <w:sdt>
        <w:sdtPr>
          <w:id w:val="682087548"/>
          <w:citation/>
        </w:sdtPr>
        <w:sdtEndPr/>
        <w:sdtContent>
          <w:r>
            <w:fldChar w:fldCharType="begin"/>
          </w:r>
          <w:r>
            <w:instrText xml:space="preserve">CITATION NCA19 \t  \l 2057 </w:instrText>
          </w:r>
          <w:r>
            <w:fldChar w:fldCharType="separate"/>
          </w:r>
          <w:r>
            <w:rPr>
              <w:noProof/>
            </w:rPr>
            <w:t>(NCA N. C., 2019)</w:t>
          </w:r>
          <w:r>
            <w:fldChar w:fldCharType="end"/>
          </w:r>
        </w:sdtContent>
      </w:sdt>
      <w:r>
        <w:t xml:space="preserve">. This type of Serious and Organised Crime effects both adults and children. </w:t>
      </w:r>
      <w:r w:rsidR="00874534">
        <w:t>Some examples such as c</w:t>
      </w:r>
      <w:r>
        <w:t xml:space="preserve">ar washes, construction and agriculture are all recognised as sectors in which OCG’s have illegitimate control. </w:t>
      </w:r>
      <w:r w:rsidR="00874534">
        <w:t>Victims of MSHT</w:t>
      </w:r>
      <w:r>
        <w:t xml:space="preserve"> are forced into labour either through blackmail, physical or psychological abuse or debt bondage. Under the banner of MSHT many victims are exploited by becoming involved in ‘county lines’ drug gangs. Victims can be forced into production such as packaging illegal substances or cannabis cultivation. They can also be used as couriers or encouraged to ‘cuckoo’ vulnerable persons premises. The very nature of ‘cuckooing’ </w:t>
      </w:r>
      <w:r w:rsidRPr="004118E5">
        <w:t xml:space="preserve">takes its name from </w:t>
      </w:r>
      <w:r>
        <w:t>“</w:t>
      </w:r>
      <w:r w:rsidRPr="004118E5">
        <w:t>cuckoos who take over the nests of other birds to lay their eggs</w:t>
      </w:r>
      <w:r>
        <w:t xml:space="preserve">” </w:t>
      </w:r>
      <w:sdt>
        <w:sdtPr>
          <w:id w:val="1157505240"/>
          <w:citation/>
        </w:sdtPr>
        <w:sdtEndPr/>
        <w:sdtContent>
          <w:r>
            <w:fldChar w:fldCharType="begin"/>
          </w:r>
          <w:r>
            <w:instrText xml:space="preserve"> CITATION Lee22 \l 2057 </w:instrText>
          </w:r>
          <w:r>
            <w:fldChar w:fldCharType="separate"/>
          </w:r>
          <w:r>
            <w:rPr>
              <w:noProof/>
            </w:rPr>
            <w:t>(Lee, 2022)</w:t>
          </w:r>
          <w:r>
            <w:fldChar w:fldCharType="end"/>
          </w:r>
        </w:sdtContent>
      </w:sdt>
      <w:r w:rsidRPr="004118E5">
        <w:t xml:space="preserve">. </w:t>
      </w:r>
      <w:r>
        <w:t>This is more adeptly described as home invasion</w:t>
      </w:r>
      <w:r w:rsidR="007B79EB">
        <w:t>,</w:t>
      </w:r>
      <w:r>
        <w:t xml:space="preserve"> where persons take over the home of a vulnerable </w:t>
      </w:r>
      <w:r w:rsidR="007B79EB">
        <w:t>victim</w:t>
      </w:r>
      <w:r>
        <w:t xml:space="preserve"> and use the property “</w:t>
      </w:r>
      <w:r w:rsidRPr="004118E5">
        <w:t>for some form of exploitation</w:t>
      </w:r>
      <w:r>
        <w:t xml:space="preserve">” </w:t>
      </w:r>
      <w:sdt>
        <w:sdtPr>
          <w:id w:val="-1300376359"/>
          <w:citation/>
        </w:sdtPr>
        <w:sdtEndPr/>
        <w:sdtContent>
          <w:r>
            <w:fldChar w:fldCharType="begin"/>
          </w:r>
          <w:r>
            <w:instrText xml:space="preserve"> CITATION Lee22 \l 2057 </w:instrText>
          </w:r>
          <w:r>
            <w:fldChar w:fldCharType="separate"/>
          </w:r>
          <w:r>
            <w:rPr>
              <w:noProof/>
            </w:rPr>
            <w:t>(Lee, 2022)</w:t>
          </w:r>
          <w:r>
            <w:fldChar w:fldCharType="end"/>
          </w:r>
        </w:sdtContent>
      </w:sdt>
      <w:r>
        <w:t>. This describes the parasitic nature of serious and organised crime as</w:t>
      </w:r>
      <w:r w:rsidR="007B79EB">
        <w:t xml:space="preserve"> it</w:t>
      </w:r>
      <w:r>
        <w:t xml:space="preserve"> “</w:t>
      </w:r>
      <w:r w:rsidRPr="00F377B3">
        <w:t>habitually relies on or exploits others and gives nothing in return</w:t>
      </w:r>
      <w:r>
        <w:t xml:space="preserve">” </w:t>
      </w:r>
      <w:sdt>
        <w:sdtPr>
          <w:id w:val="1752241352"/>
          <w:citation/>
        </w:sdtPr>
        <w:sdtEndPr/>
        <w:sdtContent>
          <w:r>
            <w:fldChar w:fldCharType="begin"/>
          </w:r>
          <w:r>
            <w:instrText xml:space="preserve"> CITATION Oxf24 \l 2057 </w:instrText>
          </w:r>
          <w:r>
            <w:fldChar w:fldCharType="separate"/>
          </w:r>
          <w:r>
            <w:rPr>
              <w:noProof/>
            </w:rPr>
            <w:t>(Oxford, 2024)</w:t>
          </w:r>
          <w:r>
            <w:fldChar w:fldCharType="end"/>
          </w:r>
        </w:sdtContent>
      </w:sdt>
      <w:r>
        <w:t xml:space="preserve">. OCG’s are wise to victims’ vulnerabilities which include a lack of education, general instability, false promises of a better life, lack of economic opportunity, drug addiction or mental </w:t>
      </w:r>
      <w:proofErr w:type="gramStart"/>
      <w:r>
        <w:t>health.</w:t>
      </w:r>
      <w:r w:rsidR="00874534">
        <w:t>.</w:t>
      </w:r>
      <w:proofErr w:type="gramEnd"/>
      <w:r>
        <w:t xml:space="preserve"> </w:t>
      </w:r>
    </w:p>
    <w:p w14:paraId="546344FA" w14:textId="399772FB" w:rsidR="00953EDC" w:rsidRDefault="00953EDC" w:rsidP="00953EDC">
      <w:r>
        <w:t xml:space="preserve">MSHT also shares similarities with Organised Immigration Crime which involves the “movement of persons across borders” </w:t>
      </w:r>
      <w:sdt>
        <w:sdtPr>
          <w:id w:val="112801141"/>
          <w:citation/>
        </w:sdtPr>
        <w:sdtEndPr/>
        <w:sdtContent>
          <w:r>
            <w:fldChar w:fldCharType="begin"/>
          </w:r>
          <w:r>
            <w:instrText xml:space="preserve">CITATION NCA19 \t  \l 2057 </w:instrText>
          </w:r>
          <w:r>
            <w:fldChar w:fldCharType="separate"/>
          </w:r>
          <w:r>
            <w:rPr>
              <w:noProof/>
            </w:rPr>
            <w:t>(NCA N. C., 2019)</w:t>
          </w:r>
          <w:r>
            <w:fldChar w:fldCharType="end"/>
          </w:r>
        </w:sdtContent>
      </w:sdt>
      <w:r>
        <w:t xml:space="preserve">.  OCG’s will look to “exploit migrants’ desperation, offering services that are dangerous or unlikely to succeed” </w:t>
      </w:r>
      <w:sdt>
        <w:sdtPr>
          <w:id w:val="1603229493"/>
          <w:citation/>
        </w:sdtPr>
        <w:sdtEndPr/>
        <w:sdtContent>
          <w:r>
            <w:fldChar w:fldCharType="begin"/>
          </w:r>
          <w:r>
            <w:instrText xml:space="preserve">CITATION NCA19 \t  \l 2057 </w:instrText>
          </w:r>
          <w:r>
            <w:fldChar w:fldCharType="separate"/>
          </w:r>
          <w:r>
            <w:rPr>
              <w:noProof/>
            </w:rPr>
            <w:t>(NCA N. C., 2019)</w:t>
          </w:r>
          <w:r>
            <w:fldChar w:fldCharType="end"/>
          </w:r>
        </w:sdtContent>
      </w:sdt>
      <w:r>
        <w:t xml:space="preserve"> These methods can involve clandestine entry into Europe through a range of increasingly high-risk methods. An example of this is the movement of migrants (including children) into the UK in containers, small boats, and recently refrigerated HGVs. Many of these migrants come from further afield such as Vietnam or Iran and are seeking to escape persecution in their home countries. This type of serious and organised crime recently culminated in the deaths of 39 Vietnamese migrants who were discovered in the back of an HGV in Essex during 2019 </w:t>
      </w:r>
      <w:sdt>
        <w:sdtPr>
          <w:id w:val="1873106769"/>
          <w:citation/>
        </w:sdtPr>
        <w:sdtEndPr/>
        <w:sdtContent>
          <w:r>
            <w:fldChar w:fldCharType="begin"/>
          </w:r>
          <w:r>
            <w:instrText xml:space="preserve">CITATION BBC211 \t  \l 2057 </w:instrText>
          </w:r>
          <w:r>
            <w:fldChar w:fldCharType="separate"/>
          </w:r>
          <w:r>
            <w:rPr>
              <w:noProof/>
            </w:rPr>
            <w:t>(BBC, 2021)</w:t>
          </w:r>
          <w:r>
            <w:fldChar w:fldCharType="end"/>
          </w:r>
        </w:sdtContent>
      </w:sdt>
      <w:r>
        <w:t>. It is believed these people were paying for VIP transport and under the illusion that they would be able to find work in the UK upon their arrival. Instead, all 39 persons were found to have suffocated inside the back of the trailer, launching a multi-agency investigation between Essex Police, The NCA, Border Force, Interpol, and French and Dutch authorities into the deaths. This resulted in the arrest of four persons believed to be working as part of an OCG relating to people smuggling. Detective Chief Inspector Dan Stollen of Essex Police went on to state “</w:t>
      </w:r>
      <w:r w:rsidRPr="00524CAA">
        <w:t>They are callous, and they are dangerous, and they are out to exploit these people. We wouldn't transport animals in that way</w:t>
      </w:r>
      <w:r>
        <w:t xml:space="preserve">” </w:t>
      </w:r>
      <w:sdt>
        <w:sdtPr>
          <w:id w:val="1935552218"/>
          <w:citation/>
        </w:sdtPr>
        <w:sdtEndPr/>
        <w:sdtContent>
          <w:r>
            <w:fldChar w:fldCharType="begin"/>
          </w:r>
          <w:r w:rsidR="00821CA4">
            <w:instrText xml:space="preserve">CITATION BBC20 \t  \l 2057 </w:instrText>
          </w:r>
          <w:r>
            <w:fldChar w:fldCharType="separate"/>
          </w:r>
          <w:r w:rsidR="00821CA4">
            <w:rPr>
              <w:noProof/>
            </w:rPr>
            <w:t>(BBC, 2020)</w:t>
          </w:r>
          <w:r>
            <w:fldChar w:fldCharType="end"/>
          </w:r>
        </w:sdtContent>
      </w:sdt>
      <w:r>
        <w:t>.</w:t>
      </w:r>
    </w:p>
    <w:p w14:paraId="7F5A0E2C" w14:textId="02722CD2" w:rsidR="00953EDC" w:rsidRPr="008A3BE3" w:rsidRDefault="00953EDC" w:rsidP="00953EDC">
      <w:pPr>
        <w:rPr>
          <w:rStyle w:val="Hyperlink"/>
          <w:color w:val="auto"/>
        </w:rPr>
      </w:pPr>
      <w:r>
        <w:t>The three areas described above are the tip of the iceberg when discussing how serious and organised crime leads to the exploitation of the vulnerable. Public protection is not the sole responsibility of the Police service, however due to the nature of serious and organised crime, the police may be the first agency that responds. This makes the identification of vulnerable persons even more important by police officers, as the resulting information may form the basis of a</w:t>
      </w:r>
      <w:r w:rsidR="002338D2">
        <w:t xml:space="preserve"> referral to a multitude of different agencies</w:t>
      </w:r>
      <w:r w:rsidR="00BB111B">
        <w:t>. This is achieved</w:t>
      </w:r>
      <w:r w:rsidR="002338D2">
        <w:t xml:space="preserve"> </w:t>
      </w:r>
      <w:proofErr w:type="gramStart"/>
      <w:r w:rsidR="002338D2">
        <w:t>through the use of</w:t>
      </w:r>
      <w:proofErr w:type="gramEnd"/>
      <w:r w:rsidR="002338D2">
        <w:t xml:space="preserve"> a</w:t>
      </w:r>
      <w:r>
        <w:t xml:space="preserve"> Public Protection Notification (PPN) which is “</w:t>
      </w:r>
      <w:r w:rsidRPr="00E35AEE">
        <w:t>an information-sharing document that records safeguarding concerns about an adult or child</w:t>
      </w:r>
      <w:r>
        <w:t xml:space="preserve">” </w:t>
      </w:r>
      <w:sdt>
        <w:sdtPr>
          <w:id w:val="2147075183"/>
          <w:citation/>
        </w:sdtPr>
        <w:sdtEndPr/>
        <w:sdtContent>
          <w:r>
            <w:fldChar w:fldCharType="begin"/>
          </w:r>
          <w:r>
            <w:instrText xml:space="preserve"> CITATION HMI231 \l 2057 </w:instrText>
          </w:r>
          <w:r>
            <w:fldChar w:fldCharType="separate"/>
          </w:r>
          <w:r>
            <w:rPr>
              <w:noProof/>
            </w:rPr>
            <w:t>(HMICFRS, 2023)</w:t>
          </w:r>
          <w:r>
            <w:fldChar w:fldCharType="end"/>
          </w:r>
        </w:sdtContent>
      </w:sdt>
      <w:r>
        <w:t>.</w:t>
      </w:r>
      <w:r w:rsidRPr="00E35AEE">
        <w:t xml:space="preserve"> </w:t>
      </w:r>
      <w:r>
        <w:t>This allows such information to be</w:t>
      </w:r>
      <w:r w:rsidRPr="00E35AEE">
        <w:t xml:space="preserve"> </w:t>
      </w:r>
      <w:r>
        <w:t>“</w:t>
      </w:r>
      <w:r w:rsidRPr="00E35AEE">
        <w:t>shared with partner agencies to inform a multi-agency response</w:t>
      </w:r>
      <w:r>
        <w:t xml:space="preserve">” </w:t>
      </w:r>
      <w:sdt>
        <w:sdtPr>
          <w:id w:val="1130980160"/>
          <w:citation/>
        </w:sdtPr>
        <w:sdtEndPr/>
        <w:sdtContent>
          <w:r>
            <w:fldChar w:fldCharType="begin"/>
          </w:r>
          <w:r>
            <w:instrText xml:space="preserve"> CITATION HMI231 \l 2057 </w:instrText>
          </w:r>
          <w:r>
            <w:fldChar w:fldCharType="separate"/>
          </w:r>
          <w:r>
            <w:rPr>
              <w:noProof/>
            </w:rPr>
            <w:t>(HMICFRS, 2023)</w:t>
          </w:r>
          <w:r>
            <w:fldChar w:fldCharType="end"/>
          </w:r>
        </w:sdtContent>
      </w:sdt>
      <w:r w:rsidRPr="00E35AEE">
        <w:t>.</w:t>
      </w:r>
      <w:r>
        <w:t xml:space="preserve"> Indeed, a multi-agency response is exactly what is needed in this instance, as form the figures outlined above, the scope of serious and organised crime cannot be </w:t>
      </w:r>
      <w:r w:rsidR="00821CA4">
        <w:t>resisted</w:t>
      </w:r>
      <w:r>
        <w:t xml:space="preserve"> by the police service alone.</w:t>
      </w:r>
    </w:p>
    <w:p w14:paraId="6103E2C8" w14:textId="047AD10D" w:rsidR="00953EDC" w:rsidRDefault="00953EDC" w:rsidP="00953EDC">
      <w:r>
        <w:t xml:space="preserve">Word Count: </w:t>
      </w:r>
      <w:r w:rsidRPr="008A3BE3">
        <w:rPr>
          <w:b/>
          <w:bCs/>
        </w:rPr>
        <w:t>1</w:t>
      </w:r>
      <w:r w:rsidR="002338D2">
        <w:rPr>
          <w:b/>
          <w:bCs/>
        </w:rPr>
        <w:t>0</w:t>
      </w:r>
      <w:r w:rsidR="00BB111B">
        <w:rPr>
          <w:b/>
          <w:bCs/>
        </w:rPr>
        <w:t>9</w:t>
      </w:r>
      <w:r w:rsidR="002338D2">
        <w:rPr>
          <w:b/>
          <w:bCs/>
        </w:rPr>
        <w:t>1</w:t>
      </w:r>
    </w:p>
    <w:p w14:paraId="3D864906" w14:textId="77777777" w:rsidR="00BB111B" w:rsidRPr="002D71EB" w:rsidRDefault="00BB111B" w:rsidP="00953EDC"/>
    <w:sdt>
      <w:sdtPr>
        <w:rPr>
          <w:rFonts w:asciiTheme="minorHAnsi" w:eastAsiaTheme="minorHAnsi" w:hAnsiTheme="minorHAnsi" w:cstheme="minorBidi"/>
          <w:color w:val="auto"/>
          <w:sz w:val="22"/>
          <w:szCs w:val="22"/>
        </w:rPr>
        <w:id w:val="-608440145"/>
        <w:docPartObj>
          <w:docPartGallery w:val="Bibliographies"/>
          <w:docPartUnique/>
        </w:docPartObj>
      </w:sdtPr>
      <w:sdtEndPr/>
      <w:sdtContent>
        <w:p w14:paraId="6D1FF7BB" w14:textId="77777777" w:rsidR="00953EDC" w:rsidRDefault="00953EDC" w:rsidP="00953EDC">
          <w:pPr>
            <w:pStyle w:val="Heading1"/>
          </w:pPr>
          <w:r>
            <w:t>Bibliography</w:t>
          </w:r>
        </w:p>
        <w:sdt>
          <w:sdtPr>
            <w:id w:val="596676335"/>
            <w:bibliography/>
          </w:sdtPr>
          <w:sdtEndPr/>
          <w:sdtContent>
            <w:p w14:paraId="7E6FC268" w14:textId="77777777" w:rsidR="00953EDC" w:rsidRDefault="00953EDC" w:rsidP="00953EDC">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BBC. (2020, December 21). </w:t>
              </w:r>
              <w:r>
                <w:rPr>
                  <w:i/>
                  <w:iCs/>
                  <w:noProof/>
                  <w:lang w:val="en-US"/>
                </w:rPr>
                <w:t>Essex lorry deaths: The supposed 'VIP' journey that killed 39 people</w:t>
              </w:r>
              <w:r>
                <w:rPr>
                  <w:noProof/>
                  <w:lang w:val="en-US"/>
                </w:rPr>
                <w:t>. Retrieved from BBC News: https://www.bbc.co.uk/news/uk-england-essex-54294006</w:t>
              </w:r>
            </w:p>
            <w:p w14:paraId="20820B31" w14:textId="77777777" w:rsidR="00953EDC" w:rsidRDefault="00953EDC" w:rsidP="00953EDC">
              <w:pPr>
                <w:pStyle w:val="Bibliography"/>
                <w:ind w:left="720" w:hanging="720"/>
                <w:rPr>
                  <w:noProof/>
                  <w:lang w:val="en-US"/>
                </w:rPr>
              </w:pPr>
              <w:r>
                <w:rPr>
                  <w:noProof/>
                  <w:lang w:val="en-US"/>
                </w:rPr>
                <w:t xml:space="preserve">BBC. (2021, January 22). </w:t>
              </w:r>
              <w:r>
                <w:rPr>
                  <w:i/>
                  <w:iCs/>
                  <w:noProof/>
                  <w:lang w:val="en-US"/>
                </w:rPr>
                <w:t>Essex lorry deaths: Men jailed for killing 39 migrants in trailer</w:t>
              </w:r>
              <w:r>
                <w:rPr>
                  <w:noProof/>
                  <w:lang w:val="en-US"/>
                </w:rPr>
                <w:t>. Retrieved from BBC News: https://www.bbc.co.uk/news/uk-england-essex-55765213</w:t>
              </w:r>
            </w:p>
            <w:p w14:paraId="37F41092" w14:textId="77777777" w:rsidR="00953EDC" w:rsidRDefault="00953EDC" w:rsidP="00953EDC">
              <w:pPr>
                <w:pStyle w:val="Bibliography"/>
                <w:ind w:left="720" w:hanging="720"/>
                <w:rPr>
                  <w:noProof/>
                  <w:lang w:val="en-US"/>
                </w:rPr>
              </w:pPr>
              <w:r>
                <w:rPr>
                  <w:noProof/>
                  <w:lang w:val="en-US"/>
                </w:rPr>
                <w:t xml:space="preserve">Europol. (2024, April 11). </w:t>
              </w:r>
              <w:r>
                <w:rPr>
                  <w:i/>
                  <w:iCs/>
                  <w:noProof/>
                  <w:lang w:val="en-US"/>
                </w:rPr>
                <w:t>Defining serious and organised crime</w:t>
              </w:r>
              <w:r>
                <w:rPr>
                  <w:noProof/>
                  <w:lang w:val="en-US"/>
                </w:rPr>
                <w:t>. Retrieved from Europol: https://www.europol.europa.eu/socta/2017/defining-serious-and-organised-crime.html</w:t>
              </w:r>
            </w:p>
            <w:p w14:paraId="292C8C9A" w14:textId="77777777" w:rsidR="00953EDC" w:rsidRDefault="00953EDC" w:rsidP="00953EDC">
              <w:pPr>
                <w:pStyle w:val="Bibliography"/>
                <w:ind w:left="720" w:hanging="720"/>
                <w:rPr>
                  <w:noProof/>
                  <w:lang w:val="en-US"/>
                </w:rPr>
              </w:pPr>
              <w:r>
                <w:rPr>
                  <w:noProof/>
                  <w:lang w:val="en-US"/>
                </w:rPr>
                <w:t xml:space="preserve">HMICFRS. (2023, March 29). </w:t>
              </w:r>
              <w:r>
                <w:rPr>
                  <w:i/>
                  <w:iCs/>
                  <w:noProof/>
                  <w:lang w:val="en-US"/>
                </w:rPr>
                <w:t>Public Protection Notification</w:t>
              </w:r>
              <w:r>
                <w:rPr>
                  <w:noProof/>
                  <w:lang w:val="en-US"/>
                </w:rPr>
                <w:t>. Retrieved from HMICFRS: https://hmicfrs.justiceinspectorates.gov.uk/glossary/public-protection-notice/</w:t>
              </w:r>
            </w:p>
            <w:p w14:paraId="2D1AC870" w14:textId="77777777" w:rsidR="00953EDC" w:rsidRDefault="00953EDC" w:rsidP="00953EDC">
              <w:pPr>
                <w:pStyle w:val="Bibliography"/>
                <w:ind w:left="720" w:hanging="720"/>
                <w:rPr>
                  <w:noProof/>
                  <w:lang w:val="en-US"/>
                </w:rPr>
              </w:pPr>
              <w:r>
                <w:rPr>
                  <w:noProof/>
                  <w:lang w:val="en-US"/>
                </w:rPr>
                <w:t xml:space="preserve">Lee. (2022, August 10). </w:t>
              </w:r>
              <w:r>
                <w:rPr>
                  <w:i/>
                  <w:iCs/>
                  <w:noProof/>
                  <w:lang w:val="en-US"/>
                </w:rPr>
                <w:t>What is Cuckooing?</w:t>
              </w:r>
              <w:r>
                <w:rPr>
                  <w:noProof/>
                  <w:lang w:val="en-US"/>
                </w:rPr>
                <w:t xml:space="preserve"> Retrieved from CPD Online: https://cpdonline.co.uk/knowledge-base/safeguarding/cuckooing/</w:t>
              </w:r>
            </w:p>
            <w:p w14:paraId="77883804" w14:textId="77777777" w:rsidR="00953EDC" w:rsidRDefault="00953EDC" w:rsidP="00953EDC">
              <w:pPr>
                <w:pStyle w:val="Bibliography"/>
                <w:ind w:left="720" w:hanging="720"/>
                <w:rPr>
                  <w:noProof/>
                  <w:lang w:val="en-US"/>
                </w:rPr>
              </w:pPr>
              <w:r>
                <w:rPr>
                  <w:noProof/>
                  <w:lang w:val="en-US"/>
                </w:rPr>
                <w:t xml:space="preserve">NCA. (2019, May 14). </w:t>
              </w:r>
              <w:r>
                <w:rPr>
                  <w:i/>
                  <w:iCs/>
                  <w:noProof/>
                  <w:lang w:val="en-US"/>
                </w:rPr>
                <w:t>181,000 UK offenders fuelling “chronic and corrosive” threat from serious and organised crime</w:t>
              </w:r>
              <w:r>
                <w:rPr>
                  <w:noProof/>
                  <w:lang w:val="en-US"/>
                </w:rPr>
                <w:t>. Retrieved from National Crime Agency: https://www.nationalcrimeagency.gov.uk/news/181-000-uk-offenders-fuelling-chronic-and-corrosive-threat-from-serious-and-organised-crime</w:t>
              </w:r>
            </w:p>
            <w:p w14:paraId="3FD9EEA9" w14:textId="77777777" w:rsidR="00953EDC" w:rsidRDefault="00953EDC" w:rsidP="00953EDC">
              <w:pPr>
                <w:pStyle w:val="Bibliography"/>
                <w:ind w:left="720" w:hanging="720"/>
                <w:rPr>
                  <w:noProof/>
                  <w:lang w:val="en-US"/>
                </w:rPr>
              </w:pPr>
              <w:r>
                <w:rPr>
                  <w:noProof/>
                  <w:lang w:val="en-US"/>
                </w:rPr>
                <w:t xml:space="preserve">NCA, N. C. (2019). </w:t>
              </w:r>
              <w:r>
                <w:rPr>
                  <w:i/>
                  <w:iCs/>
                  <w:noProof/>
                  <w:lang w:val="en-US"/>
                </w:rPr>
                <w:t>National Strategic Assessment of Serious and Organised Crime.</w:t>
              </w:r>
              <w:r>
                <w:rPr>
                  <w:noProof/>
                  <w:lang w:val="en-US"/>
                </w:rPr>
                <w:t xml:space="preserve"> Retrieved from GOV.uk: https://nationalcrimeagency.gov.uk/who-we-are/publications/296-national-strategic-assessment-of-serious-organised-crime-2019/file</w:t>
              </w:r>
            </w:p>
            <w:p w14:paraId="26A590F4" w14:textId="77777777" w:rsidR="00953EDC" w:rsidRDefault="00953EDC" w:rsidP="00953EDC">
              <w:pPr>
                <w:pStyle w:val="Bibliography"/>
                <w:ind w:left="720" w:hanging="720"/>
                <w:rPr>
                  <w:noProof/>
                  <w:lang w:val="en-US"/>
                </w:rPr>
              </w:pPr>
              <w:r>
                <w:rPr>
                  <w:noProof/>
                  <w:lang w:val="en-US"/>
                </w:rPr>
                <w:t xml:space="preserve">NCA, N. C. (2024). </w:t>
              </w:r>
              <w:r>
                <w:rPr>
                  <w:i/>
                  <w:iCs/>
                  <w:noProof/>
                  <w:lang w:val="en-US"/>
                </w:rPr>
                <w:t>What we Investigate</w:t>
              </w:r>
              <w:r>
                <w:rPr>
                  <w:noProof/>
                  <w:lang w:val="en-US"/>
                </w:rPr>
                <w:t>. Retrieved from National Crime Agency: https://www.nationalcrimeagency.gov.uk/what-we-do/crime-threats</w:t>
              </w:r>
            </w:p>
            <w:p w14:paraId="38B6A606" w14:textId="77777777" w:rsidR="00953EDC" w:rsidRDefault="00953EDC" w:rsidP="00953EDC">
              <w:pPr>
                <w:pStyle w:val="Bibliography"/>
                <w:ind w:left="720" w:hanging="720"/>
                <w:rPr>
                  <w:noProof/>
                  <w:lang w:val="en-US"/>
                </w:rPr>
              </w:pPr>
              <w:r>
                <w:rPr>
                  <w:noProof/>
                  <w:lang w:val="en-US"/>
                </w:rPr>
                <w:t xml:space="preserve">Office, N. A. (2019, June 28). </w:t>
              </w:r>
              <w:r>
                <w:rPr>
                  <w:i/>
                  <w:iCs/>
                  <w:noProof/>
                  <w:lang w:val="en-US"/>
                </w:rPr>
                <w:t>Tackling serious and organised crime</w:t>
              </w:r>
              <w:r>
                <w:rPr>
                  <w:noProof/>
                  <w:lang w:val="en-US"/>
                </w:rPr>
                <w:t>. Retrieved from National Audit Office: https://www.nao.org.uk/reports/serious-and-organised-crime/</w:t>
              </w:r>
            </w:p>
            <w:p w14:paraId="520C15A9" w14:textId="77777777" w:rsidR="00953EDC" w:rsidRDefault="00953EDC" w:rsidP="00953EDC">
              <w:pPr>
                <w:pStyle w:val="Bibliography"/>
                <w:ind w:left="720" w:hanging="720"/>
                <w:rPr>
                  <w:noProof/>
                  <w:lang w:val="en-US"/>
                </w:rPr>
              </w:pPr>
              <w:r>
                <w:rPr>
                  <w:noProof/>
                  <w:lang w:val="en-US"/>
                </w:rPr>
                <w:t xml:space="preserve">Owens, L. (2019). </w:t>
              </w:r>
              <w:r>
                <w:rPr>
                  <w:i/>
                  <w:iCs/>
                  <w:noProof/>
                  <w:lang w:val="en-US"/>
                </w:rPr>
                <w:t>National Strategic Assessment of Serious &amp; Organised Crime.</w:t>
              </w:r>
              <w:r>
                <w:rPr>
                  <w:noProof/>
                  <w:lang w:val="en-US"/>
                </w:rPr>
                <w:t xml:space="preserve"> London: National Crime Agency.</w:t>
              </w:r>
            </w:p>
            <w:p w14:paraId="34A7DA4C" w14:textId="77777777" w:rsidR="00953EDC" w:rsidRDefault="00953EDC" w:rsidP="00953EDC">
              <w:pPr>
                <w:pStyle w:val="Bibliography"/>
                <w:ind w:left="720" w:hanging="720"/>
                <w:rPr>
                  <w:noProof/>
                  <w:lang w:val="en-US"/>
                </w:rPr>
              </w:pPr>
              <w:r>
                <w:rPr>
                  <w:noProof/>
                  <w:lang w:val="en-US"/>
                </w:rPr>
                <w:t xml:space="preserve">Oxford. (2024, May 28). </w:t>
              </w:r>
              <w:r>
                <w:rPr>
                  <w:i/>
                  <w:iCs/>
                  <w:noProof/>
                  <w:lang w:val="en-US"/>
                </w:rPr>
                <w:t>Oxford Languages</w:t>
              </w:r>
              <w:r>
                <w:rPr>
                  <w:noProof/>
                  <w:lang w:val="en-US"/>
                </w:rPr>
                <w:t>. Retrieved from Google: https://www.bing.com/search?pglt=41&amp;q=parasite+meaning&amp;cvid=bec494d71fb34a86a293d1d2df69ded0&amp;gs_lcrp=EgZjaHJvbWUqBggCEAAYQDIGCAAQRRg5MgYIARAAGEAyBggCEAAYQDIGCAMQABhAMgYIBBAAGEAyBggFEAAYQDIGCAYQABhAMgYIBxAAGEAyBggIEAAYQDIICAkQ6QcY_FXSAQg0NDcyajBqMagCALACAA</w:t>
              </w:r>
            </w:p>
            <w:p w14:paraId="266E70A6" w14:textId="77777777" w:rsidR="00953EDC" w:rsidRPr="002D71EB" w:rsidRDefault="00953EDC" w:rsidP="00953EDC">
              <w:r>
                <w:rPr>
                  <w:b/>
                  <w:bCs/>
                  <w:noProof/>
                </w:rPr>
                <w:fldChar w:fldCharType="end"/>
              </w:r>
            </w:p>
          </w:sdtContent>
        </w:sdt>
      </w:sdtContent>
    </w:sdt>
    <w:p w14:paraId="5611AD35" w14:textId="77777777" w:rsidR="00953EDC" w:rsidRDefault="00953EDC" w:rsidP="00953EDC">
      <w:pPr>
        <w:rPr>
          <w:b/>
          <w:bCs/>
        </w:rPr>
      </w:pPr>
    </w:p>
    <w:p w14:paraId="643992F8" w14:textId="77777777" w:rsidR="00BB111B" w:rsidRDefault="00BB111B" w:rsidP="00953EDC">
      <w:pPr>
        <w:rPr>
          <w:b/>
          <w:bCs/>
        </w:rPr>
      </w:pPr>
    </w:p>
    <w:p w14:paraId="095B1509" w14:textId="77777777" w:rsidR="00BB111B" w:rsidRDefault="00BB111B" w:rsidP="00953EDC">
      <w:pPr>
        <w:rPr>
          <w:b/>
          <w:bCs/>
        </w:rPr>
      </w:pPr>
    </w:p>
    <w:p w14:paraId="44DCE368" w14:textId="77777777" w:rsidR="00BB111B" w:rsidRDefault="00BB111B" w:rsidP="00953EDC">
      <w:pPr>
        <w:rPr>
          <w:b/>
          <w:bCs/>
        </w:rPr>
      </w:pPr>
    </w:p>
    <w:p w14:paraId="2F377097" w14:textId="77777777" w:rsidR="00BB111B" w:rsidRDefault="00BB111B" w:rsidP="00953EDC">
      <w:pPr>
        <w:rPr>
          <w:b/>
          <w:bCs/>
        </w:rPr>
      </w:pPr>
    </w:p>
    <w:p w14:paraId="3D81E58F" w14:textId="77777777" w:rsidR="00953EDC" w:rsidRDefault="00953EDC" w:rsidP="00953EDC">
      <w:pPr>
        <w:rPr>
          <w:b/>
          <w:bCs/>
        </w:rPr>
      </w:pPr>
    </w:p>
    <w:p w14:paraId="1B5316BE" w14:textId="77777777" w:rsidR="00953EDC" w:rsidRDefault="00953EDC" w:rsidP="00953EDC">
      <w:pPr>
        <w:rPr>
          <w:b/>
          <w:bCs/>
        </w:rPr>
      </w:pPr>
    </w:p>
    <w:p w14:paraId="4AC6A736" w14:textId="3B5086E0" w:rsidR="00953EDC" w:rsidRPr="00121DA7" w:rsidRDefault="00953EDC" w:rsidP="00953EDC">
      <w:pPr>
        <w:rPr>
          <w:b/>
          <w:bCs/>
        </w:rPr>
      </w:pPr>
      <w:r w:rsidRPr="00121DA7">
        <w:rPr>
          <w:b/>
          <w:bCs/>
        </w:rPr>
        <w:t xml:space="preserve">Essay five: </w:t>
      </w:r>
    </w:p>
    <w:p w14:paraId="4209AFA3" w14:textId="77777777" w:rsidR="00953EDC" w:rsidRPr="00121DA7" w:rsidRDefault="00953EDC" w:rsidP="00953EDC">
      <w:pPr>
        <w:rPr>
          <w:i/>
          <w:iCs/>
        </w:rPr>
      </w:pPr>
      <w:r w:rsidRPr="00121DA7">
        <w:rPr>
          <w:i/>
          <w:iCs/>
        </w:rPr>
        <w:t xml:space="preserve">How effective is early intervention an effective means of preventing young people from offending or re-offending? </w:t>
      </w:r>
    </w:p>
    <w:p w14:paraId="08A3E512" w14:textId="77777777" w:rsidR="00953EDC" w:rsidRPr="00121DA7" w:rsidRDefault="00953EDC" w:rsidP="00953EDC">
      <w:pPr>
        <w:rPr>
          <w:i/>
          <w:iCs/>
        </w:rPr>
      </w:pPr>
      <w:r w:rsidRPr="00121DA7">
        <w:rPr>
          <w:i/>
          <w:iCs/>
        </w:rPr>
        <w:t xml:space="preserve">Your answer must be based on academic research, but you may </w:t>
      </w:r>
      <w:proofErr w:type="gramStart"/>
      <w:r w:rsidRPr="00121DA7">
        <w:rPr>
          <w:i/>
          <w:iCs/>
        </w:rPr>
        <w:t>make reference</w:t>
      </w:r>
      <w:proofErr w:type="gramEnd"/>
      <w:r w:rsidRPr="00121DA7">
        <w:rPr>
          <w:i/>
          <w:iCs/>
        </w:rPr>
        <w:t xml:space="preserve"> to relevant case studies. </w:t>
      </w:r>
    </w:p>
    <w:p w14:paraId="1297A9C0" w14:textId="77777777" w:rsidR="00953EDC" w:rsidRDefault="00953EDC" w:rsidP="00953EDC">
      <w:pPr>
        <w:rPr>
          <w:b/>
          <w:bCs/>
        </w:rPr>
      </w:pPr>
      <w:r w:rsidRPr="00121DA7">
        <w:rPr>
          <w:b/>
          <w:bCs/>
        </w:rPr>
        <w:t>Word limit: 1000 words</w:t>
      </w:r>
    </w:p>
    <w:p w14:paraId="5F57E5CB" w14:textId="5E6714F3" w:rsidR="00953EDC" w:rsidRDefault="00953EDC" w:rsidP="00953EDC">
      <w:r w:rsidRPr="001B3BA0">
        <w:t>Early intervention to prevent young people from offending or re-offending is a serious and contentious issue, so much</w:t>
      </w:r>
      <w:r w:rsidR="00BB111B">
        <w:t xml:space="preserve"> so</w:t>
      </w:r>
      <w:r w:rsidRPr="001B3BA0">
        <w:t xml:space="preserve"> that the UK Government has created </w:t>
      </w:r>
      <w:r>
        <w:t>“</w:t>
      </w:r>
      <w:r w:rsidRPr="001B3BA0">
        <w:t>Collaborative approaches to preventing offending and re-offending by children</w:t>
      </w:r>
      <w:r>
        <w:t>”</w:t>
      </w:r>
      <w:r w:rsidRPr="001B3BA0">
        <w:t xml:space="preserve"> (CAPRICORN) </w:t>
      </w:r>
      <w:sdt>
        <w:sdtPr>
          <w:id w:val="651796007"/>
          <w:citation/>
        </w:sdtPr>
        <w:sdtEndPr/>
        <w:sdtContent>
          <w:r w:rsidRPr="001B3BA0">
            <w:fldChar w:fldCharType="begin"/>
          </w:r>
          <w:r w:rsidRPr="001B3BA0">
            <w:instrText xml:space="preserve">CITATION Pub19 \l 2057 </w:instrText>
          </w:r>
          <w:r w:rsidRPr="001B3BA0">
            <w:fldChar w:fldCharType="separate"/>
          </w:r>
          <w:r>
            <w:rPr>
              <w:noProof/>
            </w:rPr>
            <w:t>(England, 2019)</w:t>
          </w:r>
          <w:r w:rsidRPr="001B3BA0">
            <w:fldChar w:fldCharType="end"/>
          </w:r>
        </w:sdtContent>
      </w:sdt>
      <w:r w:rsidRPr="001B3BA0">
        <w:t>. This framework is based on the idea that “</w:t>
      </w:r>
      <w:r>
        <w:t>e</w:t>
      </w:r>
      <w:r w:rsidRPr="001B3BA0">
        <w:t>arly interventions involve taking a multi-agency approach to give extra support and guidance to young offenders</w:t>
      </w:r>
      <w:r>
        <w:t xml:space="preserve">” </w:t>
      </w:r>
      <w:sdt>
        <w:sdtPr>
          <w:id w:val="616647718"/>
          <w:citation/>
        </w:sdtPr>
        <w:sdtEndPr/>
        <w:sdtContent>
          <w:r>
            <w:fldChar w:fldCharType="begin"/>
          </w:r>
          <w:r>
            <w:instrText xml:space="preserve"> CITATION Kar21 \l 2057 </w:instrText>
          </w:r>
          <w:r>
            <w:fldChar w:fldCharType="separate"/>
          </w:r>
          <w:r>
            <w:rPr>
              <w:noProof/>
            </w:rPr>
            <w:t>(Thompson, 2021)</w:t>
          </w:r>
          <w:r>
            <w:fldChar w:fldCharType="end"/>
          </w:r>
        </w:sdtContent>
      </w:sdt>
      <w:r>
        <w:t>. This involves m</w:t>
      </w:r>
      <w:r w:rsidR="00426D14">
        <w:t>ulti-agency</w:t>
      </w:r>
      <w:r>
        <w:t xml:space="preserve"> partners such as the </w:t>
      </w:r>
      <w:r w:rsidRPr="001B3BA0">
        <w:t xml:space="preserve">police, social services, education, employment, and health services working together to offer young people extra support and guidance to </w:t>
      </w:r>
      <w:r>
        <w:t>“</w:t>
      </w:r>
      <w:r w:rsidRPr="001B3BA0">
        <w:t xml:space="preserve">steer’ them away from crime” </w:t>
      </w:r>
      <w:sdt>
        <w:sdtPr>
          <w:id w:val="30851946"/>
          <w:citation/>
        </w:sdtPr>
        <w:sdtEndPr/>
        <w:sdtContent>
          <w:r w:rsidRPr="001B3BA0">
            <w:fldChar w:fldCharType="begin"/>
          </w:r>
          <w:r w:rsidRPr="001B3BA0">
            <w:instrText xml:space="preserve"> CITATION Kar21 \l 2057 </w:instrText>
          </w:r>
          <w:r w:rsidRPr="001B3BA0">
            <w:fldChar w:fldCharType="separate"/>
          </w:r>
          <w:r>
            <w:rPr>
              <w:noProof/>
            </w:rPr>
            <w:t>(Thompson, 2021)</w:t>
          </w:r>
          <w:r w:rsidRPr="001B3BA0">
            <w:fldChar w:fldCharType="end"/>
          </w:r>
        </w:sdtContent>
      </w:sdt>
      <w:r w:rsidRPr="001B3BA0">
        <w:t>. It is assumed that the preferred methods of preventing young people from offending or re-offending can be found in “</w:t>
      </w:r>
      <w:r>
        <w:t>p</w:t>
      </w:r>
      <w:r w:rsidRPr="001B3BA0">
        <w:t xml:space="preserve">olice-led diversions schemes, using cautions, restorative actions, and referrals to other services to avoid arrest” </w:t>
      </w:r>
      <w:sdt>
        <w:sdtPr>
          <w:id w:val="-1301375423"/>
          <w:citation/>
        </w:sdtPr>
        <w:sdtEndPr/>
        <w:sdtContent>
          <w:r w:rsidRPr="001B3BA0">
            <w:fldChar w:fldCharType="begin"/>
          </w:r>
          <w:r w:rsidRPr="001B3BA0">
            <w:instrText xml:space="preserve"> CITATION Wil18 \l 2057 </w:instrText>
          </w:r>
          <w:r w:rsidRPr="001B3BA0">
            <w:fldChar w:fldCharType="separate"/>
          </w:r>
          <w:r>
            <w:rPr>
              <w:noProof/>
            </w:rPr>
            <w:t>(Wilson, 2018)</w:t>
          </w:r>
          <w:r w:rsidRPr="001B3BA0">
            <w:fldChar w:fldCharType="end"/>
          </w:r>
        </w:sdtContent>
      </w:sdt>
      <w:r>
        <w:t xml:space="preserve">. This essay will primarily discuss the above </w:t>
      </w:r>
      <w:r w:rsidR="00BB111B">
        <w:t>and</w:t>
      </w:r>
      <w:r>
        <w:t xml:space="preserve"> the mandatory age of criminal responsibility in the UK which will be shown to be ‘</w:t>
      </w:r>
      <w:r w:rsidRPr="001B3BA0">
        <w:t>criminogenic</w:t>
      </w:r>
      <w:r>
        <w:t>’</w:t>
      </w:r>
      <w:r w:rsidRPr="001B3BA0">
        <w:t xml:space="preserve">, </w:t>
      </w:r>
      <w:r w:rsidR="00426D14">
        <w:t xml:space="preserve">causing more children to be exposed </w:t>
      </w:r>
      <w:r w:rsidRPr="001B3BA0">
        <w:t>to the Criminal Justice System (CJS) and potentially increasing the risk of reoffending.</w:t>
      </w:r>
    </w:p>
    <w:p w14:paraId="4A177BAE" w14:textId="726F6CA1" w:rsidR="00953EDC" w:rsidRDefault="00953EDC" w:rsidP="00953EDC">
      <w:r w:rsidRPr="001B3BA0">
        <w:t xml:space="preserve">The Governments approach is </w:t>
      </w:r>
      <w:r>
        <w:t>established</w:t>
      </w:r>
      <w:r w:rsidRPr="001B3BA0">
        <w:t xml:space="preserve"> in the Crime and Disorder Act 1998 which created non-departmental public bodies such as the Youth Justice Board (YJB) and Youth Offending Teams (YOT). These entities exist with the primary function to reduce the number of young people admitted </w:t>
      </w:r>
      <w:r>
        <w:t>to</w:t>
      </w:r>
      <w:r w:rsidRPr="001B3BA0">
        <w:t xml:space="preserve"> the C</w:t>
      </w:r>
      <w:r>
        <w:t xml:space="preserve">JS and “prevent offending by children and young people” </w:t>
      </w:r>
      <w:sdt>
        <w:sdtPr>
          <w:id w:val="-1158917588"/>
          <w:citation/>
        </w:sdtPr>
        <w:sdtEndPr/>
        <w:sdtContent>
          <w:r>
            <w:fldChar w:fldCharType="begin"/>
          </w:r>
          <w:r>
            <w:instrText xml:space="preserve">CITATION Boa15 \t  \l 2057 </w:instrText>
          </w:r>
          <w:r>
            <w:fldChar w:fldCharType="separate"/>
          </w:r>
          <w:r>
            <w:rPr>
              <w:noProof/>
            </w:rPr>
            <w:t>(YJB, 2015)</w:t>
          </w:r>
          <w:r>
            <w:fldChar w:fldCharType="end"/>
          </w:r>
        </w:sdtContent>
      </w:sdt>
      <w:r w:rsidRPr="001B3BA0">
        <w:t xml:space="preserve">. </w:t>
      </w:r>
      <w:r w:rsidR="00821CA4">
        <w:t>D</w:t>
      </w:r>
      <w:r>
        <w:t>evolution</w:t>
      </w:r>
      <w:r w:rsidR="00821CA4">
        <w:t xml:space="preserve"> can be shown to take precedence </w:t>
      </w:r>
      <w:r>
        <w:t xml:space="preserve">in </w:t>
      </w:r>
      <w:r w:rsidR="005C3C97">
        <w:t>a way</w:t>
      </w:r>
      <w:r>
        <w:t xml:space="preserve"> that power is seen to be transferred from national government to YOT’s, supporting the overarching aim of “multi-agency partnerships that deliver youth justice services locally” </w:t>
      </w:r>
      <w:sdt>
        <w:sdtPr>
          <w:id w:val="-611749559"/>
          <w:citation/>
        </w:sdtPr>
        <w:sdtEndPr/>
        <w:sdtContent>
          <w:r>
            <w:fldChar w:fldCharType="begin"/>
          </w:r>
          <w:r>
            <w:instrText xml:space="preserve">CITATION Boa15 \t  \l 2057 </w:instrText>
          </w:r>
          <w:r>
            <w:fldChar w:fldCharType="separate"/>
          </w:r>
          <w:r>
            <w:rPr>
              <w:noProof/>
            </w:rPr>
            <w:t>(YJB, 2015)</w:t>
          </w:r>
          <w:r>
            <w:fldChar w:fldCharType="end"/>
          </w:r>
        </w:sdtContent>
      </w:sdt>
      <w:r>
        <w:t xml:space="preserve">. This transfer of power from national to local government “ensures that decisions are made closer to the local people, communities and businesses they affect” </w:t>
      </w:r>
      <w:sdt>
        <w:sdtPr>
          <w:id w:val="-106051342"/>
          <w:citation/>
        </w:sdtPr>
        <w:sdtEndPr/>
        <w:sdtContent>
          <w:r>
            <w:fldChar w:fldCharType="begin"/>
          </w:r>
          <w:r>
            <w:instrText xml:space="preserve"> CITATION LGA24 \l 2057 </w:instrText>
          </w:r>
          <w:r>
            <w:fldChar w:fldCharType="separate"/>
          </w:r>
          <w:r>
            <w:rPr>
              <w:noProof/>
            </w:rPr>
            <w:t>(LGA, 2024)</w:t>
          </w:r>
          <w:r>
            <w:fldChar w:fldCharType="end"/>
          </w:r>
        </w:sdtContent>
      </w:sdt>
      <w:r>
        <w:t xml:space="preserve">. This provides greater flexibility and freedom at a local level, resulting in “better targeted public services, greater growth and stronger partnerships between public, private and community leaders in local areas” </w:t>
      </w:r>
      <w:sdt>
        <w:sdtPr>
          <w:id w:val="-1969877813"/>
          <w:citation/>
        </w:sdtPr>
        <w:sdtEndPr/>
        <w:sdtContent>
          <w:r>
            <w:fldChar w:fldCharType="begin"/>
          </w:r>
          <w:r>
            <w:instrText xml:space="preserve"> CITATION LGA24 \l 2057 </w:instrText>
          </w:r>
          <w:r>
            <w:fldChar w:fldCharType="separate"/>
          </w:r>
          <w:r>
            <w:rPr>
              <w:noProof/>
            </w:rPr>
            <w:t>(LGA, 2024)</w:t>
          </w:r>
          <w:r>
            <w:fldChar w:fldCharType="end"/>
          </w:r>
        </w:sdtContent>
      </w:sdt>
      <w:r>
        <w:t xml:space="preserve">. However, it is important that the public ensures that the government is accountable for any services it is ultimately entrusted to provide </w:t>
      </w:r>
      <w:r w:rsidR="005812C3">
        <w:t>to</w:t>
      </w:r>
      <w:r>
        <w:t xml:space="preserve"> preven</w:t>
      </w:r>
      <w:r w:rsidR="00821CA4">
        <w:t>t</w:t>
      </w:r>
      <w:r>
        <w:t xml:space="preserve"> young people from </w:t>
      </w:r>
      <w:r w:rsidR="005812C3">
        <w:t>offending and re-offending</w:t>
      </w:r>
      <w:r>
        <w:t>.</w:t>
      </w:r>
    </w:p>
    <w:p w14:paraId="01F0A160" w14:textId="77777777" w:rsidR="00953EDC" w:rsidRDefault="00953EDC" w:rsidP="00953EDC">
      <w:r>
        <w:t xml:space="preserve">A multi-agency approach is important as several risk factors increase the probability of young people offending and in turn, necessitating an interaction with the criminal justice system. This interaction can </w:t>
      </w:r>
      <w:r w:rsidRPr="001F27BA">
        <w:t xml:space="preserve">lead to </w:t>
      </w:r>
      <w:r>
        <w:t>“</w:t>
      </w:r>
      <w:r w:rsidRPr="001F27BA">
        <w:t>negative cycles of criminality</w:t>
      </w:r>
      <w:r>
        <w:t xml:space="preserve">” </w:t>
      </w:r>
      <w:sdt>
        <w:sdtPr>
          <w:id w:val="-775014055"/>
          <w:citation/>
        </w:sdtPr>
        <w:sdtEndPr/>
        <w:sdtContent>
          <w:r>
            <w:fldChar w:fldCharType="begin"/>
          </w:r>
          <w:r>
            <w:instrText xml:space="preserve"> CITATION Sta22 \l 2057 </w:instrText>
          </w:r>
          <w:r>
            <w:fldChar w:fldCharType="separate"/>
          </w:r>
          <w:r>
            <w:rPr>
              <w:noProof/>
            </w:rPr>
            <w:t>(Staines, 2022)</w:t>
          </w:r>
          <w:r>
            <w:fldChar w:fldCharType="end"/>
          </w:r>
        </w:sdtContent>
      </w:sdt>
      <w:r w:rsidRPr="001F27BA">
        <w:t xml:space="preserve">. </w:t>
      </w:r>
      <w:r>
        <w:t>This is because “a</w:t>
      </w:r>
      <w:r w:rsidRPr="001F27BA">
        <w:t xml:space="preserve"> criminal label can lead to stigma, discrimination and differential treatment, including by schools, the police and the judiciary, increasing the likelihood of offending again</w:t>
      </w:r>
      <w:r>
        <w:t xml:space="preserve">” </w:t>
      </w:r>
      <w:sdt>
        <w:sdtPr>
          <w:id w:val="-70500307"/>
          <w:citation/>
        </w:sdtPr>
        <w:sdtEndPr/>
        <w:sdtContent>
          <w:r>
            <w:fldChar w:fldCharType="begin"/>
          </w:r>
          <w:r>
            <w:instrText xml:space="preserve"> CITATION HMI21 \l 2057 </w:instrText>
          </w:r>
          <w:r>
            <w:fldChar w:fldCharType="separate"/>
          </w:r>
          <w:r>
            <w:rPr>
              <w:noProof/>
            </w:rPr>
            <w:t>(Probation, 2021)</w:t>
          </w:r>
          <w:r>
            <w:fldChar w:fldCharType="end"/>
          </w:r>
        </w:sdtContent>
      </w:sdt>
      <w:r w:rsidRPr="001F27BA">
        <w:t>.</w:t>
      </w:r>
      <w:r>
        <w:t xml:space="preserve"> Indeed, school exclusion is seen as last resort as those children who are excluded from school has been shown to be a “risk factor that leads to later criminal involvement” </w:t>
      </w:r>
      <w:sdt>
        <w:sdtPr>
          <w:id w:val="-267156324"/>
          <w:citation/>
        </w:sdtPr>
        <w:sdtEndPr/>
        <w:sdtContent>
          <w:r>
            <w:fldChar w:fldCharType="begin"/>
          </w:r>
          <w:r>
            <w:instrText xml:space="preserve"> CITATION Sta22 \l 2057 </w:instrText>
          </w:r>
          <w:r>
            <w:fldChar w:fldCharType="separate"/>
          </w:r>
          <w:r>
            <w:rPr>
              <w:noProof/>
            </w:rPr>
            <w:t>(Staines, 2022)</w:t>
          </w:r>
          <w:r>
            <w:fldChar w:fldCharType="end"/>
          </w:r>
        </w:sdtContent>
      </w:sdt>
      <w:r>
        <w:t>. Other risk factors can include individual risk factors, such as behavioural difficulties, family associated risk factors, such as emotional or physical neglect or a history of household offending/violence. Risk factors can also be found further afield such as those found in the community which may determine the likelihood of offending such as deprivation, poor housing, high crime rate, unemployment, poor social mobility, and unsafe areas including gang violence.</w:t>
      </w:r>
    </w:p>
    <w:p w14:paraId="6EBAE5AD" w14:textId="77777777" w:rsidR="00BB111B" w:rsidRDefault="00953EDC" w:rsidP="00953EDC">
      <w:r>
        <w:t xml:space="preserve">These risk factors can better be summarised by the term ACE, “Adverse Childhood Experiences” </w:t>
      </w:r>
      <w:sdt>
        <w:sdtPr>
          <w:id w:val="1077404521"/>
          <w:citation/>
        </w:sdtPr>
        <w:sdtEndPr/>
        <w:sdtContent>
          <w:r>
            <w:fldChar w:fldCharType="begin"/>
          </w:r>
          <w:r>
            <w:instrText xml:space="preserve">CITATION DrK20 \t  \l 2057 </w:instrText>
          </w:r>
          <w:r>
            <w:fldChar w:fldCharType="separate"/>
          </w:r>
          <w:r>
            <w:rPr>
              <w:noProof/>
            </w:rPr>
            <w:t>(Scott, 2020)</w:t>
          </w:r>
          <w:r>
            <w:fldChar w:fldCharType="end"/>
          </w:r>
        </w:sdtContent>
      </w:sdt>
      <w:r>
        <w:t xml:space="preserve">. </w:t>
      </w:r>
      <w:r w:rsidR="00821CA4">
        <w:t>ACEs</w:t>
      </w:r>
      <w:r>
        <w:t xml:space="preserve"> are prevalent in the UK with studies conducted showing that, “at least 50% of adults in the UK experience one ACE” </w:t>
      </w:r>
      <w:sdt>
        <w:sdtPr>
          <w:id w:val="1036396501"/>
          <w:citation/>
        </w:sdtPr>
        <w:sdtEndPr/>
        <w:sdtContent>
          <w:r>
            <w:fldChar w:fldCharType="begin"/>
          </w:r>
          <w:r>
            <w:instrText xml:space="preserve"> CITATION DrK20 \l 2057 </w:instrText>
          </w:r>
          <w:r>
            <w:fldChar w:fldCharType="separate"/>
          </w:r>
          <w:r>
            <w:rPr>
              <w:noProof/>
            </w:rPr>
            <w:t>(Scott, 2020)</w:t>
          </w:r>
          <w:r>
            <w:fldChar w:fldCharType="end"/>
          </w:r>
        </w:sdtContent>
      </w:sdt>
      <w:r>
        <w:t xml:space="preserve">. Although living with one ACE is not necessarily problematic and a pre-requisite for interacting with the criminal justice system, evidence exists that those persons living with four or more ACE’s, which equates to 13% of the UK population, the “likelihood of incarceration rises to 20% more than those not suffering from ACE’s” </w:t>
      </w:r>
      <w:sdt>
        <w:sdtPr>
          <w:id w:val="1699504961"/>
          <w:citation/>
        </w:sdtPr>
        <w:sdtEndPr/>
        <w:sdtContent>
          <w:r>
            <w:fldChar w:fldCharType="begin"/>
          </w:r>
          <w:r>
            <w:instrText xml:space="preserve"> CITATION DiL19 \l 2057 </w:instrText>
          </w:r>
          <w:r>
            <w:fldChar w:fldCharType="separate"/>
          </w:r>
          <w:r>
            <w:rPr>
              <w:noProof/>
            </w:rPr>
            <w:t>(Di Lemma L, 2019)</w:t>
          </w:r>
          <w:r>
            <w:fldChar w:fldCharType="end"/>
          </w:r>
        </w:sdtContent>
      </w:sdt>
      <w:r>
        <w:t xml:space="preserve">. </w:t>
      </w:r>
    </w:p>
    <w:p w14:paraId="076B8737" w14:textId="5E80D94D" w:rsidR="00953EDC" w:rsidRDefault="00953EDC" w:rsidP="00953EDC">
      <w:r>
        <w:t xml:space="preserve">The risk factors described above may go some way to understanding why children and young people are attracted to criminality, as they have been shown to have a considerable disadvantage in their upbring. This is likely to be </w:t>
      </w:r>
      <w:r w:rsidR="00BB111B">
        <w:t xml:space="preserve">worsened </w:t>
      </w:r>
      <w:r>
        <w:t>by entering the CJS which has led some academics to question “</w:t>
      </w:r>
      <w:r w:rsidRPr="002344B3">
        <w:t>whether a criminal response is appropriate for children who are or have been abused</w:t>
      </w:r>
      <w:r>
        <w:t>”</w:t>
      </w:r>
      <w:r w:rsidRPr="002344B3">
        <w:t xml:space="preserve"> </w:t>
      </w:r>
      <w:sdt>
        <w:sdtPr>
          <w:id w:val="646405076"/>
          <w:citation/>
        </w:sdtPr>
        <w:sdtEndPr/>
        <w:sdtContent>
          <w:r w:rsidRPr="002344B3">
            <w:fldChar w:fldCharType="begin"/>
          </w:r>
          <w:r w:rsidRPr="002344B3">
            <w:instrText xml:space="preserve"> CITATION Sta22 \l 2057 </w:instrText>
          </w:r>
          <w:r w:rsidRPr="002344B3">
            <w:fldChar w:fldCharType="separate"/>
          </w:r>
          <w:r>
            <w:rPr>
              <w:noProof/>
            </w:rPr>
            <w:t>(Staines, 2022)</w:t>
          </w:r>
          <w:r w:rsidRPr="002344B3">
            <w:fldChar w:fldCharType="end"/>
          </w:r>
        </w:sdtContent>
      </w:sdt>
      <w:r>
        <w:t xml:space="preserve">. A failure to recognise the wider reasons why children are becoming involved in criminality will only result in more admissions to the CJS and create a bigger burden on the government and wider society. This will only add to the predicted economic and social costs of reoffending to the UK Government which is currently placed at “£18 billion per year” </w:t>
      </w:r>
      <w:sdt>
        <w:sdtPr>
          <w:id w:val="130221706"/>
          <w:citation/>
        </w:sdtPr>
        <w:sdtEndPr/>
        <w:sdtContent>
          <w:r>
            <w:fldChar w:fldCharType="begin"/>
          </w:r>
          <w:r>
            <w:instrText xml:space="preserve"> CITATION UKP22 \l 2057 </w:instrText>
          </w:r>
          <w:r>
            <w:fldChar w:fldCharType="separate"/>
          </w:r>
          <w:r>
            <w:rPr>
              <w:noProof/>
            </w:rPr>
            <w:t>(Parliment, 2022)</w:t>
          </w:r>
          <w:r>
            <w:fldChar w:fldCharType="end"/>
          </w:r>
        </w:sdtContent>
      </w:sdt>
      <w:r>
        <w:t xml:space="preserve">. This is why a multi-agency approach combining health, education, social services, local government, and police is essential in recognising those at risk of offending. </w:t>
      </w:r>
      <w:r w:rsidR="00EC36DE">
        <w:t xml:space="preserve">It is hoped that this will </w:t>
      </w:r>
      <w:r w:rsidRPr="002344B3">
        <w:t xml:space="preserve">address </w:t>
      </w:r>
      <w:r w:rsidR="00EC36DE">
        <w:t xml:space="preserve">the </w:t>
      </w:r>
      <w:r>
        <w:t>“</w:t>
      </w:r>
      <w:r w:rsidRPr="002344B3">
        <w:t>wider social and economic conditions and inequalities and support the funding and implementation of intervention programmes</w:t>
      </w:r>
      <w:r>
        <w:t xml:space="preserve">” </w:t>
      </w:r>
      <w:sdt>
        <w:sdtPr>
          <w:id w:val="-1463957566"/>
          <w:citation/>
        </w:sdtPr>
        <w:sdtEndPr/>
        <w:sdtContent>
          <w:r>
            <w:fldChar w:fldCharType="begin"/>
          </w:r>
          <w:r>
            <w:instrText xml:space="preserve"> CITATION DrK20 \l 2057 </w:instrText>
          </w:r>
          <w:r>
            <w:fldChar w:fldCharType="separate"/>
          </w:r>
          <w:r>
            <w:rPr>
              <w:noProof/>
            </w:rPr>
            <w:t>(Scott, 2020)</w:t>
          </w:r>
          <w:r>
            <w:fldChar w:fldCharType="end"/>
          </w:r>
        </w:sdtContent>
      </w:sdt>
      <w:r>
        <w:t>.</w:t>
      </w:r>
    </w:p>
    <w:p w14:paraId="6DF5426C" w14:textId="0A25F120" w:rsidR="00953EDC" w:rsidRDefault="00953EDC" w:rsidP="00953EDC">
      <w:r>
        <w:t xml:space="preserve">One such intervention is the Scared Straight programme. This programme sought to introduce young persons to the prison experience by arranging organised visits to prison facilities, where inmates would share graphic stories about their experience with juveniles in the hope that it would deter them from offending. This case study was </w:t>
      </w:r>
      <w:r w:rsidRPr="00EC7575">
        <w:t xml:space="preserve">based on </w:t>
      </w:r>
      <w:r>
        <w:t>“</w:t>
      </w:r>
      <w:r w:rsidRPr="00EC7575">
        <w:t>deterrence theory</w:t>
      </w:r>
      <w:r>
        <w:t xml:space="preserve">” </w:t>
      </w:r>
      <w:sdt>
        <w:sdtPr>
          <w:id w:val="1754314282"/>
          <w:citation/>
        </w:sdtPr>
        <w:sdtEndPr/>
        <w:sdtContent>
          <w:r>
            <w:fldChar w:fldCharType="begin"/>
          </w:r>
          <w:r>
            <w:instrText xml:space="preserve"> CITATION Dan19 \l 2057 </w:instrText>
          </w:r>
          <w:r>
            <w:fldChar w:fldCharType="separate"/>
          </w:r>
          <w:r>
            <w:rPr>
              <w:noProof/>
            </w:rPr>
            <w:t>(Nagin, 2019)</w:t>
          </w:r>
          <w:r>
            <w:fldChar w:fldCharType="end"/>
          </w:r>
        </w:sdtContent>
      </w:sdt>
      <w:r>
        <w:t xml:space="preserve"> and followed the hypothesis that exposure to the criminal justice system would give participants “</w:t>
      </w:r>
      <w:r w:rsidRPr="00EC7575">
        <w:t>realistic depictions of life in prison and access to offenders’ experiences</w:t>
      </w:r>
      <w:r>
        <w:t xml:space="preserve">” </w:t>
      </w:r>
      <w:sdt>
        <w:sdtPr>
          <w:id w:val="-302323004"/>
          <w:citation/>
        </w:sdtPr>
        <w:sdtEndPr/>
        <w:sdtContent>
          <w:r>
            <w:fldChar w:fldCharType="begin"/>
          </w:r>
          <w:r>
            <w:instrText xml:space="preserve"> CITATION Col15 \l 2057 </w:instrText>
          </w:r>
          <w:r>
            <w:fldChar w:fldCharType="separate"/>
          </w:r>
          <w:r>
            <w:rPr>
              <w:noProof/>
            </w:rPr>
            <w:t>(Policing, 2015)</w:t>
          </w:r>
          <w:r>
            <w:fldChar w:fldCharType="end"/>
          </w:r>
        </w:sdtContent>
      </w:sdt>
      <w:r w:rsidRPr="00EC7575">
        <w:t>.</w:t>
      </w:r>
      <w:r>
        <w:t xml:space="preserve"> This graphic example backfired and </w:t>
      </w:r>
      <w:r w:rsidR="00821CA4">
        <w:t>instead</w:t>
      </w:r>
      <w:r>
        <w:t xml:space="preserve"> increase</w:t>
      </w:r>
      <w:r w:rsidR="00821CA4">
        <w:t>d</w:t>
      </w:r>
      <w:r>
        <w:t xml:space="preserve"> the offending rate of participants and their involvement in crime. One study calculated that the rate of reoffending increased by 68% among participants </w:t>
      </w:r>
      <w:sdt>
        <w:sdtPr>
          <w:id w:val="320464094"/>
          <w:citation/>
        </w:sdtPr>
        <w:sdtEndPr/>
        <w:sdtContent>
          <w:r>
            <w:fldChar w:fldCharType="begin"/>
          </w:r>
          <w:r>
            <w:instrText xml:space="preserve">CITATION Ant13 \l 2057 </w:instrText>
          </w:r>
          <w:r>
            <w:fldChar w:fldCharType="separate"/>
          </w:r>
          <w:r>
            <w:rPr>
              <w:noProof/>
            </w:rPr>
            <w:t>(A. Petrosino, 2013)</w:t>
          </w:r>
          <w:r>
            <w:fldChar w:fldCharType="end"/>
          </w:r>
        </w:sdtContent>
      </w:sdt>
      <w:r>
        <w:t xml:space="preserve">. </w:t>
      </w:r>
      <w:r w:rsidR="005C3C97">
        <w:t>T</w:t>
      </w:r>
      <w:r>
        <w:t>his dramatic case study proved that fear arousal tactics do not have a positive impact in reducing reoffending</w:t>
      </w:r>
      <w:r w:rsidR="00EC36DE">
        <w:t xml:space="preserve">. </w:t>
      </w:r>
      <w:r>
        <w:t>This has prompted the creation of Youth Offending Teams and put pressure to create a better model of partnership working to dissuade young people from offending and reoffending through early intervention methods.</w:t>
      </w:r>
      <w:bookmarkStart w:id="1" w:name="_Hlk174885277"/>
    </w:p>
    <w:p w14:paraId="05672AD8" w14:textId="7FEDD60E" w:rsidR="00BB111B" w:rsidRDefault="00BB111B" w:rsidP="00953EDC">
      <w:r>
        <w:t xml:space="preserve">In summary, understanding the reasons why children become involved in criminality, whether that be a disproportionate </w:t>
      </w:r>
      <w:r w:rsidR="00EC36DE">
        <w:t>number of ACE’s or other risk factors discussed here, will go some way to understand how Youth Offending Teams and the Government are able to break the cycle. Scaring children or using deterrence theories as to what the worst-case scenario will be if their behaviour continues will clearly not work and may prove counterproductive to the main goal of preventing reoffending. A multi-agency approach based on comparative case studies from different agencies and involving various stakeholders is more likely to ensure that the sole vested interest, which is to keep children away from criminality is more likely to succeed.</w:t>
      </w:r>
    </w:p>
    <w:p w14:paraId="26E7CF9A" w14:textId="0A74472B" w:rsidR="00953EDC" w:rsidRPr="00EC36DE" w:rsidRDefault="00EC36DE" w:rsidP="00953EDC">
      <w:pPr>
        <w:rPr>
          <w:b/>
          <w:bCs/>
        </w:rPr>
      </w:pPr>
      <w:r w:rsidRPr="00EC36DE">
        <w:rPr>
          <w:b/>
          <w:bCs/>
        </w:rPr>
        <w:t>Word Count:</w:t>
      </w:r>
      <w:r w:rsidRPr="00EC36DE">
        <w:rPr>
          <w:b/>
          <w:bCs/>
          <w:i/>
          <w:iCs/>
        </w:rPr>
        <w:t xml:space="preserve"> 1081</w:t>
      </w:r>
    </w:p>
    <w:p w14:paraId="6BA2630E" w14:textId="77777777" w:rsidR="00953EDC" w:rsidRDefault="00953EDC" w:rsidP="00953EDC">
      <w:pPr>
        <w:rPr>
          <w:b/>
          <w:bCs/>
        </w:rPr>
      </w:pPr>
    </w:p>
    <w:bookmarkEnd w:id="1"/>
    <w:p w14:paraId="71CFBB14" w14:textId="77777777" w:rsidR="00953EDC" w:rsidRPr="00121DA7" w:rsidRDefault="00953EDC" w:rsidP="00953EDC">
      <w:pPr>
        <w:rPr>
          <w:b/>
          <w:bCs/>
        </w:rPr>
      </w:pPr>
    </w:p>
    <w:sdt>
      <w:sdtPr>
        <w:rPr>
          <w:rFonts w:asciiTheme="minorHAnsi" w:eastAsiaTheme="minorHAnsi" w:hAnsiTheme="minorHAnsi" w:cstheme="minorBidi"/>
          <w:color w:val="auto"/>
          <w:sz w:val="22"/>
          <w:szCs w:val="22"/>
        </w:rPr>
        <w:id w:val="1753704219"/>
        <w:docPartObj>
          <w:docPartGallery w:val="Bibliographies"/>
          <w:docPartUnique/>
        </w:docPartObj>
      </w:sdtPr>
      <w:sdtEndPr/>
      <w:sdtContent>
        <w:p w14:paraId="4948E926" w14:textId="77777777" w:rsidR="00953EDC" w:rsidRDefault="00953EDC" w:rsidP="00953EDC">
          <w:pPr>
            <w:pStyle w:val="Heading1"/>
          </w:pPr>
          <w:r>
            <w:t>Bibliography</w:t>
          </w:r>
        </w:p>
        <w:sdt>
          <w:sdtPr>
            <w:id w:val="1250625232"/>
            <w:bibliography/>
          </w:sdtPr>
          <w:sdtEndPr/>
          <w:sdtContent>
            <w:p w14:paraId="0D252C73" w14:textId="77777777" w:rsidR="00953EDC" w:rsidRDefault="00953EDC" w:rsidP="00953EDC">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Anthony Petrosino, C. T.-P.-P. (2013). Scared Straight and Other Juvenile Awareness Programs for Preventing Juvenile Delinquency: A Systematic Review. </w:t>
              </w:r>
              <w:r>
                <w:rPr>
                  <w:i/>
                  <w:iCs/>
                  <w:noProof/>
                  <w:lang w:val="en-US"/>
                </w:rPr>
                <w:t>Cochrane Database of Systematic Reviews 2013, Issue 4.</w:t>
              </w:r>
              <w:r>
                <w:rPr>
                  <w:noProof/>
                  <w:lang w:val="en-US"/>
                </w:rPr>
                <w:t xml:space="preserve"> </w:t>
              </w:r>
            </w:p>
            <w:p w14:paraId="662702DA" w14:textId="77777777" w:rsidR="00953EDC" w:rsidRDefault="00953EDC" w:rsidP="00953EDC">
              <w:pPr>
                <w:pStyle w:val="Bibliography"/>
                <w:ind w:left="720" w:hanging="720"/>
                <w:rPr>
                  <w:noProof/>
                  <w:lang w:val="en-US"/>
                </w:rPr>
              </w:pPr>
              <w:r>
                <w:rPr>
                  <w:noProof/>
                  <w:lang w:val="en-US"/>
                </w:rPr>
                <w:t xml:space="preserve">Di Lemma L, D. A. (2019). </w:t>
              </w:r>
              <w:r>
                <w:rPr>
                  <w:i/>
                  <w:iCs/>
                  <w:noProof/>
                  <w:lang w:val="en-US"/>
                </w:rPr>
                <w:t>Responding to adverse childhood experiences.</w:t>
              </w:r>
              <w:r>
                <w:rPr>
                  <w:noProof/>
                  <w:lang w:val="en-US"/>
                </w:rPr>
                <w:t xml:space="preserve"> Retrieved from University of Bangor: https://research.bangor.ac.uk/portal/en/researchoutputs/responding-to-adverse-childhood-experiences(302c9332-ce77-4cf5-be5b-11624c987768)/export.html</w:t>
              </w:r>
            </w:p>
            <w:p w14:paraId="01A5658D" w14:textId="77777777" w:rsidR="00953EDC" w:rsidRDefault="00953EDC" w:rsidP="00953EDC">
              <w:pPr>
                <w:pStyle w:val="Bibliography"/>
                <w:ind w:left="720" w:hanging="720"/>
                <w:rPr>
                  <w:noProof/>
                  <w:lang w:val="en-US"/>
                </w:rPr>
              </w:pPr>
              <w:r>
                <w:rPr>
                  <w:noProof/>
                  <w:lang w:val="en-US"/>
                </w:rPr>
                <w:t xml:space="preserve">England, P. H. (2019, August 14). </w:t>
              </w:r>
              <w:r>
                <w:rPr>
                  <w:i/>
                  <w:iCs/>
                  <w:noProof/>
                  <w:lang w:val="en-US"/>
                </w:rPr>
                <w:t>Collaborative approaches to preventing offending and re-offending by children (CAPRICORN)</w:t>
              </w:r>
              <w:r>
                <w:rPr>
                  <w:noProof/>
                  <w:lang w:val="en-US"/>
                </w:rPr>
                <w:t>. Retrieved from Gov.UK: https://www.gov.uk/government/publications/preventing-offending-and-re-offending-by-children/collaborative-approaches-to-preventing-offending-and-re-offending-by-children-capricorn-summary</w:t>
              </w:r>
            </w:p>
            <w:p w14:paraId="41358B78" w14:textId="77777777" w:rsidR="00953EDC" w:rsidRDefault="00953EDC" w:rsidP="00953EDC">
              <w:pPr>
                <w:pStyle w:val="Bibliography"/>
                <w:ind w:left="720" w:hanging="720"/>
                <w:rPr>
                  <w:noProof/>
                  <w:lang w:val="en-US"/>
                </w:rPr>
              </w:pPr>
              <w:r>
                <w:rPr>
                  <w:noProof/>
                  <w:lang w:val="en-US"/>
                </w:rPr>
                <w:t xml:space="preserve">LGA. (2024). </w:t>
              </w:r>
              <w:r>
                <w:rPr>
                  <w:i/>
                  <w:iCs/>
                  <w:noProof/>
                  <w:lang w:val="en-US"/>
                </w:rPr>
                <w:t>Devolution explained</w:t>
              </w:r>
              <w:r>
                <w:rPr>
                  <w:noProof/>
                  <w:lang w:val="en-US"/>
                </w:rPr>
                <w:t>. Retrieved from Local Government Association: https://www.local.gov.uk/topics/devolution/devolution-hub/devolution-explained</w:t>
              </w:r>
            </w:p>
            <w:p w14:paraId="3E344BBE" w14:textId="77777777" w:rsidR="00953EDC" w:rsidRDefault="00953EDC" w:rsidP="00953EDC">
              <w:pPr>
                <w:pStyle w:val="Bibliography"/>
                <w:ind w:left="720" w:hanging="720"/>
                <w:rPr>
                  <w:noProof/>
                  <w:lang w:val="en-US"/>
                </w:rPr>
              </w:pPr>
              <w:r>
                <w:rPr>
                  <w:noProof/>
                  <w:lang w:val="en-US"/>
                </w:rPr>
                <w:t xml:space="preserve">Nagin, D. S. (2019). </w:t>
              </w:r>
              <w:r>
                <w:rPr>
                  <w:i/>
                  <w:iCs/>
                  <w:noProof/>
                  <w:lang w:val="en-US"/>
                </w:rPr>
                <w:t>Deterrance in the Twenty-First Century.</w:t>
              </w:r>
              <w:r>
                <w:rPr>
                  <w:noProof/>
                  <w:lang w:val="en-US"/>
                </w:rPr>
                <w:t xml:space="preserve"> Retrieved from University of Chicago Press Journals - Volume 42: https://www.journals.uchicago.edu/doi/abs/10.1086/670398</w:t>
              </w:r>
            </w:p>
            <w:p w14:paraId="774A9275" w14:textId="77777777" w:rsidR="00953EDC" w:rsidRDefault="00953EDC" w:rsidP="00953EDC">
              <w:pPr>
                <w:pStyle w:val="Bibliography"/>
                <w:ind w:left="720" w:hanging="720"/>
                <w:rPr>
                  <w:noProof/>
                  <w:lang w:val="en-US"/>
                </w:rPr>
              </w:pPr>
              <w:r>
                <w:rPr>
                  <w:noProof/>
                  <w:lang w:val="en-US"/>
                </w:rPr>
                <w:t xml:space="preserve">Policing, C. o. (2015, February 19). </w:t>
              </w:r>
              <w:r>
                <w:rPr>
                  <w:i/>
                  <w:iCs/>
                  <w:noProof/>
                  <w:lang w:val="en-US"/>
                </w:rPr>
                <w:t>Scared Straight programmes</w:t>
              </w:r>
              <w:r>
                <w:rPr>
                  <w:noProof/>
                  <w:lang w:val="en-US"/>
                </w:rPr>
                <w:t>. Retrieved from College of Policing: https://www.college.police.uk/research/crime-reduction-toolkit/scared-straight</w:t>
              </w:r>
            </w:p>
            <w:p w14:paraId="02E19BED" w14:textId="77777777" w:rsidR="00953EDC" w:rsidRDefault="00953EDC" w:rsidP="00953EDC">
              <w:pPr>
                <w:pStyle w:val="Bibliography"/>
                <w:ind w:left="720" w:hanging="720"/>
                <w:rPr>
                  <w:noProof/>
                  <w:lang w:val="en-US"/>
                </w:rPr>
              </w:pPr>
              <w:r>
                <w:rPr>
                  <w:noProof/>
                  <w:lang w:val="en-US"/>
                </w:rPr>
                <w:t xml:space="preserve">Probation, H. I. (2021, October). </w:t>
              </w:r>
              <w:r>
                <w:rPr>
                  <w:i/>
                  <w:iCs/>
                  <w:noProof/>
                  <w:lang w:val="en-US"/>
                </w:rPr>
                <w:t>The experiences of black and mixed heritage boys in the youth justice system.</w:t>
              </w:r>
              <w:r>
                <w:rPr>
                  <w:noProof/>
                  <w:lang w:val="en-US"/>
                </w:rPr>
                <w:t xml:space="preserve"> Retrieved from HM Inspectorate of Probation: https://www.justiceinspectorates.gov.uk/hmiprobation/wp-content/uploads/sites/5/2021/10/The-experiences-of-black-and-mixed-heritage-boys-in-the-youth-justice-system-thematic-report-v1.0.pdf</w:t>
              </w:r>
            </w:p>
            <w:p w14:paraId="24278BAC" w14:textId="77777777" w:rsidR="00953EDC" w:rsidRDefault="00953EDC" w:rsidP="00953EDC">
              <w:pPr>
                <w:pStyle w:val="Bibliography"/>
                <w:ind w:left="720" w:hanging="720"/>
                <w:rPr>
                  <w:noProof/>
                  <w:lang w:val="en-US"/>
                </w:rPr>
              </w:pPr>
              <w:r>
                <w:rPr>
                  <w:noProof/>
                  <w:lang w:val="en-US"/>
                </w:rPr>
                <w:t xml:space="preserve">Scott, D. K. (2020). Adverse childhood experiences. </w:t>
              </w:r>
              <w:r>
                <w:rPr>
                  <w:i/>
                  <w:iCs/>
                  <w:noProof/>
                  <w:lang w:val="en-US"/>
                </w:rPr>
                <w:t>Royal College of General Practioners</w:t>
              </w:r>
              <w:r>
                <w:rPr>
                  <w:noProof/>
                  <w:lang w:val="en-US"/>
                </w:rPr>
                <w:t>, Volume 14, Issue 1 - https://journals.sagepub.com/doi/full/10.1177/1755738020964498.</w:t>
              </w:r>
            </w:p>
            <w:p w14:paraId="1C25FE49" w14:textId="77777777" w:rsidR="00953EDC" w:rsidRDefault="00953EDC" w:rsidP="00953EDC">
              <w:pPr>
                <w:pStyle w:val="Bibliography"/>
                <w:ind w:left="720" w:hanging="720"/>
                <w:rPr>
                  <w:noProof/>
                  <w:lang w:val="en-US"/>
                </w:rPr>
              </w:pPr>
              <w:r>
                <w:rPr>
                  <w:noProof/>
                  <w:lang w:val="en-US"/>
                </w:rPr>
                <w:t xml:space="preserve">Staines, L. &amp;. (2022). </w:t>
              </w:r>
              <w:r>
                <w:rPr>
                  <w:i/>
                  <w:iCs/>
                  <w:noProof/>
                  <w:lang w:val="en-US"/>
                </w:rPr>
                <w:t>Supporting the youngest children in the youth justice system: what works to reduce offending and improve outcomes?</w:t>
              </w:r>
              <w:r>
                <w:rPr>
                  <w:noProof/>
                  <w:lang w:val="en-US"/>
                </w:rPr>
                <w:t xml:space="preserve"> London: Local Government Association.</w:t>
              </w:r>
            </w:p>
            <w:p w14:paraId="7898F4DB" w14:textId="77777777" w:rsidR="00953EDC" w:rsidRDefault="00953EDC" w:rsidP="00953EDC">
              <w:pPr>
                <w:pStyle w:val="Bibliography"/>
                <w:ind w:left="720" w:hanging="720"/>
                <w:rPr>
                  <w:noProof/>
                  <w:lang w:val="en-US"/>
                </w:rPr>
              </w:pPr>
              <w:r>
                <w:rPr>
                  <w:noProof/>
                  <w:lang w:val="en-US"/>
                </w:rPr>
                <w:t xml:space="preserve">Thompson, K. (2021, May 26). </w:t>
              </w:r>
              <w:r>
                <w:rPr>
                  <w:i/>
                  <w:iCs/>
                  <w:noProof/>
                  <w:lang w:val="en-US"/>
                </w:rPr>
                <w:t>How successful are early interventions in reducing violent crime?</w:t>
              </w:r>
              <w:r>
                <w:rPr>
                  <w:noProof/>
                  <w:lang w:val="en-US"/>
                </w:rPr>
                <w:t xml:space="preserve"> Retrieved from Revise Sociology.com: https://revisesociology.com/2021/05/26/how-successful-are-early-interventions-in-reducing-violent-crime/?utm_content=cmp-true</w:t>
              </w:r>
            </w:p>
            <w:p w14:paraId="1EF67A8F" w14:textId="77777777" w:rsidR="00953EDC" w:rsidRDefault="00953EDC" w:rsidP="00953EDC">
              <w:pPr>
                <w:pStyle w:val="Bibliography"/>
                <w:ind w:left="720" w:hanging="720"/>
                <w:rPr>
                  <w:noProof/>
                  <w:lang w:val="en-US"/>
                </w:rPr>
              </w:pPr>
              <w:r>
                <w:rPr>
                  <w:noProof/>
                  <w:lang w:val="en-US"/>
                </w:rPr>
                <w:t xml:space="preserve">Wilson, D. B. (2018). Police-initiated diversion for youth to prevent future delinquent behavior: a systematic review. </w:t>
              </w:r>
              <w:r>
                <w:rPr>
                  <w:i/>
                  <w:iCs/>
                  <w:noProof/>
                  <w:lang w:val="en-US"/>
                </w:rPr>
                <w:t>Campbell Systematic Reviews (14)</w:t>
              </w:r>
              <w:r>
                <w:rPr>
                  <w:noProof/>
                  <w:lang w:val="en-US"/>
                </w:rPr>
                <w:t>, https://hull-repository.worktribe.com/output/1243068/police-initiated-diversion-for-youth-to-prevent-future-delinquent-behavior-a-systematic-review.</w:t>
              </w:r>
            </w:p>
            <w:p w14:paraId="70C8834F" w14:textId="77777777" w:rsidR="00953EDC" w:rsidRDefault="00953EDC" w:rsidP="00953EDC">
              <w:pPr>
                <w:pStyle w:val="Bibliography"/>
                <w:ind w:left="720" w:hanging="720"/>
                <w:rPr>
                  <w:noProof/>
                  <w:lang w:val="en-US"/>
                </w:rPr>
              </w:pPr>
              <w:r>
                <w:rPr>
                  <w:noProof/>
                  <w:lang w:val="en-US"/>
                </w:rPr>
                <w:t xml:space="preserve">YJB. (2015). </w:t>
              </w:r>
              <w:r>
                <w:rPr>
                  <w:i/>
                  <w:iCs/>
                  <w:noProof/>
                  <w:lang w:val="en-US"/>
                </w:rPr>
                <w:t>Youth offending teams: making the difference for children and young people, victims and communities. Final Report.</w:t>
              </w:r>
              <w:r>
                <w:rPr>
                  <w:noProof/>
                  <w:lang w:val="en-US"/>
                </w:rPr>
                <w:t xml:space="preserve"> Retrieved from Youth Justice Board - GOV.UK: https://assets.publishing.service.gov.uk/media/5a7f8dcbed915d74e33f725e/Board_Visits_Final_Report.pdf</w:t>
              </w:r>
            </w:p>
            <w:p w14:paraId="576252DA" w14:textId="77777777" w:rsidR="00953EDC" w:rsidRDefault="00953EDC" w:rsidP="00953EDC">
              <w:pPr>
                <w:pStyle w:val="Bibliography"/>
                <w:ind w:left="720" w:hanging="720"/>
                <w:rPr>
                  <w:noProof/>
                  <w:lang w:val="en-US"/>
                </w:rPr>
              </w:pPr>
              <w:r>
                <w:rPr>
                  <w:noProof/>
                  <w:lang w:val="en-US"/>
                </w:rPr>
                <w:t xml:space="preserve">YJB. (2019/20, January 28). </w:t>
              </w:r>
              <w:r>
                <w:rPr>
                  <w:i/>
                  <w:iCs/>
                  <w:noProof/>
                  <w:lang w:val="en-US"/>
                </w:rPr>
                <w:t>Youth Justice Statistics.</w:t>
              </w:r>
              <w:r>
                <w:rPr>
                  <w:noProof/>
                  <w:lang w:val="en-US"/>
                </w:rPr>
                <w:t xml:space="preserve"> Retrieved from GOV.UK: https://assets.publishing.service.gov.uk/government/uploads/system/uploads/attachment_data/file/956621/youth-justice-statistics-2019-2020.pdf</w:t>
              </w:r>
            </w:p>
            <w:p w14:paraId="7211576C" w14:textId="77777777" w:rsidR="00953EDC" w:rsidRDefault="00953EDC" w:rsidP="00953EDC">
              <w:r>
                <w:rPr>
                  <w:b/>
                  <w:bCs/>
                  <w:noProof/>
                </w:rPr>
                <w:fldChar w:fldCharType="end"/>
              </w:r>
            </w:p>
          </w:sdtContent>
        </w:sdt>
      </w:sdtContent>
    </w:sdt>
    <w:p w14:paraId="1E53CF76" w14:textId="77777777" w:rsidR="00953EDC" w:rsidRPr="00121DA7" w:rsidRDefault="00953EDC" w:rsidP="00953EDC">
      <w:pPr>
        <w:rPr>
          <w:b/>
          <w:bCs/>
        </w:rPr>
      </w:pPr>
    </w:p>
    <w:p w14:paraId="75F08433" w14:textId="77777777" w:rsidR="008A57C8" w:rsidRDefault="008A57C8"/>
    <w:sectPr w:rsidR="008A57C8" w:rsidSect="00953ED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6EAB8" w14:textId="77777777" w:rsidR="0035355E" w:rsidRDefault="0035355E" w:rsidP="00953EDC">
      <w:pPr>
        <w:spacing w:after="0" w:line="240" w:lineRule="auto"/>
      </w:pPr>
      <w:r>
        <w:separator/>
      </w:r>
    </w:p>
  </w:endnote>
  <w:endnote w:type="continuationSeparator" w:id="0">
    <w:p w14:paraId="4331EED4" w14:textId="77777777" w:rsidR="0035355E" w:rsidRDefault="0035355E" w:rsidP="00953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stem">
    <w:altName w:val="Calibri"/>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239703"/>
      <w:docPartObj>
        <w:docPartGallery w:val="Page Numbers (Bottom of Page)"/>
        <w:docPartUnique/>
      </w:docPartObj>
    </w:sdtPr>
    <w:sdtEndPr>
      <w:rPr>
        <w:noProof/>
      </w:rPr>
    </w:sdtEndPr>
    <w:sdtContent>
      <w:p w14:paraId="7A006181" w14:textId="2F75B49E" w:rsidR="00953EDC" w:rsidRDefault="00953E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8613E6" w14:textId="77777777" w:rsidR="00953EDC" w:rsidRDefault="00953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AF17E" w14:textId="77777777" w:rsidR="0035355E" w:rsidRDefault="0035355E" w:rsidP="00953EDC">
      <w:pPr>
        <w:spacing w:after="0" w:line="240" w:lineRule="auto"/>
      </w:pPr>
      <w:r>
        <w:separator/>
      </w:r>
    </w:p>
  </w:footnote>
  <w:footnote w:type="continuationSeparator" w:id="0">
    <w:p w14:paraId="752B4055" w14:textId="77777777" w:rsidR="0035355E" w:rsidRDefault="0035355E" w:rsidP="00953E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BE4D" w14:textId="024FF626" w:rsidR="00953EDC" w:rsidRDefault="00953EDC">
    <w:pPr>
      <w:pStyle w:val="Header"/>
    </w:pPr>
    <w:r>
      <w:t>UWTSD - 2236205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3EDC"/>
    <w:rsid w:val="00167753"/>
    <w:rsid w:val="0017456F"/>
    <w:rsid w:val="002338D2"/>
    <w:rsid w:val="0028507E"/>
    <w:rsid w:val="00336069"/>
    <w:rsid w:val="0035355E"/>
    <w:rsid w:val="003E76E0"/>
    <w:rsid w:val="00426D14"/>
    <w:rsid w:val="00570B2A"/>
    <w:rsid w:val="005812C3"/>
    <w:rsid w:val="005C3C97"/>
    <w:rsid w:val="00747DC0"/>
    <w:rsid w:val="00784E0C"/>
    <w:rsid w:val="007B79EB"/>
    <w:rsid w:val="00821CA4"/>
    <w:rsid w:val="00850D03"/>
    <w:rsid w:val="00874534"/>
    <w:rsid w:val="00892054"/>
    <w:rsid w:val="008A57C8"/>
    <w:rsid w:val="009238E3"/>
    <w:rsid w:val="00946F1E"/>
    <w:rsid w:val="00953EDC"/>
    <w:rsid w:val="00A03155"/>
    <w:rsid w:val="00B74786"/>
    <w:rsid w:val="00BB111B"/>
    <w:rsid w:val="00D52E31"/>
    <w:rsid w:val="00D6148B"/>
    <w:rsid w:val="00E466F1"/>
    <w:rsid w:val="00EC36DE"/>
    <w:rsid w:val="00F47B9A"/>
    <w:rsid w:val="00FA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84E7"/>
  <w15:chartTrackingRefBased/>
  <w15:docId w15:val="{115A30B8-F41A-478B-97D6-13171E5E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EDC"/>
  </w:style>
  <w:style w:type="paragraph" w:styleId="Heading1">
    <w:name w:val="heading 1"/>
    <w:basedOn w:val="Normal"/>
    <w:next w:val="Normal"/>
    <w:link w:val="Heading1Char"/>
    <w:uiPriority w:val="9"/>
    <w:qFormat/>
    <w:rsid w:val="00953E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E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E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E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E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E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E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E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E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E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E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E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E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E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E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E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E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EDC"/>
    <w:rPr>
      <w:rFonts w:eastAsiaTheme="majorEastAsia" w:cstheme="majorBidi"/>
      <w:color w:val="272727" w:themeColor="text1" w:themeTint="D8"/>
    </w:rPr>
  </w:style>
  <w:style w:type="paragraph" w:styleId="Title">
    <w:name w:val="Title"/>
    <w:basedOn w:val="Normal"/>
    <w:next w:val="Normal"/>
    <w:link w:val="TitleChar"/>
    <w:uiPriority w:val="10"/>
    <w:qFormat/>
    <w:rsid w:val="00953E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E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E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E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EDC"/>
    <w:pPr>
      <w:spacing w:before="160"/>
      <w:jc w:val="center"/>
    </w:pPr>
    <w:rPr>
      <w:i/>
      <w:iCs/>
      <w:color w:val="404040" w:themeColor="text1" w:themeTint="BF"/>
    </w:rPr>
  </w:style>
  <w:style w:type="character" w:customStyle="1" w:styleId="QuoteChar">
    <w:name w:val="Quote Char"/>
    <w:basedOn w:val="DefaultParagraphFont"/>
    <w:link w:val="Quote"/>
    <w:uiPriority w:val="29"/>
    <w:rsid w:val="00953EDC"/>
    <w:rPr>
      <w:i/>
      <w:iCs/>
      <w:color w:val="404040" w:themeColor="text1" w:themeTint="BF"/>
    </w:rPr>
  </w:style>
  <w:style w:type="paragraph" w:styleId="ListParagraph">
    <w:name w:val="List Paragraph"/>
    <w:basedOn w:val="Normal"/>
    <w:uiPriority w:val="34"/>
    <w:qFormat/>
    <w:rsid w:val="00953EDC"/>
    <w:pPr>
      <w:ind w:left="720"/>
      <w:contextualSpacing/>
    </w:pPr>
  </w:style>
  <w:style w:type="character" w:styleId="IntenseEmphasis">
    <w:name w:val="Intense Emphasis"/>
    <w:basedOn w:val="DefaultParagraphFont"/>
    <w:uiPriority w:val="21"/>
    <w:qFormat/>
    <w:rsid w:val="00953EDC"/>
    <w:rPr>
      <w:i/>
      <w:iCs/>
      <w:color w:val="0F4761" w:themeColor="accent1" w:themeShade="BF"/>
    </w:rPr>
  </w:style>
  <w:style w:type="paragraph" w:styleId="IntenseQuote">
    <w:name w:val="Intense Quote"/>
    <w:basedOn w:val="Normal"/>
    <w:next w:val="Normal"/>
    <w:link w:val="IntenseQuoteChar"/>
    <w:uiPriority w:val="30"/>
    <w:qFormat/>
    <w:rsid w:val="00953E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EDC"/>
    <w:rPr>
      <w:i/>
      <w:iCs/>
      <w:color w:val="0F4761" w:themeColor="accent1" w:themeShade="BF"/>
    </w:rPr>
  </w:style>
  <w:style w:type="character" w:styleId="IntenseReference">
    <w:name w:val="Intense Reference"/>
    <w:basedOn w:val="DefaultParagraphFont"/>
    <w:uiPriority w:val="32"/>
    <w:qFormat/>
    <w:rsid w:val="00953EDC"/>
    <w:rPr>
      <w:b/>
      <w:bCs/>
      <w:smallCaps/>
      <w:color w:val="0F4761" w:themeColor="accent1" w:themeShade="BF"/>
      <w:spacing w:val="5"/>
    </w:rPr>
  </w:style>
  <w:style w:type="paragraph" w:styleId="Bibliography">
    <w:name w:val="Bibliography"/>
    <w:basedOn w:val="Normal"/>
    <w:next w:val="Normal"/>
    <w:uiPriority w:val="37"/>
    <w:unhideWhenUsed/>
    <w:rsid w:val="00953EDC"/>
  </w:style>
  <w:style w:type="paragraph" w:styleId="Header">
    <w:name w:val="header"/>
    <w:basedOn w:val="Normal"/>
    <w:link w:val="HeaderChar"/>
    <w:uiPriority w:val="99"/>
    <w:unhideWhenUsed/>
    <w:rsid w:val="00953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EDC"/>
  </w:style>
  <w:style w:type="paragraph" w:styleId="Footer">
    <w:name w:val="footer"/>
    <w:basedOn w:val="Normal"/>
    <w:link w:val="FooterChar"/>
    <w:uiPriority w:val="99"/>
    <w:unhideWhenUsed/>
    <w:rsid w:val="00953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EDC"/>
  </w:style>
  <w:style w:type="character" w:styleId="Hyperlink">
    <w:name w:val="Hyperlink"/>
    <w:basedOn w:val="DefaultParagraphFont"/>
    <w:uiPriority w:val="99"/>
    <w:unhideWhenUsed/>
    <w:rsid w:val="00953E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834814">
      <w:bodyDiv w:val="1"/>
      <w:marLeft w:val="0"/>
      <w:marRight w:val="0"/>
      <w:marTop w:val="0"/>
      <w:marBottom w:val="0"/>
      <w:divBdr>
        <w:top w:val="none" w:sz="0" w:space="0" w:color="auto"/>
        <w:left w:val="none" w:sz="0" w:space="0" w:color="auto"/>
        <w:bottom w:val="none" w:sz="0" w:space="0" w:color="auto"/>
        <w:right w:val="none" w:sz="0" w:space="0" w:color="auto"/>
      </w:divBdr>
    </w:div>
    <w:div w:id="256449455">
      <w:bodyDiv w:val="1"/>
      <w:marLeft w:val="0"/>
      <w:marRight w:val="0"/>
      <w:marTop w:val="0"/>
      <w:marBottom w:val="0"/>
      <w:divBdr>
        <w:top w:val="none" w:sz="0" w:space="0" w:color="auto"/>
        <w:left w:val="none" w:sz="0" w:space="0" w:color="auto"/>
        <w:bottom w:val="none" w:sz="0" w:space="0" w:color="auto"/>
        <w:right w:val="none" w:sz="0" w:space="0" w:color="auto"/>
      </w:divBdr>
    </w:div>
    <w:div w:id="264727757">
      <w:bodyDiv w:val="1"/>
      <w:marLeft w:val="0"/>
      <w:marRight w:val="0"/>
      <w:marTop w:val="0"/>
      <w:marBottom w:val="0"/>
      <w:divBdr>
        <w:top w:val="none" w:sz="0" w:space="0" w:color="auto"/>
        <w:left w:val="none" w:sz="0" w:space="0" w:color="auto"/>
        <w:bottom w:val="none" w:sz="0" w:space="0" w:color="auto"/>
        <w:right w:val="none" w:sz="0" w:space="0" w:color="auto"/>
      </w:divBdr>
    </w:div>
    <w:div w:id="916744380">
      <w:bodyDiv w:val="1"/>
      <w:marLeft w:val="0"/>
      <w:marRight w:val="0"/>
      <w:marTop w:val="0"/>
      <w:marBottom w:val="0"/>
      <w:divBdr>
        <w:top w:val="none" w:sz="0" w:space="0" w:color="auto"/>
        <w:left w:val="none" w:sz="0" w:space="0" w:color="auto"/>
        <w:bottom w:val="none" w:sz="0" w:space="0" w:color="auto"/>
        <w:right w:val="none" w:sz="0" w:space="0" w:color="auto"/>
      </w:divBdr>
    </w:div>
    <w:div w:id="997615655">
      <w:bodyDiv w:val="1"/>
      <w:marLeft w:val="0"/>
      <w:marRight w:val="0"/>
      <w:marTop w:val="0"/>
      <w:marBottom w:val="0"/>
      <w:divBdr>
        <w:top w:val="none" w:sz="0" w:space="0" w:color="auto"/>
        <w:left w:val="none" w:sz="0" w:space="0" w:color="auto"/>
        <w:bottom w:val="none" w:sz="0" w:space="0" w:color="auto"/>
        <w:right w:val="none" w:sz="0" w:space="0" w:color="auto"/>
      </w:divBdr>
    </w:div>
    <w:div w:id="1188178331">
      <w:bodyDiv w:val="1"/>
      <w:marLeft w:val="0"/>
      <w:marRight w:val="0"/>
      <w:marTop w:val="0"/>
      <w:marBottom w:val="0"/>
      <w:divBdr>
        <w:top w:val="none" w:sz="0" w:space="0" w:color="auto"/>
        <w:left w:val="none" w:sz="0" w:space="0" w:color="auto"/>
        <w:bottom w:val="none" w:sz="0" w:space="0" w:color="auto"/>
        <w:right w:val="none" w:sz="0" w:space="0" w:color="auto"/>
      </w:divBdr>
    </w:div>
    <w:div w:id="1224563608">
      <w:bodyDiv w:val="1"/>
      <w:marLeft w:val="0"/>
      <w:marRight w:val="0"/>
      <w:marTop w:val="0"/>
      <w:marBottom w:val="0"/>
      <w:divBdr>
        <w:top w:val="none" w:sz="0" w:space="0" w:color="auto"/>
        <w:left w:val="none" w:sz="0" w:space="0" w:color="auto"/>
        <w:bottom w:val="none" w:sz="0" w:space="0" w:color="auto"/>
        <w:right w:val="none" w:sz="0" w:space="0" w:color="auto"/>
      </w:divBdr>
    </w:div>
    <w:div w:id="159300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COLLINS</b:Tag>
    <b:SourceType>InternetSite</b:SourceType>
    <b:Guid>{28F1B145-F903-4066-836E-CA8124245192}</b:Guid>
    <b:Title>English Dictionary</b:Title>
    <b:Year>2024</b:Year>
    <b:Author>
      <b:Author>
        <b:NameList>
          <b:Person>
            <b:Last>Collins</b:Last>
          </b:Person>
        </b:NameList>
      </b:Author>
    </b:Author>
    <b:InternetSiteTitle>Collins</b:InternetSiteTitle>
    <b:URL>https://www.collinsdictionary.com/dictionary/english/diversity</b:URL>
    <b:RefOrder>1</b:RefOrder>
  </b:Source>
  <b:Source>
    <b:Tag>Col24</b:Tag>
    <b:SourceType>InternetSite</b:SourceType>
    <b:Guid>{8ED873EC-12B8-4E98-A0A2-5366F7CB0D5B}</b:Guid>
    <b:Author>
      <b:Author>
        <b:NameList>
          <b:Person>
            <b:Last>Policing</b:Last>
            <b:First>College</b:First>
            <b:Middle>of</b:Middle>
          </b:Person>
        </b:NameList>
      </b:Author>
    </b:Author>
    <b:Title>Diversity and Inclusion</b:Title>
    <b:InternetSiteTitle>College of Policing</b:InternetSiteTitle>
    <b:Year>2024</b:Year>
    <b:URL>https://www.college.police.uk/support-forces/diversity-and-inclusion</b:URL>
    <b:RefOrder>2</b:RefOrder>
  </b:Source>
  <b:Source>
    <b:Tag>Des20</b:Tag>
    <b:SourceType>Report</b:SourceType>
    <b:Guid>{02EB66C9-D076-4E59-A3C2-F8A4571C4B8E}</b:Guid>
    <b:Author>
      <b:Author>
        <b:NameList>
          <b:Person>
            <b:Last>Desai</b:Last>
            <b:First>Unmesh</b:First>
            <b:Middle>AM</b:Middle>
          </b:Person>
        </b:NameList>
      </b:Author>
    </b:Author>
    <b:Title>Policing with Consent</b:Title>
    <b:Year>2020</b:Year>
    <b:Publisher>London Assembly Labour</b:Publisher>
    <b:City>London</b:City>
    <b:RefOrder>3</b:RefOrder>
  </b:Source>
  <b:Source>
    <b:Tag>Off22</b:Tag>
    <b:SourceType>InternetSite</b:SourceType>
    <b:Guid>{51BC199E-227C-4BED-8208-417BFA122BFB}</b:Guid>
    <b:Title>Ethnic group, England and Wales: Census 2021</b:Title>
    <b:Year>2022</b:Year>
    <b:Author>
      <b:Author>
        <b:NameList>
          <b:Person>
            <b:Last>Statistics</b:Last>
            <b:First>Office</b:First>
            <b:Middle>for National</b:Middle>
          </b:Person>
        </b:NameList>
      </b:Author>
    </b:Author>
    <b:InternetSiteTitle>Office for National Statistics</b:InternetSiteTitle>
    <b:Month>November</b:Month>
    <b:Day>29</b:Day>
    <b:URL>https://www.ons.gov.uk/peoplepopulationandcommunity/culturalidentity/ethnicity/bulletins/ethnicgroupenglandandwales/census2021</b:URL>
    <b:RefOrder>4</b:RefOrder>
  </b:Source>
  <b:Source>
    <b:Tag>GOV231</b:Tag>
    <b:SourceType>InternetSite</b:SourceType>
    <b:Guid>{3ED44F69-CA37-4A84-BB4C-8832787238BE}</b:Guid>
    <b:Author>
      <b:Author>
        <b:NameList>
          <b:Person>
            <b:Last>GOV.UK</b:Last>
          </b:Person>
        </b:NameList>
      </b:Author>
    </b:Author>
    <b:Title>Police workforce</b:Title>
    <b:InternetSiteTitle>GOV.UK</b:InternetSiteTitle>
    <b:Year>2023</b:Year>
    <b:Month>May</b:Month>
    <b:Day>26</b:Day>
    <b:URL>https://www.ethnicity-facts-figures.service.gov.uk/workforce-and-business/workforce-diversity/police-workforce/latest/</b:URL>
    <b:RefOrder>5</b:RefOrder>
  </b:Source>
  <b:Source>
    <b:Tag>GOV12</b:Tag>
    <b:SourceType>InternetSite</b:SourceType>
    <b:Guid>{90DCBD12-DA38-4EF8-8209-B9C5CC5CD8F8}</b:Guid>
    <b:Author>
      <b:Author>
        <b:NameList>
          <b:Person>
            <b:Last>GOV.UK</b:Last>
          </b:Person>
        </b:NameList>
      </b:Author>
    </b:Author>
    <b:Title>Public sector equality duty</b:Title>
    <b:InternetSiteTitle>GOV.UK</b:InternetSiteTitle>
    <b:Year>2012</b:Year>
    <b:Month>july</b:Month>
    <b:Day>06</b:Day>
    <b:URL>https://www.gov.uk/government/publications/public-sector-equality-duty</b:URL>
    <b:RefOrder>6</b:RefOrder>
  </b:Source>
  <b:Source>
    <b:Tag>Leg11</b:Tag>
    <b:SourceType>InternetSite</b:SourceType>
    <b:Guid>{8D82FFC2-E27F-44FF-99A3-A55A9F294567}</b:Guid>
    <b:Author>
      <b:Author>
        <b:NameList>
          <b:Person>
            <b:Last>Legislation.gov.uk</b:Last>
          </b:Person>
        </b:NameList>
      </b:Author>
    </b:Author>
    <b:Title>legislation.gov.uk</b:Title>
    <b:InternetSiteTitle>The Equality Act 2010 Regulations 2011 NO.2260</b:InternetSiteTitle>
    <b:Year>2011</b:Year>
    <b:URL>https://www.legislation.gov.uk/uksi/2011/2260/contents/made</b:URL>
    <b:RefOrder>7</b:RefOrder>
  </b:Source>
  <b:Source>
    <b:Tag>Equ18</b:Tag>
    <b:SourceType>InternetSite</b:SourceType>
    <b:Guid>{EA0B0539-507E-45B7-9C4E-E62F2EDEEE48}</b:Guid>
    <b:Author>
      <b:Author>
        <b:NameList>
          <b:Person>
            <b:Last>Commission</b:Last>
            <b:First>Equality</b:First>
            <b:Middle>and Human Rights</b:Middle>
          </b:Person>
        </b:NameList>
      </b:Author>
    </b:Author>
    <b:Title>The Human Rights Act</b:Title>
    <b:InternetSiteTitle>Equality and Human Rights Commission</b:InternetSiteTitle>
    <b:Year>2018</b:Year>
    <b:Month>November</b:Month>
    <b:Day>15</b:Day>
    <b:URL>https://www.equalityhumanrights.com/human-rights/human-rights-act</b:URL>
    <b:RefOrder>8</b:RefOrder>
  </b:Source>
  <b:Source>
    <b:Tag>BBC21</b:Tag>
    <b:SourceType>InternetSite</b:SourceType>
    <b:Guid>{BE545A78-D05C-4289-8B28-E08D9A3E3150}</b:Guid>
    <b:Author>
      <b:Author>
        <b:NameList>
          <b:Person>
            <b:Last>BBC</b:Last>
          </b:Person>
        </b:NameList>
      </b:Author>
    </b:Author>
    <b:Title>Who was George Floyd and what happened to Derek Chauvin?</b:Title>
    <b:InternetSiteTitle>BBC News</b:InternetSiteTitle>
    <b:Year>2021</b:Year>
    <b:Month>May</b:Month>
    <b:Day>24</b:Day>
    <b:URL>https://www.bbc.co.uk/news/world-us-canada-56270334</b:URL>
    <b:RefOrder>9</b:RefOrder>
  </b:Source>
  <b:Source>
    <b:Tag>Bar23</b:Tag>
    <b:SourceType>DocumentFromInternetSite</b:SourceType>
    <b:Guid>{1FDA8B63-013B-4776-9C20-8FB2596498BE}</b:Guid>
    <b:Title>An independent review into the standards of behaviour and internal culture of the Metropolitan Police Service - Final Report</b:Title>
    <b:InternetSiteTitle>Metropolitan Police</b:InternetSiteTitle>
    <b:Year>2023</b:Year>
    <b:Month>March</b:Month>
    <b:URL>https://www.met.police.uk/SysSiteAssets/media/downloads/met/about-us/baroness-casey-review/update-march-2023/baroness-casey-review-march-2023a.pdf</b:URL>
    <b:Author>
      <b:Author>
        <b:NameList>
          <b:Person>
            <b:Last>Blackstock</b:Last>
            <b:First>Baroness</b:First>
            <b:Middle>Casey of</b:Middle>
          </b:Person>
        </b:NameList>
      </b:Author>
    </b:Author>
    <b:RefOrder>10</b:RefOrder>
  </b:Source>
  <b:Source>
    <b:Tag>BBC23</b:Tag>
    <b:SourceType>InternetSite</b:SourceType>
    <b:Guid>{EA1F1F70-84A8-4329-9A3F-16F4F757F900}</b:Guid>
    <b:Title>Met Police institutionally racist, misogynistic and homophobic - report</b:Title>
    <b:InternetSiteTitle>BBC News</b:InternetSiteTitle>
    <b:Year>2023</b:Year>
    <b:Month>March</b:Month>
    <b:Day>21</b:Day>
    <b:URL>https://www.bbc.co.uk/news/av/uk-england-london-65031061</b:URL>
    <b:Author>
      <b:Author>
        <b:NameList>
          <b:Person>
            <b:Last>BBC</b:Last>
          </b:Person>
        </b:NameList>
      </b:Author>
    </b:Author>
    <b:RefOrder>11</b:RefOrder>
  </b:Source>
  <b:Source>
    <b:Tag>ECH21</b:Tag>
    <b:SourceType>InternetSite</b:SourceType>
    <b:Guid>{73EB0970-293F-4D73-B7C3-0178F918B9C2}</b:Guid>
    <b:Author>
      <b:Author>
        <b:NameList>
          <b:Person>
            <b:Last>ECHR</b:Last>
          </b:Person>
        </b:NameList>
      </b:Author>
    </b:Author>
    <b:Title>Protected characteristics</b:Title>
    <b:Year>2021</b:Year>
    <b:InternetSiteTitle>Equality &amp; Human Rights Commission</b:InternetSiteTitle>
    <b:Month>July</b:Month>
    <b:Day>6</b:Day>
    <b:URL>https://www.equalityhumanrights.com/equality/equality-act-2010/protected-characteristics</b:URL>
    <b:RefOrder>12</b:RefOrder>
  </b:Source>
  <b:Source>
    <b:Tag>Col231</b:Tag>
    <b:SourceType>InternetSite</b:SourceType>
    <b:Guid>{366FC40D-A46C-4B21-BBD9-5D885598E25A}</b:Guid>
    <b:Author>
      <b:Author>
        <b:NameList>
          <b:Person>
            <b:Last>Policing</b:Last>
            <b:First>College</b:First>
            <b:Middle>of</b:Middle>
          </b:Person>
        </b:NameList>
      </b:Author>
    </b:Author>
    <b:Title>Diversity and Inclusion</b:Title>
    <b:InternetSiteTitle>College of Policing</b:InternetSiteTitle>
    <b:Year>2023</b:Year>
    <b:URL>https://www.college.police.uk/support-forces/diversity-and-inclusion</b:URL>
    <b:RefOrder>13</b:RefOrder>
  </b:Source>
  <b:Source>
    <b:Tag>Osc20</b:Tag>
    <b:SourceType>DocumentFromInternetSite</b:SourceType>
    <b:Guid>{E9701357-709A-4569-9C88-34B3677AF383}</b:Guid>
    <b:Title>Responding to trauma in policing, a practical guide.</b:Title>
    <b:InternetSiteTitle>College of Policing - Oscar Kilo</b:InternetSiteTitle>
    <b:Year>2020</b:Year>
    <b:URL>https://www.oscarkilo.org.uk/media/304/download?inline</b:URL>
    <b:Author>
      <b:Author>
        <b:NameList>
          <b:Person>
            <b:Last>Kilo</b:Last>
            <b:First>Oscar</b:First>
          </b:Person>
        </b:NameList>
      </b:Author>
    </b:Author>
    <b:RefOrder>15</b:RefOrder>
  </b:Source>
  <b:Source>
    <b:Tag>Col241</b:Tag>
    <b:SourceType>InternetSite</b:SourceType>
    <b:Guid>{F27559F8-A262-4F95-98FD-80877EFC666D}</b:Guid>
    <b:Author>
      <b:Author>
        <b:NameList>
          <b:Person>
            <b:Last>Policing</b:Last>
            <b:First>College</b:First>
            <b:Middle>of</b:Middle>
          </b:Person>
        </b:NameList>
      </b:Author>
    </b:Author>
    <b:Title>Response Constable</b:Title>
    <b:InternetSiteTitle>College of Policing</b:InternetSiteTitle>
    <b:Year>2024</b:Year>
    <b:URL>https://profdev.college.police.uk/professional-profile/test-9/</b:URL>
    <b:RefOrder>16</b:RefOrder>
  </b:Source>
  <b:Source>
    <b:Tag>Kes95</b:Tag>
    <b:SourceType>JournalArticle</b:SourceType>
    <b:Guid>{2E7072C8-4C90-42F3-97C7-C0892DED313C}</b:Guid>
    <b:Author>
      <b:Author>
        <b:NameList>
          <b:Person>
            <b:Last>Kessler</b:Last>
            <b:First>R.</b:First>
            <b:Middle>C., Sonnega, A., Bromet, E., Hughes, M., &amp; Nelson, C. B.</b:Middle>
          </b:Person>
        </b:NameList>
      </b:Author>
    </b:Author>
    <b:Title>Posttraumatic stress disorder in the National Comorbidity Survey</b:Title>
    <b:Year>1995</b:Year>
    <b:JournalName>Archives of general psychiatry</b:JournalName>
    <b:Pages>52(12), 1048–1060</b:Pages>
    <b:RefOrder>17</b:RefOrder>
  </b:Source>
  <b:Source>
    <b:Tag>Wat18</b:Tag>
    <b:SourceType>JournalArticle</b:SourceType>
    <b:Guid>{AD966425-BACE-4BFE-A0EB-36FA3BF09994}</b:Guid>
    <b:Author>
      <b:Author>
        <b:NameList>
          <b:Person>
            <b:Last>Watson</b:Last>
            <b:First>L.,</b:First>
            <b:Middle>&amp; Andrews, L</b:Middle>
          </b:Person>
        </b:NameList>
      </b:Author>
    </b:Author>
    <b:Title>The effect of a Trauma Risk Management (TRiM) program on stigma and barriers to help-seeking in the police</b:Title>
    <b:JournalName>International Journal of Stress Managemen</b:JournalName>
    <b:Year>2018</b:Year>
    <b:Pages>25(4), 348–356</b:Pages>
    <b:RefOrder>18</b:RefOrder>
  </b:Source>
  <b:Source>
    <b:Tag>Mar24</b:Tag>
    <b:SourceType>InternetSite</b:SourceType>
    <b:Guid>{41EA92EA-C561-4A6D-8813-900D5DF7D969}</b:Guid>
    <b:Author>
      <b:Author>
        <b:NameList>
          <b:Person>
            <b:Last>Stress.com</b:Last>
            <b:First>March</b:First>
            <b:Middle>on</b:Middle>
          </b:Person>
        </b:NameList>
      </b:Author>
    </b:Author>
    <b:Title>Trauma Risk Management</b:Title>
    <b:InternetSiteTitle>March on Stress.com</b:InternetSiteTitle>
    <b:Year>2024</b:Year>
    <b:URL>https://www.marchonstress.com/page/p/trim</b:URL>
    <b:RefOrder>19</b:RefOrder>
  </b:Source>
  <b:Source>
    <b:Tag>Teh19</b:Tag>
    <b:SourceType>JournalArticle</b:SourceType>
    <b:Guid>{14585636-C43D-49CB-9B8D-19B4A98605AB}</b:Guid>
    <b:Title>Evaluation of a trauma therapy programme within emergency service organizations</b:Title>
    <b:Year>2019</b:Year>
    <b:Author>
      <b:Author>
        <b:NameList>
          <b:Person>
            <b:Last>Tehrani</b:Last>
          </b:Person>
        </b:NameList>
      </b:Author>
    </b:Author>
    <b:JournalName>Occupational Medicine</b:JournalName>
    <b:Pages>(69) 559-565</b:Pages>
    <b:RefOrder>20</b:RefOrder>
  </b:Source>
  <b:Source>
    <b:Tag>Nat18</b:Tag>
    <b:SourceType>InternetSite</b:SourceType>
    <b:Guid>{6F2E4A3E-4E0F-43E2-940B-CE9A5FF421A6}</b:Guid>
    <b:Title>Post-traumatic stress disorder</b:Title>
    <b:Year>2018</b:Year>
    <b:Author>
      <b:Author>
        <b:NameList>
          <b:Person>
            <b:Last>NICE</b:Last>
          </b:Person>
        </b:NameList>
      </b:Author>
    </b:Author>
    <b:InternetSiteTitle>National Insitute for Health and Care Excellence</b:InternetSiteTitle>
    <b:Month>December</b:Month>
    <b:Day>5</b:Day>
    <b:URL>https://www.nice.org.uk/guidance/ng116</b:URL>
    <b:RefOrder>21</b:RefOrder>
  </b:Source>
  <b:Source>
    <b:Tag>Sta21</b:Tag>
    <b:SourceType>InternetSite</b:SourceType>
    <b:Guid>{01AEBE5F-B16C-48EC-8A6D-863BCF9757CA}</b:Guid>
    <b:Title>Suicide by occupation, England and Wales 2011 to 2019 registrations</b:Title>
    <b:InternetSiteTitle>Office for National Statistics</b:InternetSiteTitle>
    <b:Year>2021</b:Year>
    <b:URL>https://www.ons.gov.uk/peoplepopulationandcommunity/birthsdeathsandmarriages/deaths/adhocs/13674suicidebyoccupationenglandandwales2011to2020registrations</b:URL>
    <b:Author>
      <b:Author>
        <b:NameList>
          <b:Person>
            <b:Last>Statistics</b:Last>
            <b:First>Office</b:First>
            <b:Middle>for National</b:Middle>
          </b:Person>
        </b:NameList>
      </b:Author>
    </b:Author>
    <b:Publisher>Office for National Statistics</b:Publisher>
    <b:RefOrder>22</b:RefOrder>
  </b:Source>
  <b:Source>
    <b:Tag>Pol22</b:Tag>
    <b:SourceType>DocumentFromInternetSite</b:SourceType>
    <b:Guid>{DD8735EA-79F8-4FBA-A491-1773723BCD67}</b:Guid>
    <b:Author>
      <b:Author>
        <b:NameList>
          <b:Person>
            <b:Last>Policing</b:Last>
            <b:First>College</b:First>
            <b:Middle>of</b:Middle>
          </b:Person>
        </b:NameList>
      </b:Author>
    </b:Author>
    <b:Title>Suicide prevention in Policing. Current landscape.</b:Title>
    <b:InternetSiteTitle>College of Policing</b:InternetSiteTitle>
    <b:Year>2022</b:Year>
    <b:URL>https://assets.production.copweb.aws.college.police.uk/s3fs-public/2022-02/Suicide-prevention-current-landscape.pdf</b:URL>
    <b:RefOrder>23</b:RefOrder>
  </b:Source>
  <b:Source>
    <b:Tag>Vio07</b:Tag>
    <b:SourceType>Book</b:SourceType>
    <b:Guid>{BD8A1189-DAA4-4E22-818D-9668A0D57000}</b:Guid>
    <b:Author>
      <b:Author>
        <b:NameList>
          <b:Person>
            <b:Last>Violanti</b:Last>
          </b:Person>
        </b:NameList>
      </b:Author>
    </b:Author>
    <b:Title>Police Suicide: Epidemic in blue</b:Title>
    <b:Year>2007</b:Year>
    <b:City>Springfield, IL</b:City>
    <b:Publisher>Charles C Thomas</b:Publisher>
    <b:RefOrder>24</b:RefOrder>
  </b:Source>
  <b:Source>
    <b:Tag>Har17</b:Tag>
    <b:SourceType>Report</b:SourceType>
    <b:Guid>{7BACE981-1472-429A-A474-7B6A55A4943F}</b:Guid>
    <b:Title>Police workforce, England and Wales 31 March 2017</b:Title>
    <b:Year>2017</b:Year>
    <b:City>London</b:City>
    <b:Publisher>Home Office Statistical Bulletin 10/17</b:Publisher>
    <b:Author>
      <b:Author>
        <b:NameList>
          <b:Person>
            <b:Last>Hargreaves</b:Last>
            <b:First>Husband,</b:First>
            <b:Middle>and Linehan</b:Middle>
          </b:Person>
        </b:NameList>
      </b:Author>
    </b:Author>
    <b:RefOrder>25</b:RefOrder>
  </b:Source>
  <b:Source>
    <b:Tag>Off23</b:Tag>
    <b:SourceType>InternetSite</b:SourceType>
    <b:Guid>{1B3E4304-AA5E-42AE-9A93-9DEF6DAB7D2A}</b:Guid>
    <b:Author>
      <b:Author>
        <b:NameList>
          <b:Person>
            <b:Last>Statistics</b:Last>
            <b:First>Office</b:First>
            <b:Middle>for National</b:Middle>
          </b:Person>
        </b:NameList>
      </b:Author>
    </b:Author>
    <b:Title>Sociodemographic inequalities in suicides in England and Wales: 2011 to 2021</b:Title>
    <b:InternetSiteTitle>Office for National Statistics</b:InternetSiteTitle>
    <b:Year>2023</b:Year>
    <b:Month>March</b:Month>
    <b:URL>https://www.ons.gov.uk/peoplepopulationandcommunity/healthandsocialcare/healthinequalities/bulletins/sociodemographicinequalitiesinsuicidesinenglandandwales/2011to2021</b:URL>
    <b:RefOrder>49</b:RefOrder>
  </b:Source>
  <b:Source>
    <b:Tag>HMI23</b:Tag>
    <b:SourceType>InternetSite</b:SourceType>
    <b:Guid>{FBAC6521-D3DA-41AF-A8E8-0E9217EF5A68}</b:Guid>
    <b:Author>
      <b:Author>
        <b:NameList>
          <b:Person>
            <b:Last>HMICFRS</b:Last>
          </b:Person>
        </b:NameList>
      </b:Author>
    </b:Author>
    <b:Title>Policing and Mental Health: Picking Up the Pieces</b:Title>
    <b:InternetSiteTitle>HMICFRS</b:InternetSiteTitle>
    <b:Year>2023</b:Year>
    <b:Month>March</b:Month>
    <b:Day>7</b:Day>
    <b:URL>https://hmicfrs.justiceinspectorates.gov.uk/publication-html/policing-and-mental-health-picking-up-the-pieces/</b:URL>
    <b:RefOrder>50</b:RefOrder>
  </b:Source>
  <b:Source>
    <b:Tag>Pol16</b:Tag>
    <b:SourceType>InternetSite</b:SourceType>
    <b:Guid>{C8A0CE0E-89E6-420B-A3F8-256B918709FA}</b:Guid>
    <b:Author>
      <b:Author>
        <b:NameList>
          <b:Person>
            <b:Last>Federation</b:Last>
            <b:First>Police</b:First>
          </b:Person>
        </b:NameList>
      </b:Author>
    </b:Author>
    <b:Title>Professional Behaviour &amp; Ethics</b:Title>
    <b:InternetSiteTitle>Warwickshire Police Federation</b:InternetSiteTitle>
    <b:Year>2016</b:Year>
    <b:Month>August</b:Month>
    <b:URL>https://www.polfed.org/warks/advice/standards/professional-behaviour-ethics/</b:URL>
    <b:RefOrder>51</b:RefOrder>
  </b:Source>
  <b:Source>
    <b:Tag>Nat19</b:Tag>
    <b:SourceType>InternetSite</b:SourceType>
    <b:Guid>{51B1DAE0-000A-4391-8C52-BF992AB549FB}</b:Guid>
    <b:Author>
      <b:Author>
        <b:NameList>
          <b:Person>
            <b:Last>Office</b:Last>
            <b:First>National</b:First>
            <b:Middle>Audit</b:Middle>
          </b:Person>
        </b:NameList>
      </b:Author>
    </b:Author>
    <b:Title>Tackling serious and organised crime</b:Title>
    <b:InternetSiteTitle>National Audit Office</b:InternetSiteTitle>
    <b:Year>2019</b:Year>
    <b:Month>June</b:Month>
    <b:Day>28</b:Day>
    <b:URL>https://www.nao.org.uk/reports/serious-and-organised-crime/</b:URL>
    <b:RefOrder>26</b:RefOrder>
  </b:Source>
  <b:Source>
    <b:Tag>Eur24</b:Tag>
    <b:SourceType>InternetSite</b:SourceType>
    <b:Guid>{2F09A933-C883-42BB-BB49-AC5523628A84}</b:Guid>
    <b:Author>
      <b:Author>
        <b:NameList>
          <b:Person>
            <b:Last>Europol</b:Last>
          </b:Person>
        </b:NameList>
      </b:Author>
    </b:Author>
    <b:Title>Defining serious and organised crime</b:Title>
    <b:Year>2024</b:Year>
    <b:InternetSiteTitle>Europol</b:InternetSiteTitle>
    <b:Month>April</b:Month>
    <b:Day>11</b:Day>
    <b:URL>https://www.europol.europa.eu/socta/2017/defining-serious-and-organised-crime.html</b:URL>
    <b:RefOrder>27</b:RefOrder>
  </b:Source>
  <b:Source>
    <b:Tag>NCA19</b:Tag>
    <b:SourceType>DocumentFromInternetSite</b:SourceType>
    <b:Guid>{893392C3-56A7-46BB-8461-D03CBE154A38}</b:Guid>
    <b:Author>
      <b:Author>
        <b:NameList>
          <b:Person>
            <b:Last>NCA</b:Last>
            <b:First>National</b:First>
            <b:Middle>Crime Agency</b:Middle>
          </b:Person>
        </b:NameList>
      </b:Author>
    </b:Author>
    <b:Title>National Strategic Assessment of Serious and Organised Crime</b:Title>
    <b:InternetSiteTitle>GOV.uk</b:InternetSiteTitle>
    <b:Year>2019</b:Year>
    <b:URL>https://nationalcrimeagency.gov.uk/who-we-are/publications/296-national-strategic-assessment-of-serious-organised-crime-2019/file</b:URL>
    <b:RefOrder>28</b:RefOrder>
  </b:Source>
  <b:Source>
    <b:Tag>NCA191</b:Tag>
    <b:SourceType>InternetSite</b:SourceType>
    <b:Guid>{F5C23FF8-B2B8-4458-B53E-EAABDAA71998}</b:Guid>
    <b:Author>
      <b:Author>
        <b:NameList>
          <b:Person>
            <b:Last>NCA</b:Last>
          </b:Person>
        </b:NameList>
      </b:Author>
    </b:Author>
    <b:Title>181,000 UK offenders fuelling “chronic and corrosive” threat from serious and organised crime</b:Title>
    <b:InternetSiteTitle>National Crime Agency</b:InternetSiteTitle>
    <b:Year>2019</b:Year>
    <b:Month>May</b:Month>
    <b:Day>14</b:Day>
    <b:URL>https://www.nationalcrimeagency.gov.uk/news/181-000-uk-offenders-fuelling-chronic-and-corrosive-threat-from-serious-and-organised-crime</b:URL>
    <b:RefOrder>52</b:RefOrder>
  </b:Source>
  <b:Source>
    <b:Tag>Owe19</b:Tag>
    <b:SourceType>Report</b:SourceType>
    <b:Guid>{19EB00F1-B932-462A-AEDE-DD9BA6613AB7}</b:Guid>
    <b:Title>National Strategic Assessment of Serious &amp; Organised Crime</b:Title>
    <b:Year>2019</b:Year>
    <b:Author>
      <b:Author>
        <b:NameList>
          <b:Person>
            <b:Last>Owens</b:Last>
            <b:First>Lynne</b:First>
          </b:Person>
        </b:NameList>
      </b:Author>
    </b:Author>
    <b:Publisher>National Crime Agency</b:Publisher>
    <b:City>London</b:City>
    <b:RefOrder>29</b:RefOrder>
  </b:Source>
  <b:Source>
    <b:Tag>Lee22</b:Tag>
    <b:SourceType>InternetSite</b:SourceType>
    <b:Guid>{0E38D38C-1103-4DDC-A036-DBF193AC1315}</b:Guid>
    <b:Title>What is Cuckooing?</b:Title>
    <b:Year>2022</b:Year>
    <b:Author>
      <b:Author>
        <b:NameList>
          <b:Person>
            <b:Last>Lee</b:Last>
          </b:Person>
        </b:NameList>
      </b:Author>
    </b:Author>
    <b:InternetSiteTitle>CPD Online</b:InternetSiteTitle>
    <b:Month>August</b:Month>
    <b:Day>10</b:Day>
    <b:URL>https://cpdonline.co.uk/knowledge-base/safeguarding/cuckooing/</b:URL>
    <b:RefOrder>30</b:RefOrder>
  </b:Source>
  <b:Source>
    <b:Tag>Oxf24</b:Tag>
    <b:SourceType>InternetSite</b:SourceType>
    <b:Guid>{8B56F196-FF0A-4F42-8C2E-EF4F67DBF103}</b:Guid>
    <b:Author>
      <b:Author>
        <b:NameList>
          <b:Person>
            <b:Last>Oxford</b:Last>
          </b:Person>
        </b:NameList>
      </b:Author>
    </b:Author>
    <b:Title>Oxford Languages</b:Title>
    <b:InternetSiteTitle>Google</b:InternetSiteTitle>
    <b:Year>2024</b:Year>
    <b:Month>May</b:Month>
    <b:Day>28</b:Day>
    <b:URL>https://www.bing.com/search?pglt=41&amp;q=parasite+meaning&amp;cvid=bec494d71fb34a86a293d1d2df69ded0&amp;gs_lcrp=EgZjaHJvbWUqBggCEAAYQDIGCAAQRRg5MgYIARAAGEAyBggCEAAYQDIGCAMQABhAMgYIBBAAGEAyBggFEAAYQDIGCAYQABhAMgYIBxAAGEAyBggIEAAYQDIICAkQ6QcY_FXSAQg0NDcyajBqMagCALACAA</b:URL>
    <b:RefOrder>31</b:RefOrder>
  </b:Source>
  <b:Source>
    <b:Tag>BBC211</b:Tag>
    <b:SourceType>InternetSite</b:SourceType>
    <b:Guid>{AC73D635-78E4-4F7A-9537-53E929AD8F81}</b:Guid>
    <b:Author>
      <b:Author>
        <b:NameList>
          <b:Person>
            <b:Last>BBC</b:Last>
          </b:Person>
        </b:NameList>
      </b:Author>
    </b:Author>
    <b:Title>Essex lorry deaths: Men jailed for killing 39 migrants in trailer</b:Title>
    <b:InternetSiteTitle>BBC News</b:InternetSiteTitle>
    <b:Year>2021</b:Year>
    <b:Month>January</b:Month>
    <b:Day>22</b:Day>
    <b:URL>https://www.bbc.co.uk/news/uk-england-essex-55765213</b:URL>
    <b:RefOrder>32</b:RefOrder>
  </b:Source>
  <b:Source>
    <b:Tag>BBC20</b:Tag>
    <b:SourceType>InternetSite</b:SourceType>
    <b:Guid>{55DB7096-3D0A-4A41-90D4-05845478BC1C}</b:Guid>
    <b:Title>Essex lorry deaths: The supposed 'VIP' journey that killed 39 people</b:Title>
    <b:Year>2020</b:Year>
    <b:Author>
      <b:Author>
        <b:NameList>
          <b:Person>
            <b:Last>BBC</b:Last>
          </b:Person>
        </b:NameList>
      </b:Author>
    </b:Author>
    <b:InternetSiteTitle>BBC News</b:InternetSiteTitle>
    <b:Month>December</b:Month>
    <b:Day>21</b:Day>
    <b:URL>https://www.bbc.co.uk/news/uk-england-essex-54294006</b:URL>
    <b:RefOrder>33</b:RefOrder>
  </b:Source>
  <b:Source>
    <b:Tag>HMI231</b:Tag>
    <b:SourceType>InternetSite</b:SourceType>
    <b:Guid>{D6CB2310-A846-4A19-AB65-AAFF781D5705}</b:Guid>
    <b:Author>
      <b:Author>
        <b:NameList>
          <b:Person>
            <b:Last>HMICFRS</b:Last>
          </b:Person>
        </b:NameList>
      </b:Author>
    </b:Author>
    <b:Title>Public Protection Notification</b:Title>
    <b:InternetSiteTitle>HMICFRS</b:InternetSiteTitle>
    <b:Year>2023</b:Year>
    <b:Month>March</b:Month>
    <b:Day>29</b:Day>
    <b:URL>https://hmicfrs.justiceinspectorates.gov.uk/glossary/public-protection-notice/</b:URL>
    <b:RefOrder>34</b:RefOrder>
  </b:Source>
  <b:Source>
    <b:Tag>NCA24</b:Tag>
    <b:SourceType>InternetSite</b:SourceType>
    <b:Guid>{FEE765AE-7185-4B1C-9E1A-FD863520AF82}</b:Guid>
    <b:Title>What we Investigate</b:Title>
    <b:InternetSiteTitle>National Crime Agency</b:InternetSiteTitle>
    <b:Year>2024</b:Year>
    <b:URL>https://www.nationalcrimeagency.gov.uk/what-we-do/crime-threats</b:URL>
    <b:Author>
      <b:Author>
        <b:NameList>
          <b:Person>
            <b:Last>NCA</b:Last>
            <b:First>National</b:First>
            <b:Middle>Crime Agency</b:Middle>
          </b:Person>
        </b:NameList>
      </b:Author>
    </b:Author>
    <b:RefOrder>53</b:RefOrder>
  </b:Source>
  <b:Source>
    <b:Tag>Pub19</b:Tag>
    <b:SourceType>InternetSite</b:SourceType>
    <b:Guid>{EB9E6F91-58D7-4AC8-8F3D-128EB780DFBA}</b:Guid>
    <b:Title>Collaborative approaches to preventing offending and re-offending by children (CAPRICORN)</b:Title>
    <b:Year>2019</b:Year>
    <b:Author>
      <b:Author>
        <b:NameList>
          <b:Person>
            <b:Last>England</b:Last>
            <b:First>Public</b:First>
            <b:Middle>Health</b:Middle>
          </b:Person>
        </b:NameList>
      </b:Author>
    </b:Author>
    <b:InternetSiteTitle>Gov.UK</b:InternetSiteTitle>
    <b:Month>August</b:Month>
    <b:Day>14</b:Day>
    <b:URL>https://www.gov.uk/government/publications/preventing-offending-and-re-offending-by-children/collaborative-approaches-to-preventing-offending-and-re-offending-by-children-capricorn-summary</b:URL>
    <b:RefOrder>35</b:RefOrder>
  </b:Source>
  <b:Source>
    <b:Tag>Kar21</b:Tag>
    <b:SourceType>InternetSite</b:SourceType>
    <b:Guid>{20BEBAD0-7201-47A5-9F0E-C8DC6CDECB20}</b:Guid>
    <b:Author>
      <b:Author>
        <b:NameList>
          <b:Person>
            <b:Last>Thompson</b:Last>
            <b:First>Karl</b:First>
          </b:Person>
        </b:NameList>
      </b:Author>
    </b:Author>
    <b:Title>How successful are early interventions in reducing violent crime?</b:Title>
    <b:InternetSiteTitle>Revise Sociology.com</b:InternetSiteTitle>
    <b:Year>2021</b:Year>
    <b:Month>May</b:Month>
    <b:Day>26</b:Day>
    <b:URL>https://revisesociology.com/2021/05/26/how-successful-are-early-interventions-in-reducing-violent-crime/?utm_content=cmp-true</b:URL>
    <b:RefOrder>36</b:RefOrder>
  </b:Source>
  <b:Source>
    <b:Tag>Wil18</b:Tag>
    <b:SourceType>JournalArticle</b:SourceType>
    <b:Guid>{4A6A5BE9-3EBD-4037-8CEE-C6EAF1C6FE7B}</b:Guid>
    <b:Title>Police-initiated diversion for youth to prevent future delinquent behavior: a systematic review</b:Title>
    <b:Year>2018</b:Year>
    <b:Author>
      <b:Author>
        <b:NameList>
          <b:Person>
            <b:Last>Wilson</b:Last>
            <b:First>D.</b:First>
            <b:Middle>B., Brennan, I., &amp; Olaghere, A.</b:Middle>
          </b:Person>
        </b:NameList>
      </b:Author>
    </b:Author>
    <b:JournalName>Campbell Systematic Reviews (14)</b:JournalName>
    <b:Pages>https://hull-repository.worktribe.com/output/1243068/police-initiated-diversion-for-youth-to-prevent-future-delinquent-behavior-a-systematic-review</b:Pages>
    <b:RefOrder>37</b:RefOrder>
  </b:Source>
  <b:Source>
    <b:Tag>Boa15</b:Tag>
    <b:SourceType>DocumentFromInternetSite</b:SourceType>
    <b:Guid>{5B674F0A-5FCF-4A1D-887A-EB758A4EF3D2}</b:Guid>
    <b:Author>
      <b:Author>
        <b:NameList>
          <b:Person>
            <b:Last>YJB</b:Last>
          </b:Person>
        </b:NameList>
      </b:Author>
    </b:Author>
    <b:Title>Youth offending teams: making the difference for children and young people, victims and communities. Final Report</b:Title>
    <b:InternetSiteTitle>Youth Justice Board - GOV.UK</b:InternetSiteTitle>
    <b:Year>2015</b:Year>
    <b:URL>https://assets.publishing.service.gov.uk/media/5a7f8dcbed915d74e33f725e/Board_Visits_Final_Report.pdf</b:URL>
    <b:RefOrder>38</b:RefOrder>
  </b:Source>
  <b:Source>
    <b:Tag>LGA24</b:Tag>
    <b:SourceType>InternetSite</b:SourceType>
    <b:Guid>{11E221AD-E64A-4CB1-B833-767314CAE6BC}</b:Guid>
    <b:Author>
      <b:Author>
        <b:NameList>
          <b:Person>
            <b:Last>LGA</b:Last>
          </b:Person>
        </b:NameList>
      </b:Author>
    </b:Author>
    <b:Title>Devolution explained</b:Title>
    <b:InternetSiteTitle>Local Government Association</b:InternetSiteTitle>
    <b:Year>2024</b:Year>
    <b:URL>https://www.local.gov.uk/topics/devolution/devolution-hub/devolution-explained</b:URL>
    <b:RefOrder>39</b:RefOrder>
  </b:Source>
  <b:Source>
    <b:Tag>Sta22</b:Tag>
    <b:SourceType>Report</b:SourceType>
    <b:Guid>{2249A6E0-BCF3-4E3D-936B-DB4170B70106}</b:Guid>
    <b:Author>
      <b:Author>
        <b:NameList>
          <b:Person>
            <b:Last>Staines</b:Last>
            <b:First>Lucas</b:First>
            <b:Middle>&amp;</b:Middle>
          </b:Person>
        </b:NameList>
      </b:Author>
    </b:Author>
    <b:Title>Supporting the youngest children in the youth justice system: what works to reduce offending and improve outcomes?</b:Title>
    <b:Year>2022</b:Year>
    <b:Publisher>Local Government Association</b:Publisher>
    <b:City>London</b:City>
    <b:RefOrder>40</b:RefOrder>
  </b:Source>
  <b:Source>
    <b:Tag>HMI21</b:Tag>
    <b:SourceType>DocumentFromInternetSite</b:SourceType>
    <b:Guid>{9AFD0D83-5E70-455C-9F96-659865A42DD6}</b:Guid>
    <b:Author>
      <b:Author>
        <b:NameList>
          <b:Person>
            <b:Last>Probation</b:Last>
            <b:First>HM</b:First>
            <b:Middle>Inspectorate of</b:Middle>
          </b:Person>
        </b:NameList>
      </b:Author>
    </b:Author>
    <b:Title>The experiences of black and mixed heritage boys in the youth justice system</b:Title>
    <b:InternetSiteTitle>HM Inspectorate of Probation</b:InternetSiteTitle>
    <b:Year>2021</b:Year>
    <b:Month>October</b:Month>
    <b:URL>https://www.justiceinspectorates.gov.uk/hmiprobation/wp-content/uploads/sites/5/2021/10/The-experiences-of-black-and-mixed-heritage-boys-in-the-youth-justice-system-thematic-report-v1.0.pdf</b:URL>
    <b:RefOrder>41</b:RefOrder>
  </b:Source>
  <b:Source>
    <b:Tag>DrK20</b:Tag>
    <b:SourceType>JournalArticle</b:SourceType>
    <b:Guid>{F6FAF9C7-0EBC-4D2D-B70F-EF5FA47554DA}</b:Guid>
    <b:Title>Adverse childhood experiences</b:Title>
    <b:Year>2020</b:Year>
    <b:Author>
      <b:Author>
        <b:NameList>
          <b:Person>
            <b:Last>Scott</b:Last>
            <b:First>Dr</b:First>
            <b:Middle>Katie</b:Middle>
          </b:Person>
        </b:NameList>
      </b:Author>
    </b:Author>
    <b:JournalName>Royal College of General Practioners</b:JournalName>
    <b:Pages>Volume 14, Issue 1 - https://journals.sagepub.com/doi/full/10.1177/1755738020964498</b:Pages>
    <b:RefOrder>42</b:RefOrder>
  </b:Source>
  <b:Source>
    <b:Tag>DiL19</b:Tag>
    <b:SourceType>DocumentFromInternetSite</b:SourceType>
    <b:Guid>{B26BC066-33F6-4EB0-A647-E3D7AAB60023}</b:Guid>
    <b:Author>
      <b:Author>
        <b:NameList>
          <b:Person>
            <b:Last>Di Lemma L</b:Last>
            <b:First>Davies</b:First>
            <b:Middle>A, Ford K, et al</b:Middle>
          </b:Person>
        </b:NameList>
      </b:Author>
    </b:Author>
    <b:Title>Responding to adverse childhood experiences</b:Title>
    <b:Year>2019</b:Year>
    <b:InternetSiteTitle>University of Bangor</b:InternetSiteTitle>
    <b:URL>https://research.bangor.ac.uk/portal/en/researchoutputs/responding-to-adverse-childhood-experiences(302c9332-ce77-4cf5-be5b-11624c987768)/export.html</b:URL>
    <b:RefOrder>43</b:RefOrder>
  </b:Source>
  <b:Source>
    <b:Tag>UKP22</b:Tag>
    <b:SourceType>InternetSite</b:SourceType>
    <b:Guid>{8AB7136B-E51B-4FBF-9EDB-AE4B9D3156FB}</b:Guid>
    <b:Title>Reoffending Costs - Question for Ministry for Justice</b:Title>
    <b:Year>2022</b:Year>
    <b:Author>
      <b:Author>
        <b:NameList>
          <b:Person>
            <b:Last>Parliment</b:Last>
            <b:First>UK</b:First>
          </b:Person>
        </b:NameList>
      </b:Author>
    </b:Author>
    <b:InternetSiteTitle>UK Parliment</b:InternetSiteTitle>
    <b:Month>March</b:Month>
    <b:Day>9</b:Day>
    <b:URL>https://questions-statements.parliament.uk/written-questions/detail/2022-03-09/137323</b:URL>
    <b:RefOrder>44</b:RefOrder>
  </b:Source>
  <b:Source>
    <b:Tag>Dan19</b:Tag>
    <b:SourceType>DocumentFromInternetSite</b:SourceType>
    <b:Guid>{9EA76BAB-2941-4219-B1CB-91316A71E09A}</b:Guid>
    <b:Author>
      <b:Author>
        <b:NameList>
          <b:Person>
            <b:Last>Nagin</b:Last>
            <b:First>Daniel</b:First>
            <b:Middle>S.</b:Middle>
          </b:Person>
        </b:NameList>
      </b:Author>
    </b:Author>
    <b:Title>Deterrance in the Twenty-First Century</b:Title>
    <b:InternetSiteTitle>University of Chicago Press Journals - Volume 42</b:InternetSiteTitle>
    <b:Year>2019</b:Year>
    <b:URL>https://www.journals.uchicago.edu/doi/abs/10.1086/670398</b:URL>
    <b:RefOrder>45</b:RefOrder>
  </b:Source>
  <b:Source>
    <b:Tag>Col15</b:Tag>
    <b:SourceType>InternetSite</b:SourceType>
    <b:Guid>{D14C7B4B-A706-4C34-8B56-5BEB8A5C50A7}</b:Guid>
    <b:Title>Scared Straight programmes</b:Title>
    <b:InternetSiteTitle>College of Policing</b:InternetSiteTitle>
    <b:Year>2015</b:Year>
    <b:Month>February</b:Month>
    <b:Day>19</b:Day>
    <b:URL>https://www.college.police.uk/research/crime-reduction-toolkit/scared-straight</b:URL>
    <b:Author>
      <b:Author>
        <b:NameList>
          <b:Person>
            <b:Last>Policing</b:Last>
            <b:First>College</b:First>
            <b:Middle>of</b:Middle>
          </b:Person>
        </b:NameList>
      </b:Author>
    </b:Author>
    <b:RefOrder>46</b:RefOrder>
  </b:Source>
  <b:Source>
    <b:Tag>Ant13</b:Tag>
    <b:SourceType>JournalArticle</b:SourceType>
    <b:Guid>{37828D13-9159-4134-B0D2-D639527E1E5A}</b:Guid>
    <b:Title>Scared Straight and Other Juvenile Awareness Programs for Preventing Juvenile Delinquency: A Systematic Review</b:Title>
    <b:Year>2013</b:Year>
    <b:Author>
      <b:Author>
        <b:NameList>
          <b:Person>
            <b:Last>A. Petrosino</b:Last>
            <b:First>C.</b:First>
            <b:Middle>Turpin-Petrosino, M. E. Hollis-Peel, J. G. Lavenberg</b:Middle>
          </b:Person>
        </b:NameList>
      </b:Author>
    </b:Author>
    <b:JournalName>Cochrane Database of Systematic Reviews 2013, Issue 4.</b:JournalName>
    <b:RefOrder>47</b:RefOrder>
  </b:Source>
  <b:Source>
    <b:Tag>YJB20</b:Tag>
    <b:SourceType>DocumentFromInternetSite</b:SourceType>
    <b:Guid>{BDD8FC98-6004-4DFE-A0F7-2D3A7C5F32C7}</b:Guid>
    <b:Author>
      <b:Author>
        <b:NameList>
          <b:Person>
            <b:Last>YJB</b:Last>
          </b:Person>
        </b:NameList>
      </b:Author>
    </b:Author>
    <b:Title>Youth Justice Statistics</b:Title>
    <b:Year>2019/20</b:Year>
    <b:Publisher>Ministry of Justice</b:Publisher>
    <b:City>London</b:City>
    <b:InternetSiteTitle>GOV.UK</b:InternetSiteTitle>
    <b:Month>January</b:Month>
    <b:Day>28</b:Day>
    <b:URL>https://assets.publishing.service.gov.uk/government/uploads/system/uploads/attachment_data/file/956621/youth-justice-statistics-2019-2020.pdf</b:URL>
    <b:RefOrder>48</b:RefOrder>
  </b:Source>
  <b:Source>
    <b:Tag>Wor18</b:Tag>
    <b:SourceType>InternetSite</b:SourceType>
    <b:Guid>{2592E3CE-8656-4A5E-927F-66457F3B2A78}</b:Guid>
    <b:Title>Mental Health</b:Title>
    <b:InternetSiteTitle>World Health Organisation</b:InternetSiteTitle>
    <b:Year>2018</b:Year>
    <b:Month>January</b:Month>
    <b:Day>1</b:Day>
    <b:URL>https://www.who.int/data/gho/data/themes/mental-health</b:URL>
    <b:Author>
      <b:Author>
        <b:NameList>
          <b:Person>
            <b:Last>WHO</b:Last>
            <b:First>World</b:First>
            <b:Middle>Health Organisation</b:Middle>
          </b:Person>
        </b:NameList>
      </b:Author>
    </b:Author>
    <b:RefOrder>14</b:RefOrder>
  </b:Source>
</b:Sources>
</file>

<file path=customXml/itemProps1.xml><?xml version="1.0" encoding="utf-8"?>
<ds:datastoreItem xmlns:ds="http://schemas.openxmlformats.org/officeDocument/2006/customXml" ds:itemID="{F04EE86F-3608-4286-8EF5-1A53D7B0D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4353</TotalTime>
  <Pages>1</Pages>
  <Words>6141</Words>
  <Characters>35006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Parry,Elliot swp8529</dc:creator>
  <cp:keywords/>
  <dc:description/>
  <cp:lastModifiedBy>Parry,Elliot swp8529</cp:lastModifiedBy>
  <cp:revision>15</cp:revision>
  <dcterms:created xsi:type="dcterms:W3CDTF">2024-08-15T13:38:00Z</dcterms:created>
  <dcterms:modified xsi:type="dcterms:W3CDTF">2024-08-18T14:06:00Z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2024-08-11T12:12:54Z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7a8ab9cf-24b0-4d24-af47-e5285e14f700</vt:lpwstr>
  </property>
  <property fmtid="{D5CDD505-2E9C-101B-9397-08002B2CF9AE}" pid="8" name="MSIP_Label_66cf8fe5-b7b7-4df7-b38d-1c61ac2f6639_ContentBits">
    <vt:lpwstr>0</vt:lpwstr>
  </property>
</Properties>
</file>