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569B98" w14:textId="77777777" w:rsidR="00835BAC" w:rsidRDefault="00835BAC" w:rsidP="00835BAC">
      <w:pPr>
        <w:jc w:val="right"/>
        <w:rPr>
          <w:rFonts w:ascii="Arial" w:hAnsi="Arial" w:cs="Arial"/>
          <w:sz w:val="24"/>
          <w:szCs w:val="24"/>
        </w:rPr>
      </w:pPr>
    </w:p>
    <w:p w14:paraId="7A0A90A4" w14:textId="77777777" w:rsidR="00835BAC" w:rsidRDefault="00835BAC" w:rsidP="00835BAC">
      <w:pPr>
        <w:jc w:val="center"/>
        <w:rPr>
          <w:rFonts w:ascii="Arial" w:hAnsi="Arial" w:cs="Arial"/>
          <w:sz w:val="52"/>
          <w:szCs w:val="52"/>
        </w:rPr>
      </w:pPr>
    </w:p>
    <w:p w14:paraId="1AFED8D1" w14:textId="77777777" w:rsidR="00835BAC" w:rsidRDefault="00835BAC" w:rsidP="00835BAC">
      <w:pPr>
        <w:jc w:val="center"/>
        <w:rPr>
          <w:rFonts w:ascii="Arial" w:hAnsi="Arial" w:cs="Arial"/>
          <w:sz w:val="52"/>
          <w:szCs w:val="52"/>
        </w:rPr>
      </w:pPr>
    </w:p>
    <w:p w14:paraId="034AD6E1" w14:textId="77777777" w:rsidR="00835BAC" w:rsidRDefault="00835BAC" w:rsidP="00835BAC">
      <w:pPr>
        <w:jc w:val="center"/>
        <w:rPr>
          <w:rFonts w:ascii="Arial" w:hAnsi="Arial" w:cs="Arial"/>
          <w:sz w:val="52"/>
          <w:szCs w:val="52"/>
        </w:rPr>
      </w:pPr>
    </w:p>
    <w:p w14:paraId="601AE311" w14:textId="77777777" w:rsidR="00835BAC" w:rsidRDefault="00835BAC" w:rsidP="00835BAC">
      <w:pPr>
        <w:jc w:val="center"/>
        <w:rPr>
          <w:rFonts w:ascii="Arial" w:hAnsi="Arial" w:cs="Arial"/>
          <w:sz w:val="52"/>
          <w:szCs w:val="52"/>
        </w:rPr>
      </w:pPr>
    </w:p>
    <w:p w14:paraId="645D158C" w14:textId="77777777" w:rsidR="00835BAC" w:rsidRDefault="00835BAC" w:rsidP="00835BAC">
      <w:pPr>
        <w:jc w:val="center"/>
        <w:rPr>
          <w:rFonts w:ascii="Arial" w:hAnsi="Arial" w:cs="Arial"/>
          <w:sz w:val="52"/>
          <w:szCs w:val="52"/>
        </w:rPr>
      </w:pPr>
    </w:p>
    <w:p w14:paraId="2D7A5174" w14:textId="77777777" w:rsidR="00835BAC" w:rsidRDefault="00835BAC" w:rsidP="00835BAC">
      <w:pPr>
        <w:jc w:val="center"/>
        <w:rPr>
          <w:rFonts w:ascii="Arial" w:hAnsi="Arial" w:cs="Arial"/>
          <w:sz w:val="52"/>
          <w:szCs w:val="52"/>
        </w:rPr>
      </w:pPr>
    </w:p>
    <w:p w14:paraId="605C9E2B" w14:textId="77777777" w:rsidR="00835BAC" w:rsidRDefault="00835BAC" w:rsidP="00835BAC">
      <w:pPr>
        <w:jc w:val="center"/>
        <w:rPr>
          <w:rFonts w:ascii="Arial" w:hAnsi="Arial" w:cs="Arial"/>
          <w:sz w:val="52"/>
          <w:szCs w:val="52"/>
        </w:rPr>
      </w:pPr>
    </w:p>
    <w:p w14:paraId="5A324024" w14:textId="48939234" w:rsidR="00835BAC" w:rsidRPr="00835BAC" w:rsidRDefault="00835BAC" w:rsidP="00835BAC">
      <w:pPr>
        <w:jc w:val="center"/>
        <w:rPr>
          <w:rFonts w:ascii="Arial" w:hAnsi="Arial" w:cs="Arial"/>
          <w:sz w:val="52"/>
          <w:szCs w:val="52"/>
        </w:rPr>
      </w:pPr>
      <w:r w:rsidRPr="00835BAC">
        <w:rPr>
          <w:rFonts w:ascii="Arial" w:hAnsi="Arial" w:cs="Arial"/>
          <w:sz w:val="52"/>
          <w:szCs w:val="52"/>
        </w:rPr>
        <w:t>Civil Litigation BMLW5016</w:t>
      </w:r>
    </w:p>
    <w:p w14:paraId="30A7551B" w14:textId="0E2C8946" w:rsidR="00835BAC" w:rsidRDefault="00835BAC" w:rsidP="00835BAC">
      <w:pPr>
        <w:jc w:val="center"/>
        <w:rPr>
          <w:rFonts w:ascii="Arial" w:hAnsi="Arial" w:cs="Arial"/>
          <w:sz w:val="24"/>
          <w:szCs w:val="24"/>
        </w:rPr>
      </w:pPr>
      <w:r>
        <w:rPr>
          <w:rFonts w:ascii="Arial" w:hAnsi="Arial" w:cs="Arial"/>
          <w:sz w:val="24"/>
          <w:szCs w:val="24"/>
        </w:rPr>
        <w:t>Gabrial Harris 2305593</w:t>
      </w:r>
    </w:p>
    <w:p w14:paraId="3D5562DD" w14:textId="77777777" w:rsidR="00835BAC" w:rsidRDefault="00835BAC" w:rsidP="00835BAC">
      <w:pPr>
        <w:jc w:val="center"/>
        <w:rPr>
          <w:rFonts w:ascii="Arial" w:hAnsi="Arial" w:cs="Arial"/>
          <w:sz w:val="24"/>
          <w:szCs w:val="24"/>
        </w:rPr>
      </w:pPr>
    </w:p>
    <w:p w14:paraId="1A5245D2" w14:textId="77777777" w:rsidR="00835BAC" w:rsidRDefault="00835BAC" w:rsidP="00835BAC">
      <w:pPr>
        <w:jc w:val="center"/>
        <w:rPr>
          <w:rFonts w:ascii="Arial" w:hAnsi="Arial" w:cs="Arial"/>
          <w:sz w:val="24"/>
          <w:szCs w:val="24"/>
        </w:rPr>
      </w:pPr>
    </w:p>
    <w:p w14:paraId="6D15265F" w14:textId="77777777" w:rsidR="00835BAC" w:rsidRDefault="00835BAC" w:rsidP="00835BAC">
      <w:pPr>
        <w:jc w:val="center"/>
        <w:rPr>
          <w:rFonts w:ascii="Arial" w:hAnsi="Arial" w:cs="Arial"/>
          <w:sz w:val="24"/>
          <w:szCs w:val="24"/>
        </w:rPr>
      </w:pPr>
    </w:p>
    <w:p w14:paraId="17930ECA" w14:textId="77777777" w:rsidR="00835BAC" w:rsidRDefault="00835BAC" w:rsidP="00835BAC">
      <w:pPr>
        <w:jc w:val="center"/>
        <w:rPr>
          <w:rFonts w:ascii="Arial" w:hAnsi="Arial" w:cs="Arial"/>
          <w:sz w:val="24"/>
          <w:szCs w:val="24"/>
        </w:rPr>
      </w:pPr>
    </w:p>
    <w:p w14:paraId="5F7D0A11" w14:textId="77777777" w:rsidR="00835BAC" w:rsidRDefault="00835BAC" w:rsidP="00835BAC">
      <w:pPr>
        <w:jc w:val="center"/>
        <w:rPr>
          <w:rFonts w:ascii="Arial" w:hAnsi="Arial" w:cs="Arial"/>
          <w:sz w:val="24"/>
          <w:szCs w:val="24"/>
        </w:rPr>
      </w:pPr>
    </w:p>
    <w:p w14:paraId="7C51E557" w14:textId="77777777" w:rsidR="00835BAC" w:rsidRDefault="00835BAC" w:rsidP="00835BAC">
      <w:pPr>
        <w:jc w:val="center"/>
        <w:rPr>
          <w:rFonts w:ascii="Arial" w:hAnsi="Arial" w:cs="Arial"/>
          <w:sz w:val="24"/>
          <w:szCs w:val="24"/>
        </w:rPr>
      </w:pPr>
    </w:p>
    <w:p w14:paraId="3E1B6B88" w14:textId="77777777" w:rsidR="00835BAC" w:rsidRDefault="00835BAC" w:rsidP="00835BAC">
      <w:pPr>
        <w:jc w:val="center"/>
        <w:rPr>
          <w:rFonts w:ascii="Arial" w:hAnsi="Arial" w:cs="Arial"/>
          <w:sz w:val="24"/>
          <w:szCs w:val="24"/>
        </w:rPr>
      </w:pPr>
    </w:p>
    <w:p w14:paraId="3D481F59" w14:textId="77777777" w:rsidR="00835BAC" w:rsidRDefault="00835BAC" w:rsidP="00835BAC">
      <w:pPr>
        <w:jc w:val="center"/>
        <w:rPr>
          <w:rFonts w:ascii="Arial" w:hAnsi="Arial" w:cs="Arial"/>
          <w:sz w:val="24"/>
          <w:szCs w:val="24"/>
        </w:rPr>
      </w:pPr>
    </w:p>
    <w:p w14:paraId="565C5815" w14:textId="77777777" w:rsidR="00835BAC" w:rsidRDefault="00835BAC" w:rsidP="00835BAC">
      <w:pPr>
        <w:jc w:val="center"/>
        <w:rPr>
          <w:rFonts w:ascii="Arial" w:hAnsi="Arial" w:cs="Arial"/>
          <w:sz w:val="24"/>
          <w:szCs w:val="24"/>
        </w:rPr>
      </w:pPr>
    </w:p>
    <w:p w14:paraId="769461FB" w14:textId="77777777" w:rsidR="00835BAC" w:rsidRDefault="00835BAC" w:rsidP="00835BAC">
      <w:pPr>
        <w:jc w:val="center"/>
        <w:rPr>
          <w:rFonts w:ascii="Arial" w:hAnsi="Arial" w:cs="Arial"/>
          <w:sz w:val="24"/>
          <w:szCs w:val="24"/>
        </w:rPr>
      </w:pPr>
    </w:p>
    <w:p w14:paraId="06038D0B" w14:textId="77777777" w:rsidR="00835BAC" w:rsidRDefault="00835BAC" w:rsidP="00835BAC">
      <w:pPr>
        <w:jc w:val="center"/>
        <w:rPr>
          <w:rFonts w:ascii="Arial" w:hAnsi="Arial" w:cs="Arial"/>
          <w:sz w:val="24"/>
          <w:szCs w:val="24"/>
        </w:rPr>
      </w:pPr>
    </w:p>
    <w:p w14:paraId="195FF54C" w14:textId="77777777" w:rsidR="00835BAC" w:rsidRDefault="00835BAC" w:rsidP="00835BAC">
      <w:pPr>
        <w:jc w:val="center"/>
        <w:rPr>
          <w:rFonts w:ascii="Arial" w:hAnsi="Arial" w:cs="Arial"/>
          <w:sz w:val="24"/>
          <w:szCs w:val="24"/>
        </w:rPr>
      </w:pPr>
    </w:p>
    <w:p w14:paraId="75669724" w14:textId="77777777" w:rsidR="00835BAC" w:rsidRDefault="00835BAC" w:rsidP="00835BAC">
      <w:pPr>
        <w:jc w:val="center"/>
        <w:rPr>
          <w:rFonts w:ascii="Arial" w:hAnsi="Arial" w:cs="Arial"/>
          <w:sz w:val="24"/>
          <w:szCs w:val="24"/>
        </w:rPr>
      </w:pPr>
    </w:p>
    <w:p w14:paraId="4138EB8E" w14:textId="77777777" w:rsidR="00835BAC" w:rsidRDefault="00835BAC" w:rsidP="00835BAC">
      <w:pPr>
        <w:jc w:val="center"/>
        <w:rPr>
          <w:rFonts w:ascii="Arial" w:hAnsi="Arial" w:cs="Arial"/>
          <w:sz w:val="24"/>
          <w:szCs w:val="24"/>
        </w:rPr>
      </w:pPr>
    </w:p>
    <w:p w14:paraId="27E08015" w14:textId="769C0329" w:rsidR="00835BAC" w:rsidRPr="00794A18" w:rsidRDefault="00835BAC" w:rsidP="00835BAC">
      <w:pPr>
        <w:jc w:val="right"/>
        <w:rPr>
          <w:rFonts w:ascii="Arial" w:hAnsi="Arial" w:cs="Arial"/>
          <w:sz w:val="24"/>
          <w:szCs w:val="24"/>
        </w:rPr>
      </w:pPr>
      <w:r w:rsidRPr="00794A18">
        <w:rPr>
          <w:rFonts w:ascii="Arial" w:hAnsi="Arial" w:cs="Arial"/>
          <w:sz w:val="24"/>
          <w:szCs w:val="24"/>
        </w:rPr>
        <w:lastRenderedPageBreak/>
        <w:t>XXXX</w:t>
      </w:r>
    </w:p>
    <w:p w14:paraId="6A9E6DC8" w14:textId="77777777" w:rsidR="00835BAC" w:rsidRPr="00794A18" w:rsidRDefault="00835BAC" w:rsidP="00835BAC">
      <w:pPr>
        <w:jc w:val="right"/>
        <w:rPr>
          <w:rFonts w:ascii="Arial" w:hAnsi="Arial" w:cs="Arial"/>
          <w:sz w:val="24"/>
          <w:szCs w:val="24"/>
        </w:rPr>
      </w:pPr>
      <w:r w:rsidRPr="00794A18">
        <w:rPr>
          <w:rFonts w:ascii="Arial" w:hAnsi="Arial" w:cs="Arial"/>
          <w:sz w:val="24"/>
          <w:szCs w:val="24"/>
        </w:rPr>
        <w:t>XXXX</w:t>
      </w:r>
    </w:p>
    <w:p w14:paraId="5AE68EC9" w14:textId="77777777" w:rsidR="00835BAC" w:rsidRPr="00794A18" w:rsidRDefault="00835BAC" w:rsidP="00835BAC">
      <w:pPr>
        <w:jc w:val="right"/>
        <w:rPr>
          <w:rFonts w:ascii="Arial" w:hAnsi="Arial" w:cs="Arial"/>
          <w:sz w:val="24"/>
          <w:szCs w:val="24"/>
        </w:rPr>
      </w:pPr>
      <w:r w:rsidRPr="00794A18">
        <w:rPr>
          <w:rFonts w:ascii="Arial" w:hAnsi="Arial" w:cs="Arial"/>
          <w:sz w:val="24"/>
          <w:szCs w:val="24"/>
        </w:rPr>
        <w:t>XXXX</w:t>
      </w:r>
    </w:p>
    <w:p w14:paraId="5A009BE5" w14:textId="77777777" w:rsidR="00835BAC" w:rsidRPr="00794A18" w:rsidRDefault="00835BAC" w:rsidP="00835BAC">
      <w:pPr>
        <w:jc w:val="right"/>
        <w:rPr>
          <w:rFonts w:ascii="Arial" w:hAnsi="Arial" w:cs="Arial"/>
          <w:sz w:val="24"/>
          <w:szCs w:val="24"/>
        </w:rPr>
      </w:pPr>
      <w:r w:rsidRPr="00794A18">
        <w:rPr>
          <w:rFonts w:ascii="Arial" w:hAnsi="Arial" w:cs="Arial"/>
          <w:sz w:val="24"/>
          <w:szCs w:val="24"/>
        </w:rPr>
        <w:t>XXXX</w:t>
      </w:r>
    </w:p>
    <w:p w14:paraId="64698917" w14:textId="77777777" w:rsidR="00835BAC" w:rsidRPr="00794A18" w:rsidRDefault="00835BAC" w:rsidP="00835BAC">
      <w:pPr>
        <w:jc w:val="right"/>
        <w:rPr>
          <w:rFonts w:ascii="Arial" w:hAnsi="Arial" w:cs="Arial"/>
          <w:sz w:val="24"/>
          <w:szCs w:val="24"/>
        </w:rPr>
      </w:pPr>
    </w:p>
    <w:p w14:paraId="3FBD1C95" w14:textId="77777777" w:rsidR="00835BAC" w:rsidRPr="00794A18" w:rsidRDefault="00835BAC" w:rsidP="00835BAC">
      <w:pPr>
        <w:jc w:val="right"/>
        <w:rPr>
          <w:rFonts w:ascii="Arial" w:hAnsi="Arial" w:cs="Arial"/>
          <w:sz w:val="24"/>
          <w:szCs w:val="24"/>
        </w:rPr>
      </w:pPr>
      <w:r w:rsidRPr="00794A18">
        <w:rPr>
          <w:rFonts w:ascii="Arial" w:hAnsi="Arial" w:cs="Arial"/>
          <w:sz w:val="24"/>
          <w:szCs w:val="24"/>
        </w:rPr>
        <w:t>07/03/2025</w:t>
      </w:r>
    </w:p>
    <w:p w14:paraId="54FE692D" w14:textId="77777777" w:rsidR="00835BAC" w:rsidRPr="00794A18" w:rsidRDefault="00835BAC" w:rsidP="00835BAC">
      <w:pPr>
        <w:rPr>
          <w:rFonts w:ascii="Arial" w:hAnsi="Arial" w:cs="Arial"/>
          <w:sz w:val="24"/>
          <w:szCs w:val="24"/>
        </w:rPr>
      </w:pPr>
      <w:r w:rsidRPr="00794A18">
        <w:rPr>
          <w:rFonts w:ascii="Arial" w:hAnsi="Arial" w:cs="Arial"/>
          <w:sz w:val="24"/>
          <w:szCs w:val="24"/>
        </w:rPr>
        <w:t>XXXX</w:t>
      </w:r>
    </w:p>
    <w:p w14:paraId="3F15D683" w14:textId="77777777" w:rsidR="00835BAC" w:rsidRPr="00794A18" w:rsidRDefault="00835BAC" w:rsidP="00835BAC">
      <w:pPr>
        <w:rPr>
          <w:rFonts w:ascii="Arial" w:hAnsi="Arial" w:cs="Arial"/>
          <w:sz w:val="24"/>
          <w:szCs w:val="24"/>
        </w:rPr>
      </w:pPr>
      <w:r w:rsidRPr="00794A18">
        <w:rPr>
          <w:rFonts w:ascii="Arial" w:hAnsi="Arial" w:cs="Arial"/>
          <w:sz w:val="24"/>
          <w:szCs w:val="24"/>
        </w:rPr>
        <w:t>XXXX</w:t>
      </w:r>
    </w:p>
    <w:p w14:paraId="43D34066" w14:textId="77777777" w:rsidR="00835BAC" w:rsidRPr="00794A18" w:rsidRDefault="00835BAC" w:rsidP="00835BAC">
      <w:pPr>
        <w:rPr>
          <w:rFonts w:ascii="Arial" w:hAnsi="Arial" w:cs="Arial"/>
          <w:sz w:val="24"/>
          <w:szCs w:val="24"/>
        </w:rPr>
      </w:pPr>
      <w:r w:rsidRPr="00794A18">
        <w:rPr>
          <w:rFonts w:ascii="Arial" w:hAnsi="Arial" w:cs="Arial"/>
          <w:sz w:val="24"/>
          <w:szCs w:val="24"/>
        </w:rPr>
        <w:t>XXXX</w:t>
      </w:r>
    </w:p>
    <w:p w14:paraId="1A5A569C" w14:textId="77777777" w:rsidR="00835BAC" w:rsidRPr="00794A18" w:rsidRDefault="00835BAC" w:rsidP="00835BAC">
      <w:pPr>
        <w:rPr>
          <w:rFonts w:ascii="Arial" w:hAnsi="Arial" w:cs="Arial"/>
          <w:sz w:val="24"/>
          <w:szCs w:val="24"/>
        </w:rPr>
      </w:pPr>
      <w:r w:rsidRPr="00794A18">
        <w:rPr>
          <w:rFonts w:ascii="Arial" w:hAnsi="Arial" w:cs="Arial"/>
          <w:sz w:val="24"/>
          <w:szCs w:val="24"/>
        </w:rPr>
        <w:t>XXXX</w:t>
      </w:r>
    </w:p>
    <w:p w14:paraId="16B95213" w14:textId="77777777" w:rsidR="00835BAC" w:rsidRPr="00794A18" w:rsidRDefault="00835BAC" w:rsidP="00835BAC">
      <w:pPr>
        <w:rPr>
          <w:rFonts w:ascii="Arial" w:hAnsi="Arial" w:cs="Arial"/>
          <w:sz w:val="24"/>
          <w:szCs w:val="24"/>
        </w:rPr>
      </w:pPr>
      <w:r w:rsidRPr="00794A18">
        <w:rPr>
          <w:rFonts w:ascii="Arial" w:hAnsi="Arial" w:cs="Arial"/>
          <w:sz w:val="24"/>
          <w:szCs w:val="24"/>
        </w:rPr>
        <w:t>XXXX</w:t>
      </w:r>
    </w:p>
    <w:p w14:paraId="190FB0D2" w14:textId="77777777" w:rsidR="00835BAC" w:rsidRDefault="00835BAC"/>
    <w:p w14:paraId="7EE9AECB" w14:textId="5E8E6D9B" w:rsidR="00AA5D18" w:rsidRDefault="00AA5D18">
      <w:r>
        <w:t xml:space="preserve">Michelle Wayne, </w:t>
      </w:r>
    </w:p>
    <w:p w14:paraId="334158CF" w14:textId="18047ADA" w:rsidR="005353A5" w:rsidRDefault="00C34DE5">
      <w:r>
        <w:t xml:space="preserve">I am writing to you today to discuss funding options in litigating a personal injury claim that you recently discussed with my supervisor, Andrew Newman. There are </w:t>
      </w:r>
      <w:proofErr w:type="gramStart"/>
      <w:r>
        <w:t>a number of</w:t>
      </w:r>
      <w:proofErr w:type="gramEnd"/>
      <w:r>
        <w:t xml:space="preserve"> funding options available to those seeking to litigate a personal injury claim including before the event insurance, also referred to as legal</w:t>
      </w:r>
      <w:r w:rsidR="00714F66">
        <w:t xml:space="preserve"> expenses</w:t>
      </w:r>
      <w:r>
        <w:t xml:space="preserve"> insurance, </w:t>
      </w:r>
      <w:r w:rsidR="00714F66">
        <w:t xml:space="preserve">sponsoring organisations, such as your trade union, </w:t>
      </w:r>
      <w:r w:rsidR="00FF42C5">
        <w:t>conditional fee agreements, damages-based agreements and private funding. It is important to note before advising on costs and funding that not all funding options may be suitable for you or your circumstances.</w:t>
      </w:r>
    </w:p>
    <w:p w14:paraId="39F0BBDF" w14:textId="3BDDB659" w:rsidR="00A50A58" w:rsidRDefault="005353A5">
      <w:proofErr w:type="gramStart"/>
      <w:r>
        <w:t>In order to</w:t>
      </w:r>
      <w:proofErr w:type="gramEnd"/>
      <w:r>
        <w:t xml:space="preserve"> properly advise on funding options and what may be suitable to your circumstances, it must be understood what kind of financial situation you are currently in, and the overall expected damages which may be rewarded. Although you have not provided to us any evidence of your injury or its extensiveness, making us unable to estimate potential damages, you have provided to us relevant financial information, such as your membership of a trade union, your collected savings and lack of </w:t>
      </w:r>
      <w:r w:rsidR="00ED30EC">
        <w:t xml:space="preserve">disposable income, which may be used to help us advise on the forms of funding that may best suit your needs. </w:t>
      </w:r>
      <w:r w:rsidR="003A3659">
        <w:t xml:space="preserve">It is also important to note that in all circumstances, it is the client who is liable to pay for their legal expenses. While they may be indemnified from costs via a court order or insurance, the main liability remains with the client. </w:t>
      </w:r>
      <w:r w:rsidR="00D60385">
        <w:t xml:space="preserve">Liability may be limited through the court’s use of Qualified One-Way Costs Shifting, in which the court may order the winning party to pay the other’s costs regardless. This is specifically prevalent in personal injury cases. </w:t>
      </w:r>
    </w:p>
    <w:p w14:paraId="3AC2CEF6" w14:textId="3D13759F" w:rsidR="00FF42C5" w:rsidRDefault="00FF42C5">
      <w:r>
        <w:t xml:space="preserve">The first option to be considered is a Conditional Fee Agreement, which is regulated by the </w:t>
      </w:r>
      <w:r w:rsidRPr="00701B03">
        <w:rPr>
          <w:i/>
          <w:iCs/>
        </w:rPr>
        <w:t>Conditional Fee Agreements Order</w:t>
      </w:r>
      <w:r>
        <w:t xml:space="preserve"> 2013. These funding options are often referred to in </w:t>
      </w:r>
      <w:r w:rsidR="00D60385">
        <w:t>common parlance</w:t>
      </w:r>
      <w:r>
        <w:t xml:space="preserve"> as “No Win, No Fee” agreements. These agreements work by waiving all costs incurred through litigation if the claim is unsuccessful, excluding disbursements, which are necessary additional costs </w:t>
      </w:r>
      <w:r w:rsidR="005353A5">
        <w:t>that.</w:t>
      </w:r>
      <w:r>
        <w:t xml:space="preserve"> However, </w:t>
      </w:r>
      <w:proofErr w:type="gramStart"/>
      <w:r>
        <w:t>in the event that</w:t>
      </w:r>
      <w:proofErr w:type="gramEnd"/>
      <w:r>
        <w:t xml:space="preserve"> the case is successful, the solicitor’s normal </w:t>
      </w:r>
      <w:r w:rsidR="005353A5">
        <w:t xml:space="preserve">fees would </w:t>
      </w:r>
      <w:r w:rsidR="00ED30EC">
        <w:t>need</w:t>
      </w:r>
      <w:r w:rsidR="005353A5">
        <w:t xml:space="preserve"> to be paid in full, alongside an “uplift” charge</w:t>
      </w:r>
      <w:r w:rsidR="00ED30EC">
        <w:t xml:space="preserve">, in this case, being an additional 100% on top of the usual hourly rate. In personal injury cases, such as your own, the uplift </w:t>
      </w:r>
      <w:r w:rsidR="00ED30EC">
        <w:lastRenderedPageBreak/>
        <w:t xml:space="preserve">charge can be no more than 25% of total damages. </w:t>
      </w:r>
      <w:r w:rsidR="00B458CF">
        <w:t xml:space="preserve">A risk assessment will likely be undertaken to evaluate if this case would be an adequate fit for a conditional fee agreement model. Given the circumstances you have described to us, having little in the way of expendable income, this is likely an attractive option to you, and should be highly considered. After the event insurance can also be taken out to protect yourself from liability of paying your </w:t>
      </w:r>
      <w:proofErr w:type="spellStart"/>
      <w:r w:rsidR="00B458CF">
        <w:t>opponents</w:t>
      </w:r>
      <w:proofErr w:type="spellEnd"/>
      <w:r w:rsidR="00B458CF">
        <w:t xml:space="preserve"> costs and disbursements if your claim may be unsuccessful, however this can be expensive, with our estimate currently being £500 to be paid by yourself. </w:t>
      </w:r>
    </w:p>
    <w:p w14:paraId="542317C4" w14:textId="19BD768A" w:rsidR="003C7C46" w:rsidRDefault="00B458CF">
      <w:r>
        <w:t xml:space="preserve">Damages based agrees are also available in many cases as an alternative to conditional fee agreements. Damages based agreements are regulated by the </w:t>
      </w:r>
      <w:r w:rsidRPr="00701B03">
        <w:rPr>
          <w:i/>
          <w:iCs/>
        </w:rPr>
        <w:t>Damages-Based Agreement Regulations</w:t>
      </w:r>
      <w:r>
        <w:t xml:space="preserve"> 2013. </w:t>
      </w:r>
      <w:r w:rsidR="002B23F1">
        <w:t xml:space="preserve">Under a </w:t>
      </w:r>
      <w:proofErr w:type="gramStart"/>
      <w:r w:rsidR="002B23F1">
        <w:t>damages based</w:t>
      </w:r>
      <w:proofErr w:type="gramEnd"/>
      <w:r w:rsidR="002B23F1">
        <w:t xml:space="preserve"> agreement, a percentage of damages will be awarded as pay to the solicitor if the case is successful. Much like conditional fee agreements, this percentage is capped at 25% of total damages</w:t>
      </w:r>
      <w:r w:rsidR="00B62C80">
        <w:t xml:space="preserve"> for personal injury</w:t>
      </w:r>
      <w:r w:rsidR="002B23F1">
        <w:t xml:space="preserve">, however the proportionality of this arrangement and the percentage awarded can be assessed by the court under rule 44 of the civil procedure rules 1997. Any extra fees outside of solicitor’s fees and insurance premiums are not included in </w:t>
      </w:r>
      <w:proofErr w:type="gramStart"/>
      <w:r w:rsidR="002B23F1">
        <w:t>damages based</w:t>
      </w:r>
      <w:proofErr w:type="gramEnd"/>
      <w:r w:rsidR="002B23F1">
        <w:t xml:space="preserve"> agreements. This would likely be a poor financing option as it is unlikely to cover the total costs incurred by our firm in arguin</w:t>
      </w:r>
      <w:r w:rsidR="003C7C46">
        <w:t>g</w:t>
      </w:r>
      <w:r w:rsidR="002B23F1">
        <w:t xml:space="preserve"> your case. </w:t>
      </w:r>
      <w:r w:rsidR="003C7C46">
        <w:t xml:space="preserve">This type of agreement may also cause disproportionate payouts to the firm in the case that you are awarded a large sum of damages as demonstrated by Bolt Burdon Solicitors v Tariq and others </w:t>
      </w:r>
      <w:r w:rsidR="00701B03">
        <w:t>(</w:t>
      </w:r>
      <w:r w:rsidR="003C7C46">
        <w:t>2016</w:t>
      </w:r>
      <w:r w:rsidR="00701B03">
        <w:t>)</w:t>
      </w:r>
      <w:r w:rsidR="003C7C46">
        <w:t>, however, may alleviate some financial risk on your end.</w:t>
      </w:r>
    </w:p>
    <w:p w14:paraId="0F1846ED" w14:textId="69FD42A0" w:rsidR="003C7C46" w:rsidRDefault="00B62C80">
      <w:r>
        <w:t xml:space="preserve"> </w:t>
      </w:r>
      <w:r w:rsidR="0071595F">
        <w:t>You may also choose to take out a legal expenses insurance policy, also known as “before the event” insurance, which can be taken out as part of vehicle or household policies, both of which you have told us you have. Legal expenses insurance will pay the legal expenses of both parties, making it unnecessary to find other funding arrangements, however this is dependent on if your insurance policy or provider is open to paying for legal expenses</w:t>
      </w:r>
      <w:r w:rsidR="00E7182F">
        <w:t>.</w:t>
      </w:r>
      <w:r w:rsidR="0071595F">
        <w:t xml:space="preserve"> </w:t>
      </w:r>
      <w:r w:rsidR="00E7182F">
        <w:t>T</w:t>
      </w:r>
      <w:r w:rsidR="0071595F">
        <w:t xml:space="preserve">he type and </w:t>
      </w:r>
      <w:r w:rsidR="00E7182F">
        <w:t>extent</w:t>
      </w:r>
      <w:r w:rsidR="0071595F">
        <w:t xml:space="preserve"> of cover provided in these policies is also important to consider</w:t>
      </w:r>
      <w:r w:rsidR="00E7182F">
        <w:t xml:space="preserve">, as they may change with each provider. The payable excess may also change with each provider, which may or may not be suitable to your current financial situation </w:t>
      </w:r>
    </w:p>
    <w:p w14:paraId="5EFB8874" w14:textId="3421E7ED" w:rsidR="00E7182F" w:rsidRDefault="00E7182F">
      <w:r>
        <w:t xml:space="preserve">Organisations with which you are a member may also be open to sponsoring your legal action, especially if it harms your current employment, employment prospects, or if the incident took place at the workplace. Organisations such as Unison, which you have told us you are a member may be willing to pay for your legal expenses, however there may be caveats in place, and they may insist that your solicitor be instructed from a pre-selected panel of preferred legal services. This could be a great option for you as it would allow you to avoid all risk in </w:t>
      </w:r>
      <w:proofErr w:type="gramStart"/>
      <w:r>
        <w:t>taking action</w:t>
      </w:r>
      <w:proofErr w:type="gramEnd"/>
      <w:r>
        <w:t xml:space="preserve">, even in the event that your damages do not exceed the legal expenses of your case. </w:t>
      </w:r>
    </w:p>
    <w:p w14:paraId="7071B72E" w14:textId="66E29EA0" w:rsidR="00E7182F" w:rsidRDefault="00E7182F">
      <w:r>
        <w:t>Finally, you may choose to personally fund your legal action. This could be done either by paying for legal services out of pocket</w:t>
      </w:r>
      <w:r w:rsidR="008B5E95">
        <w:t xml:space="preserve"> through retainer</w:t>
      </w:r>
      <w:r>
        <w:t xml:space="preserve">, or by </w:t>
      </w:r>
      <w:r w:rsidR="008B5E95">
        <w:t xml:space="preserve">paying for legal services “a la carte” or unbundled, as and when you need them, which may be a particularly good idea if you choose to </w:t>
      </w:r>
      <w:proofErr w:type="gramStart"/>
      <w:r w:rsidR="008B5E95">
        <w:t>take action</w:t>
      </w:r>
      <w:proofErr w:type="gramEnd"/>
      <w:r w:rsidR="008B5E95">
        <w:t xml:space="preserve"> as a litigant in person, filing your own case and representing yourself. While this does allow the largest amount of freedom, it can also be costly. In the case of litigants in person, this may not be advised if you have little experience with the legal system or the type of claim you are looking to make </w:t>
      </w:r>
      <w:r w:rsidR="003A3659">
        <w:t xml:space="preserve">as you will have to represent yourself in court. </w:t>
      </w:r>
    </w:p>
    <w:p w14:paraId="67FFA452" w14:textId="77777777" w:rsidR="003A3659" w:rsidRDefault="003A3659"/>
    <w:p w14:paraId="73A14AE4" w14:textId="77777777" w:rsidR="00835BAC" w:rsidRDefault="00835BAC"/>
    <w:p w14:paraId="0B45A6C8" w14:textId="77777777" w:rsidR="00835BAC" w:rsidRDefault="00835BAC"/>
    <w:p w14:paraId="703D862A" w14:textId="77777777" w:rsidR="00835BAC" w:rsidRDefault="00835BAC"/>
    <w:p w14:paraId="73AB0EF4" w14:textId="0A1C06CC" w:rsidR="003A3659" w:rsidRDefault="003A3659">
      <w:r>
        <w:t xml:space="preserve">2. </w:t>
      </w:r>
    </w:p>
    <w:p w14:paraId="2DC45A92" w14:textId="77777777" w:rsidR="00EF5BAD" w:rsidRDefault="00EF5BAD"/>
    <w:p w14:paraId="7F18434E" w14:textId="60D3531A" w:rsidR="00EF5BAD" w:rsidRDefault="00AA5D18">
      <w:r>
        <w:t xml:space="preserve">The client, Michelle Wayne has shown interest in proceeding with her personal injury case with us. This briefing should contain all the necessary steps required, and what must be done in litigating her case. First, Michelle should be interviewed to gain more information about her claim, including her goals, any possible evidence that she may have acquired and the length of time since the injury occurred. </w:t>
      </w:r>
    </w:p>
    <w:p w14:paraId="410971AB" w14:textId="638D3402" w:rsidR="003A3659" w:rsidRDefault="00AA5D18">
      <w:r>
        <w:t>Personal injury cases are limited to only be viable for litigation before 3 years from the cause of action, or date of knowledge has lapsed</w:t>
      </w:r>
      <w:r w:rsidR="00181DA5">
        <w:t xml:space="preserve"> (ss.11, ss. 14 </w:t>
      </w:r>
      <w:r w:rsidR="00181DA5" w:rsidRPr="00993F43">
        <w:rPr>
          <w:i/>
          <w:iCs/>
        </w:rPr>
        <w:t>Limitation Act</w:t>
      </w:r>
      <w:r w:rsidR="00181DA5">
        <w:t xml:space="preserve"> 1980)</w:t>
      </w:r>
      <w:r w:rsidR="00DE3B9A">
        <w:t xml:space="preserve">, however the court has discretion to disregard the limitation period in cases that revolve around personal injury, as per s.33 of the </w:t>
      </w:r>
      <w:r w:rsidR="00DE3B9A" w:rsidRPr="003803A3">
        <w:rPr>
          <w:i/>
          <w:iCs/>
        </w:rPr>
        <w:t>Limitation act 1980</w:t>
      </w:r>
      <w:r w:rsidR="00DE3B9A">
        <w:t>. It may be in the interest of the client to attempt to have the limitation period disregarded</w:t>
      </w:r>
      <w:r w:rsidR="00181DA5">
        <w:t xml:space="preserve">. </w:t>
      </w:r>
      <w:r w:rsidR="00DE3B9A">
        <w:t xml:space="preserve">It is also relevant that it be known if any disability had been sustained by the client, as this would delay the beginning of the limitation period to the point at which the disability ends as per s.28 of the </w:t>
      </w:r>
      <w:r w:rsidR="00DE3B9A" w:rsidRPr="003803A3">
        <w:rPr>
          <w:i/>
          <w:iCs/>
        </w:rPr>
        <w:t>Limitation Act</w:t>
      </w:r>
      <w:r w:rsidR="00DE3B9A">
        <w:t xml:space="preserve">. </w:t>
      </w:r>
      <w:r w:rsidR="004A1859">
        <w:t>I</w:t>
      </w:r>
      <w:r w:rsidR="00DE3B9A">
        <w:t xml:space="preserve">f the </w:t>
      </w:r>
      <w:r w:rsidR="004A1859">
        <w:t xml:space="preserve">limitation </w:t>
      </w:r>
      <w:r w:rsidR="00DE3B9A">
        <w:t xml:space="preserve">period has passed, it may </w:t>
      </w:r>
      <w:r w:rsidR="00EF5BAD">
        <w:t xml:space="preserve">leave applications to the court to be struck out. </w:t>
      </w:r>
    </w:p>
    <w:p w14:paraId="056E6340" w14:textId="00969DD8" w:rsidR="003A3659" w:rsidRDefault="00EF5BAD">
      <w:r>
        <w:t xml:space="preserve">The interview with the client should also address the known information about the defendant, as their solvency way affect how feasible it is to take legal action. In your first interview with the client she states that it is unknown to her if the defendant is insured. While it is required under s.143 and s.145 of the </w:t>
      </w:r>
      <w:r w:rsidRPr="00993F43">
        <w:rPr>
          <w:i/>
          <w:iCs/>
        </w:rPr>
        <w:t xml:space="preserve">Road Traffic Act </w:t>
      </w:r>
      <w:r>
        <w:t>1988</w:t>
      </w:r>
      <w:r w:rsidR="00157FA1">
        <w:t xml:space="preserve">, it is possible that the defendant was uninsured at the time of the incident. </w:t>
      </w:r>
      <w:r w:rsidR="004A1859">
        <w:t xml:space="preserve">If this is the case, the Motor Insurance Bureau may be included in proceedings from the first instance. </w:t>
      </w:r>
      <w:r w:rsidR="00157FA1">
        <w:t xml:space="preserve">The employment status and asset ownership are also relevant information to collect in advising if it is in the best interest of the client to continue litigation. </w:t>
      </w:r>
    </w:p>
    <w:p w14:paraId="4AD867DC" w14:textId="4411D4EC" w:rsidR="00E7182F" w:rsidRDefault="00157FA1">
      <w:r>
        <w:t>The client’s proof should be collected as soon as possible in the form a statement</w:t>
      </w:r>
      <w:r w:rsidR="00913C5E">
        <w:t xml:space="preserve">, which can later be modified into a witness statement. These include the date, time and location of the incident, as well as any witnesses to it, including the defendant. Any police documents should also be provided </w:t>
      </w:r>
      <w:r w:rsidR="004A1859">
        <w:t>especially</w:t>
      </w:r>
      <w:r w:rsidR="0059338F">
        <w:t xml:space="preserve"> if any criminal proceedings have been brought</w:t>
      </w:r>
      <w:r w:rsidR="00913C5E">
        <w:t xml:space="preserve">. </w:t>
      </w:r>
      <w:r w:rsidR="0059338F">
        <w:t xml:space="preserve">Details of injuries as well as their effects and treatments should be included, as well as the financial losses and effects imposed upon the client and any social security benefits claimed by either side. </w:t>
      </w:r>
    </w:p>
    <w:p w14:paraId="608E88F4" w14:textId="2ECAFF31" w:rsidR="0059338F" w:rsidRDefault="0059338F">
      <w:r>
        <w:t xml:space="preserve">Evidence of liability should also be collated. The authority for this is s.11 of the </w:t>
      </w:r>
      <w:r w:rsidRPr="003803A3">
        <w:rPr>
          <w:i/>
          <w:iCs/>
        </w:rPr>
        <w:t>Civil Evidence Act</w:t>
      </w:r>
      <w:r>
        <w:t xml:space="preserve"> 1968, as well as the Civil Procedure Rules</w:t>
      </w:r>
      <w:r w:rsidR="00897C06">
        <w:t xml:space="preserve"> [Hereafter CPR] (2025)</w:t>
      </w:r>
      <w:r>
        <w:t xml:space="preserve"> Practice Direction 16, paragraph 8.1. S.11 of the CEA 1968 allows prior convictions to be admissible as evidence in civil proceedings. The CPR PD 16, Para, 8.1 states that the type of conviction, the court</w:t>
      </w:r>
      <w:r w:rsidR="004A1859">
        <w:t xml:space="preserve">, </w:t>
      </w:r>
      <w:r>
        <w:t xml:space="preserve">and the issue </w:t>
      </w:r>
      <w:r w:rsidR="004A1859">
        <w:t xml:space="preserve">it relates to in </w:t>
      </w:r>
      <w:r>
        <w:t xml:space="preserve">proceedings in which it is used as evidence must all be provided. </w:t>
      </w:r>
      <w:r w:rsidR="00271599">
        <w:t xml:space="preserve">This must be collected, as if there is any conviction against the defendant, or any ongoing criminal proceedings, this will likely improve the chance of success in litigating the client’s case as a conviction will make it very difficult for the defendant to prove on the balance of probabilities that they did not commit the act for which the client is attempting to hold them liable for, as is demonstrated by </w:t>
      </w:r>
      <w:r w:rsidR="007A0F84">
        <w:t>‘</w:t>
      </w:r>
      <w:r w:rsidR="00271599" w:rsidRPr="007A0F84">
        <w:t>Hunter v Chief Constable of West Midlands Police</w:t>
      </w:r>
      <w:r w:rsidR="007A0F84">
        <w:t>’</w:t>
      </w:r>
      <w:r w:rsidR="00271599">
        <w:t xml:space="preserve"> </w:t>
      </w:r>
      <w:r w:rsidR="00897C06">
        <w:t>(</w:t>
      </w:r>
      <w:r w:rsidR="00271599">
        <w:t>1981</w:t>
      </w:r>
      <w:r w:rsidR="00897C06">
        <w:t>)</w:t>
      </w:r>
      <w:r w:rsidR="00271599">
        <w:t xml:space="preserve">. Additionally, the defendant is required by the CPR 16.5 to respond to all allegations, as if they fail to do so, it will </w:t>
      </w:r>
      <w:proofErr w:type="gramStart"/>
      <w:r w:rsidR="00271599">
        <w:t>be considered to be</w:t>
      </w:r>
      <w:proofErr w:type="gramEnd"/>
      <w:r w:rsidR="00271599">
        <w:t xml:space="preserve"> proven. </w:t>
      </w:r>
    </w:p>
    <w:p w14:paraId="6E544C60" w14:textId="4058B0E3" w:rsidR="00271599" w:rsidRDefault="00271599">
      <w:r>
        <w:lastRenderedPageBreak/>
        <w:t>Evidence on the Quantum of the case will be vital for the court, as it will provide evidence that there was some loss by the client that could be compensated for with damages. This may include property damage, and any invoices or quotes, and possibly expert evidence, as would likely be needed in the case of the client’s vehicle</w:t>
      </w:r>
      <w:r w:rsidR="004A1859">
        <w:t xml:space="preserve"> or extent of injury</w:t>
      </w:r>
      <w:r>
        <w:t>. Loss of earnings may be considered if the client is unable to travel to work due to these circumstances or has had to take time away from work due to any lasting effects of the injury. Information of loss of earnings can be easily gained directly from the employer, or via the client’s accountant if they are self-employed.</w:t>
      </w:r>
      <w:r w:rsidR="004A1859">
        <w:t xml:space="preserve"> </w:t>
      </w:r>
    </w:p>
    <w:p w14:paraId="5590D713" w14:textId="793F68A6" w:rsidR="00271599" w:rsidRDefault="00C326EE">
      <w:r>
        <w:t>The Practice Direction on Pre-Action Conduct and Protocols</w:t>
      </w:r>
      <w:r w:rsidR="007A0F84">
        <w:t xml:space="preserve"> (CPR – Pre – Action Protocols (2021))</w:t>
      </w:r>
      <w:r>
        <w:t xml:space="preserve"> must be followed closely in the pre-action stages of the litigation, as it is likely that the Quantum attached to this case may not exceed £25,000, falling into the fast-track, however, if they do, s.1.1.2 of the Pre-Action Protocols for Personal Injury</w:t>
      </w:r>
      <w:r w:rsidR="007A0F84">
        <w:t xml:space="preserve"> Claims [Hereafter PAPPIC] (2024) </w:t>
      </w:r>
      <w:r>
        <w:t xml:space="preserve">would apply, stating that the ‘spirit, if not the letter of the protocols should be followed’. The objectives of the Pre-Action Protocols for Personal Injury Claims can be found within s.2.1. The protocol first requires that a letter of notification be sent to the defendant and any relevant parties such as insurers as soon as they know a claim is likely to be made. </w:t>
      </w:r>
      <w:r w:rsidR="00AF30F3">
        <w:t>This is then followed by a Letter of Claim as per s.3.1, 3.2 and 3.3. The defendant is then required to respond with an acknowledgement within 21 calendar days of postage of the letter of claim, also identifying their insurer, as per s.6. The defendant then has 3 months to form a response to the letter of claim, clarifying if they are admitting liability or not, and any reasons if they choose to deny liability (s.6.3 PAPPIC</w:t>
      </w:r>
      <w:r w:rsidR="007A0F84">
        <w:t xml:space="preserve"> (2024)</w:t>
      </w:r>
      <w:r w:rsidR="00AF30F3">
        <w:t xml:space="preserve">). </w:t>
      </w:r>
      <w:r w:rsidR="00956EE7">
        <w:t>There are also pre-action protocols to follow for the use of medical experts. These protocols require the instructing party, usually the claimant to provide a list of any experts proposed, with 14 days given for the defendant to object. If no agreement is reached, each party may nominate their own experts.</w:t>
      </w:r>
      <w:r w:rsidR="004A1859">
        <w:t xml:space="preserve"> The defendant may not be entitled to an expert if no objections are made</w:t>
      </w:r>
      <w:r w:rsidR="00956EE7">
        <w:t xml:space="preserve">. </w:t>
      </w:r>
    </w:p>
    <w:p w14:paraId="031683DD" w14:textId="3FF8C76F" w:rsidR="00956EE7" w:rsidRDefault="00956EE7">
      <w:r>
        <w:t xml:space="preserve">Finally, disclosure must be undertaken by both parties, particularly the defendant. The court has the power to order disclosure under s.33 of the </w:t>
      </w:r>
      <w:r w:rsidRPr="007A0F84">
        <w:rPr>
          <w:i/>
          <w:iCs/>
        </w:rPr>
        <w:t>Senior Courts Act</w:t>
      </w:r>
      <w:r>
        <w:t xml:space="preserve"> 1981 and s.52 of the </w:t>
      </w:r>
      <w:r w:rsidRPr="007A0F84">
        <w:rPr>
          <w:i/>
          <w:iCs/>
        </w:rPr>
        <w:t>County Courts Act</w:t>
      </w:r>
      <w:r>
        <w:t xml:space="preserve"> 1984 before a claim is made if the defendant does not comply. </w:t>
      </w:r>
      <w:r w:rsidR="004A1859">
        <w:t>This may be enforced via f</w:t>
      </w:r>
      <w:r>
        <w:t xml:space="preserve">orm N244. The statement of truth attached should also be signed the solicitor or claimant. All evidence as well as the forms should be filed alongside the issue fee. The evidence should be served alongside the notice to the defendant, at least 3 days before the hearing, allowing time for the defendant to file their own evidence in reply. All evidence should be provided as witness statements, unless the court directs otherwise. </w:t>
      </w:r>
    </w:p>
    <w:p w14:paraId="04093C18" w14:textId="7CB9B320" w:rsidR="007E0703" w:rsidRDefault="007E0703">
      <w:r>
        <w:t>If no settlement can be reached pr</w:t>
      </w:r>
      <w:r w:rsidR="00A37F3F">
        <w:t>e</w:t>
      </w:r>
      <w:r>
        <w:t xml:space="preserve">-action, then a claim should be filed, using the N1 form. As per practice direction 7A, any claim below £100,000 must be filed via the county court money claims centre. </w:t>
      </w:r>
      <w:r w:rsidR="00AF1754">
        <w:t>Claims will usually be filed under CPR</w:t>
      </w:r>
      <w:r w:rsidR="007A0F84">
        <w:t xml:space="preserve"> (2025)</w:t>
      </w:r>
      <w:r w:rsidR="00AF1754">
        <w:t xml:space="preserve"> part 7, which is used to declare the issue as well as the remedy being sought. The court will also require that a statement of value be provided in the N1 form. The court will then issue the claim once copies of the completed N1 form are provided to the </w:t>
      </w:r>
      <w:r w:rsidR="00D60385">
        <w:t xml:space="preserve">relevant parties </w:t>
      </w:r>
    </w:p>
    <w:p w14:paraId="5C1F7F36" w14:textId="0A96BED1" w:rsidR="00B458CF" w:rsidRDefault="003C7C46">
      <w:r>
        <w:t xml:space="preserve"> </w:t>
      </w:r>
    </w:p>
    <w:p w14:paraId="3345F61A" w14:textId="7ED0369D" w:rsidR="00701B03" w:rsidRDefault="00701B03">
      <w:r>
        <w:t>References:</w:t>
      </w:r>
    </w:p>
    <w:p w14:paraId="5CCC8474" w14:textId="37FFF805" w:rsidR="00993F43" w:rsidRDefault="00993F43">
      <w:r>
        <w:t>‘</w:t>
      </w:r>
      <w:r>
        <w:t>Bolt Burdon Solicitors v Tariq and others</w:t>
      </w:r>
      <w:r>
        <w:t>’</w:t>
      </w:r>
      <w:r>
        <w:t xml:space="preserve"> (2016) EWCA </w:t>
      </w:r>
      <w:proofErr w:type="spellStart"/>
      <w:r>
        <w:t>Civ</w:t>
      </w:r>
      <w:proofErr w:type="spellEnd"/>
      <w:r>
        <w:t xml:space="preserve"> 845. Available at: </w:t>
      </w:r>
      <w:hyperlink r:id="rId4" w:history="1">
        <w:r w:rsidRPr="00AA18F6">
          <w:rPr>
            <w:rStyle w:val="Hyperlink"/>
          </w:rPr>
          <w:t>https://plus-lexis-com.ezproxy.uwtsd.ac.uk/uk/cases-uk/bolt-burdon-solicitors-v-tariq-and-others-</w:t>
        </w:r>
        <w:r w:rsidRPr="00AA18F6">
          <w:rPr>
            <w:rStyle w:val="Hyperlink"/>
          </w:rPr>
          <w:lastRenderedPageBreak/>
          <w:t>201/?crid=df8821de-7e11-4795-81dc-f94dfbf0651a&amp;pddocumentnumber=1</w:t>
        </w:r>
      </w:hyperlink>
      <w:r>
        <w:t xml:space="preserve"> (Accessed: 07/03/2025)</w:t>
      </w:r>
    </w:p>
    <w:p w14:paraId="46832DFD" w14:textId="3C86BCEE" w:rsidR="003803A3" w:rsidRDefault="003803A3">
      <w:r w:rsidRPr="003803A3">
        <w:rPr>
          <w:i/>
          <w:iCs/>
        </w:rPr>
        <w:t>Civil Evidence Act</w:t>
      </w:r>
      <w:r>
        <w:t xml:space="preserve"> 1968. Available at: </w:t>
      </w:r>
      <w:hyperlink r:id="rId5" w:history="1">
        <w:r w:rsidRPr="00AA18F6">
          <w:rPr>
            <w:rStyle w:val="Hyperlink"/>
          </w:rPr>
          <w:t>https://www.legislation.gov.uk/ukpga/1968/64/contents</w:t>
        </w:r>
      </w:hyperlink>
      <w:r>
        <w:t xml:space="preserve"> (Accessed: 07/03/2025) </w:t>
      </w:r>
    </w:p>
    <w:p w14:paraId="4D98E6A3" w14:textId="64DC82B7" w:rsidR="00835BAC" w:rsidRDefault="00835BAC">
      <w:r w:rsidRPr="00835BAC">
        <w:rPr>
          <w:i/>
          <w:iCs/>
        </w:rPr>
        <w:t>County Courts Act</w:t>
      </w:r>
      <w:r>
        <w:t xml:space="preserve"> 1984. Available at: </w:t>
      </w:r>
      <w:hyperlink r:id="rId6" w:history="1">
        <w:r w:rsidRPr="00AA18F6">
          <w:rPr>
            <w:rStyle w:val="Hyperlink"/>
          </w:rPr>
          <w:t>https://www.legislation.gov.uk/ukpga/1984/28/contents</w:t>
        </w:r>
      </w:hyperlink>
      <w:r>
        <w:t xml:space="preserve"> (Accessed: 07/03/2025)</w:t>
      </w:r>
    </w:p>
    <w:p w14:paraId="55DA9FE7" w14:textId="3C6BB35B" w:rsidR="007A0F84" w:rsidRDefault="007A0F84">
      <w:r>
        <w:t>Pre-Action Protocols for Personal Injury Claims [PAPPIC] (2024)</w:t>
      </w:r>
      <w:r>
        <w:t xml:space="preserve"> Available at: </w:t>
      </w:r>
      <w:hyperlink r:id="rId7" w:history="1">
        <w:r w:rsidRPr="00AA18F6">
          <w:rPr>
            <w:rStyle w:val="Hyperlink"/>
          </w:rPr>
          <w:t>https://www.justice.gov.uk/courts/procedure-rules/civil/protocol/prot_pic</w:t>
        </w:r>
      </w:hyperlink>
      <w:r>
        <w:t xml:space="preserve"> (07/03/2025)</w:t>
      </w:r>
    </w:p>
    <w:p w14:paraId="7D2AA87E" w14:textId="77777777" w:rsidR="00897C06" w:rsidRDefault="00897C06">
      <w:r>
        <w:t xml:space="preserve">Civil Procedure Rules [CPR] (2025). Available at: </w:t>
      </w:r>
      <w:hyperlink r:id="rId8" w:history="1">
        <w:r w:rsidRPr="00AA18F6">
          <w:rPr>
            <w:rStyle w:val="Hyperlink"/>
          </w:rPr>
          <w:t>https://www.justice.gov.uk/courts/procedure-rules/civil</w:t>
        </w:r>
      </w:hyperlink>
      <w:r>
        <w:t xml:space="preserve"> (Accessed: 07/03/2025)</w:t>
      </w:r>
    </w:p>
    <w:p w14:paraId="190AC903" w14:textId="7B1957F2" w:rsidR="007A0F84" w:rsidRDefault="007A0F84">
      <w:r>
        <w:t xml:space="preserve">CPR – </w:t>
      </w:r>
      <w:proofErr w:type="gramStart"/>
      <w:r>
        <w:t>Pre Action Protocols</w:t>
      </w:r>
      <w:proofErr w:type="gramEnd"/>
      <w:r>
        <w:t xml:space="preserve"> (2021). Available At: </w:t>
      </w:r>
      <w:hyperlink r:id="rId9" w:history="1">
        <w:r w:rsidRPr="00AA18F6">
          <w:rPr>
            <w:rStyle w:val="Hyperlink"/>
          </w:rPr>
          <w:t>https://www.justice.gov.uk/courts/procedure-rules/civil/protocol</w:t>
        </w:r>
      </w:hyperlink>
      <w:r>
        <w:t xml:space="preserve"> (Accessed: 07/03/2025) </w:t>
      </w:r>
    </w:p>
    <w:p w14:paraId="7519B9C9" w14:textId="1E1DED70" w:rsidR="00701B03" w:rsidRDefault="00701B03">
      <w:r w:rsidRPr="00701B03">
        <w:rPr>
          <w:i/>
          <w:iCs/>
        </w:rPr>
        <w:t>Conditional Fee Agreements Order</w:t>
      </w:r>
      <w:r>
        <w:t xml:space="preserve"> (SI 2013/ 689). Available At: </w:t>
      </w:r>
      <w:hyperlink r:id="rId10" w:history="1">
        <w:r w:rsidRPr="00AA18F6">
          <w:rPr>
            <w:rStyle w:val="Hyperlink"/>
          </w:rPr>
          <w:t>https://www.legislation.gov.uk/ukdsi/2013/9780111533437</w:t>
        </w:r>
      </w:hyperlink>
      <w:r>
        <w:t xml:space="preserve"> (Accessed: 07/03/2025)</w:t>
      </w:r>
    </w:p>
    <w:p w14:paraId="37567348" w14:textId="3659DDE4" w:rsidR="00701B03" w:rsidRDefault="00701B03">
      <w:r w:rsidRPr="00701B03">
        <w:rPr>
          <w:i/>
          <w:iCs/>
        </w:rPr>
        <w:t>Damages-Based Agreement Regulations</w:t>
      </w:r>
      <w:r>
        <w:t xml:space="preserve"> 2013</w:t>
      </w:r>
      <w:r>
        <w:t xml:space="preserve"> (SI 2013/ 609). Available at: </w:t>
      </w:r>
      <w:hyperlink r:id="rId11" w:history="1">
        <w:r w:rsidRPr="00AA18F6">
          <w:rPr>
            <w:rStyle w:val="Hyperlink"/>
          </w:rPr>
          <w:t>https://www.legislation.gov.uk/ukdsi/2013/9780111533444/contents</w:t>
        </w:r>
      </w:hyperlink>
      <w:r>
        <w:t xml:space="preserve"> (</w:t>
      </w:r>
      <w:r w:rsidR="00993F43">
        <w:t xml:space="preserve">Accessed: </w:t>
      </w:r>
      <w:r>
        <w:t>07/03/2025)</w:t>
      </w:r>
    </w:p>
    <w:p w14:paraId="44AD88B2" w14:textId="588EB675" w:rsidR="007A0F84" w:rsidRDefault="007A0F84">
      <w:r>
        <w:t>‘Hunter v Chief Constable of West Midlands Police’ (1981) WLR 906, 3</w:t>
      </w:r>
    </w:p>
    <w:p w14:paraId="1913FECF" w14:textId="16269439" w:rsidR="00FF42C5" w:rsidRDefault="00993F43">
      <w:r w:rsidRPr="00993F43">
        <w:rPr>
          <w:i/>
          <w:iCs/>
        </w:rPr>
        <w:t>Limitation Act</w:t>
      </w:r>
      <w:r>
        <w:t xml:space="preserve"> (1980). Available at: </w:t>
      </w:r>
      <w:hyperlink r:id="rId12" w:history="1">
        <w:r w:rsidRPr="00AA18F6">
          <w:rPr>
            <w:rStyle w:val="Hyperlink"/>
          </w:rPr>
          <w:t>https://www.legislation.gov.uk/ukpga/1980/58</w:t>
        </w:r>
      </w:hyperlink>
      <w:r>
        <w:t xml:space="preserve"> (Accessed: 07/03/2025)</w:t>
      </w:r>
    </w:p>
    <w:p w14:paraId="65BE4909" w14:textId="72BB2E5B" w:rsidR="00993F43" w:rsidRDefault="00993F43">
      <w:r w:rsidRPr="00993F43">
        <w:rPr>
          <w:i/>
          <w:iCs/>
        </w:rPr>
        <w:t>Road Traffic Act</w:t>
      </w:r>
      <w:r>
        <w:t xml:space="preserve"> (1988).  Available at: </w:t>
      </w:r>
      <w:hyperlink r:id="rId13" w:history="1">
        <w:r w:rsidRPr="00AA18F6">
          <w:rPr>
            <w:rStyle w:val="Hyperlink"/>
          </w:rPr>
          <w:t>https://www.legislation.gov.uk/ukpga/1988/52/contents</w:t>
        </w:r>
      </w:hyperlink>
      <w:r>
        <w:t xml:space="preserve"> (Accessed: 07/03/2025)</w:t>
      </w:r>
    </w:p>
    <w:p w14:paraId="31E04999" w14:textId="32BFCC51" w:rsidR="007A0F84" w:rsidRDefault="007A0F84">
      <w:r w:rsidRPr="00835BAC">
        <w:rPr>
          <w:i/>
          <w:iCs/>
        </w:rPr>
        <w:t>Senior Courts Act</w:t>
      </w:r>
      <w:r>
        <w:t xml:space="preserve"> 1981</w:t>
      </w:r>
      <w:r w:rsidR="00835BAC">
        <w:t xml:space="preserve">. Available at: </w:t>
      </w:r>
      <w:hyperlink r:id="rId14" w:history="1">
        <w:r w:rsidR="00835BAC" w:rsidRPr="00AA18F6">
          <w:rPr>
            <w:rStyle w:val="Hyperlink"/>
          </w:rPr>
          <w:t>https://www.legislation.gov.uk/ukpga/1981/54/contents</w:t>
        </w:r>
      </w:hyperlink>
      <w:r w:rsidR="00835BAC">
        <w:t xml:space="preserve"> (Accessed: 07/03/2025)</w:t>
      </w:r>
    </w:p>
    <w:sectPr w:rsidR="007A0F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DE5"/>
    <w:rsid w:val="000412AA"/>
    <w:rsid w:val="00111A14"/>
    <w:rsid w:val="00157FA1"/>
    <w:rsid w:val="00181DA5"/>
    <w:rsid w:val="00271599"/>
    <w:rsid w:val="002B23F1"/>
    <w:rsid w:val="003627AF"/>
    <w:rsid w:val="003803A3"/>
    <w:rsid w:val="003A3659"/>
    <w:rsid w:val="003C7C46"/>
    <w:rsid w:val="004A1859"/>
    <w:rsid w:val="005353A5"/>
    <w:rsid w:val="0059338F"/>
    <w:rsid w:val="006D4435"/>
    <w:rsid w:val="00701B03"/>
    <w:rsid w:val="00714F66"/>
    <w:rsid w:val="0071595F"/>
    <w:rsid w:val="007A0F84"/>
    <w:rsid w:val="007E0703"/>
    <w:rsid w:val="00835BAC"/>
    <w:rsid w:val="00897C06"/>
    <w:rsid w:val="008B5E95"/>
    <w:rsid w:val="00913C5E"/>
    <w:rsid w:val="00956EE7"/>
    <w:rsid w:val="00993F43"/>
    <w:rsid w:val="00A37F3F"/>
    <w:rsid w:val="00A50A58"/>
    <w:rsid w:val="00AA5D18"/>
    <w:rsid w:val="00AF1754"/>
    <w:rsid w:val="00AF30F3"/>
    <w:rsid w:val="00B458CF"/>
    <w:rsid w:val="00B4723A"/>
    <w:rsid w:val="00B62C80"/>
    <w:rsid w:val="00C326EE"/>
    <w:rsid w:val="00C34DE5"/>
    <w:rsid w:val="00C85290"/>
    <w:rsid w:val="00CF2555"/>
    <w:rsid w:val="00D60385"/>
    <w:rsid w:val="00DE3B9A"/>
    <w:rsid w:val="00E502C6"/>
    <w:rsid w:val="00E533AC"/>
    <w:rsid w:val="00E7182F"/>
    <w:rsid w:val="00ED30EC"/>
    <w:rsid w:val="00EF5BAD"/>
    <w:rsid w:val="00FF4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0BFD9"/>
  <w15:chartTrackingRefBased/>
  <w15:docId w15:val="{57DDB181-1AAC-4397-8419-E7E15E568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4D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4D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4D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4D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4D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4D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4D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4D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4D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4D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4D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4D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4D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4D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4D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4D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4D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4DE5"/>
    <w:rPr>
      <w:rFonts w:eastAsiaTheme="majorEastAsia" w:cstheme="majorBidi"/>
      <w:color w:val="272727" w:themeColor="text1" w:themeTint="D8"/>
    </w:rPr>
  </w:style>
  <w:style w:type="paragraph" w:styleId="Title">
    <w:name w:val="Title"/>
    <w:basedOn w:val="Normal"/>
    <w:next w:val="Normal"/>
    <w:link w:val="TitleChar"/>
    <w:uiPriority w:val="10"/>
    <w:qFormat/>
    <w:rsid w:val="00C34D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4D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4D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4D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4DE5"/>
    <w:pPr>
      <w:spacing w:before="160"/>
      <w:jc w:val="center"/>
    </w:pPr>
    <w:rPr>
      <w:i/>
      <w:iCs/>
      <w:color w:val="404040" w:themeColor="text1" w:themeTint="BF"/>
    </w:rPr>
  </w:style>
  <w:style w:type="character" w:customStyle="1" w:styleId="QuoteChar">
    <w:name w:val="Quote Char"/>
    <w:basedOn w:val="DefaultParagraphFont"/>
    <w:link w:val="Quote"/>
    <w:uiPriority w:val="29"/>
    <w:rsid w:val="00C34DE5"/>
    <w:rPr>
      <w:i/>
      <w:iCs/>
      <w:color w:val="404040" w:themeColor="text1" w:themeTint="BF"/>
    </w:rPr>
  </w:style>
  <w:style w:type="paragraph" w:styleId="ListParagraph">
    <w:name w:val="List Paragraph"/>
    <w:basedOn w:val="Normal"/>
    <w:uiPriority w:val="34"/>
    <w:qFormat/>
    <w:rsid w:val="00C34DE5"/>
    <w:pPr>
      <w:ind w:left="720"/>
      <w:contextualSpacing/>
    </w:pPr>
  </w:style>
  <w:style w:type="character" w:styleId="IntenseEmphasis">
    <w:name w:val="Intense Emphasis"/>
    <w:basedOn w:val="DefaultParagraphFont"/>
    <w:uiPriority w:val="21"/>
    <w:qFormat/>
    <w:rsid w:val="00C34DE5"/>
    <w:rPr>
      <w:i/>
      <w:iCs/>
      <w:color w:val="0F4761" w:themeColor="accent1" w:themeShade="BF"/>
    </w:rPr>
  </w:style>
  <w:style w:type="paragraph" w:styleId="IntenseQuote">
    <w:name w:val="Intense Quote"/>
    <w:basedOn w:val="Normal"/>
    <w:next w:val="Normal"/>
    <w:link w:val="IntenseQuoteChar"/>
    <w:uiPriority w:val="30"/>
    <w:qFormat/>
    <w:rsid w:val="00C34D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4DE5"/>
    <w:rPr>
      <w:i/>
      <w:iCs/>
      <w:color w:val="0F4761" w:themeColor="accent1" w:themeShade="BF"/>
    </w:rPr>
  </w:style>
  <w:style w:type="character" w:styleId="IntenseReference">
    <w:name w:val="Intense Reference"/>
    <w:basedOn w:val="DefaultParagraphFont"/>
    <w:uiPriority w:val="32"/>
    <w:qFormat/>
    <w:rsid w:val="00C34DE5"/>
    <w:rPr>
      <w:b/>
      <w:bCs/>
      <w:smallCaps/>
      <w:color w:val="0F4761" w:themeColor="accent1" w:themeShade="BF"/>
      <w:spacing w:val="5"/>
    </w:rPr>
  </w:style>
  <w:style w:type="character" w:styleId="Hyperlink">
    <w:name w:val="Hyperlink"/>
    <w:basedOn w:val="DefaultParagraphFont"/>
    <w:uiPriority w:val="99"/>
    <w:unhideWhenUsed/>
    <w:rsid w:val="00701B03"/>
    <w:rPr>
      <w:color w:val="467886" w:themeColor="hyperlink"/>
      <w:u w:val="single"/>
    </w:rPr>
  </w:style>
  <w:style w:type="character" w:styleId="UnresolvedMention">
    <w:name w:val="Unresolved Mention"/>
    <w:basedOn w:val="DefaultParagraphFont"/>
    <w:uiPriority w:val="99"/>
    <w:semiHidden/>
    <w:unhideWhenUsed/>
    <w:rsid w:val="00701B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gov.uk/courts/procedure-rules/civil" TargetMode="External"/><Relationship Id="rId13" Type="http://schemas.openxmlformats.org/officeDocument/2006/relationships/hyperlink" Target="https://www.legislation.gov.uk/ukpga/1988/52/contents" TargetMode="External"/><Relationship Id="rId3" Type="http://schemas.openxmlformats.org/officeDocument/2006/relationships/webSettings" Target="webSettings.xml"/><Relationship Id="rId7" Type="http://schemas.openxmlformats.org/officeDocument/2006/relationships/hyperlink" Target="https://www.justice.gov.uk/courts/procedure-rules/civil/protocol/prot_pic" TargetMode="External"/><Relationship Id="rId12" Type="http://schemas.openxmlformats.org/officeDocument/2006/relationships/hyperlink" Target="https://www.legislation.gov.uk/ukpga/1980/58"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legislation.gov.uk/ukpga/1984/28/contents" TargetMode="External"/><Relationship Id="rId11" Type="http://schemas.openxmlformats.org/officeDocument/2006/relationships/hyperlink" Target="https://www.legislation.gov.uk/ukdsi/2013/9780111533444/contents" TargetMode="External"/><Relationship Id="rId5" Type="http://schemas.openxmlformats.org/officeDocument/2006/relationships/hyperlink" Target="https://www.legislation.gov.uk/ukpga/1968/64/contents" TargetMode="External"/><Relationship Id="rId15" Type="http://schemas.openxmlformats.org/officeDocument/2006/relationships/fontTable" Target="fontTable.xml"/><Relationship Id="rId10" Type="http://schemas.openxmlformats.org/officeDocument/2006/relationships/hyperlink" Target="https://www.legislation.gov.uk/ukdsi/2013/9780111533437" TargetMode="External"/><Relationship Id="rId4" Type="http://schemas.openxmlformats.org/officeDocument/2006/relationships/hyperlink" Target="https://plus-lexis-com.ezproxy.uwtsd.ac.uk/uk/cases-uk/bolt-burdon-solicitors-v-tariq-and-others-201/?crid=df8821de-7e11-4795-81dc-f94dfbf0651a&amp;pddocumentnumber=1" TargetMode="External"/><Relationship Id="rId9" Type="http://schemas.openxmlformats.org/officeDocument/2006/relationships/hyperlink" Target="https://www.justice.gov.uk/courts/procedure-rules/civil/protocol" TargetMode="External"/><Relationship Id="rId14" Type="http://schemas.openxmlformats.org/officeDocument/2006/relationships/hyperlink" Target="https://www.legislation.gov.uk/ukpga/1981/54/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2348</Words>
  <Characters>13384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Gabrial Harris</dc:creator>
  <cp:keywords/>
  <dc:description/>
  <cp:lastModifiedBy>Gabrial Harris</cp:lastModifiedBy>
  <cp:revision>2</cp:revision>
  <dcterms:created xsi:type="dcterms:W3CDTF">2025-03-07T16:27:00Z</dcterms:created>
  <dcterms:modified xsi:type="dcterms:W3CDTF">2025-03-07T16:27:00Z</dcterms:modified>
</cp:coreProperties>
</file>