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18009" w14:textId="1858A3F3" w:rsidR="0012087C" w:rsidRDefault="0012087C" w:rsidP="0012087C">
      <w:pPr>
        <w:spacing w:line="360" w:lineRule="auto"/>
        <w:rPr>
          <w:rFonts w:ascii="Arial" w:hAnsi="Arial" w:cs="Arial"/>
          <w:b/>
          <w:bCs/>
          <w:sz w:val="22"/>
          <w:szCs w:val="22"/>
          <w:lang w:val="uk-UA"/>
        </w:rPr>
      </w:pPr>
      <w:r w:rsidRPr="000B3036">
        <w:rPr>
          <w:noProof/>
        </w:rPr>
        <w:drawing>
          <wp:anchor distT="0" distB="0" distL="114300" distR="114300" simplePos="0" relativeHeight="251659264" behindDoc="0" locked="0" layoutInCell="1" allowOverlap="1" wp14:anchorId="1B965308" wp14:editId="70FC24C2">
            <wp:simplePos x="0" y="0"/>
            <wp:positionH relativeFrom="column">
              <wp:posOffset>0</wp:posOffset>
            </wp:positionH>
            <wp:positionV relativeFrom="paragraph">
              <wp:posOffset>239395</wp:posOffset>
            </wp:positionV>
            <wp:extent cx="2368550" cy="946785"/>
            <wp:effectExtent l="0" t="0" r="635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368550" cy="946785"/>
                    </a:xfrm>
                    <a:prstGeom prst="rect">
                      <a:avLst/>
                    </a:prstGeom>
                    <a:noFill/>
                  </pic:spPr>
                </pic:pic>
              </a:graphicData>
            </a:graphic>
            <wp14:sizeRelH relativeFrom="page">
              <wp14:pctWidth>0</wp14:pctWidth>
            </wp14:sizeRelH>
            <wp14:sizeRelV relativeFrom="page">
              <wp14:pctHeight>0</wp14:pctHeight>
            </wp14:sizeRelV>
          </wp:anchor>
        </w:drawing>
      </w:r>
    </w:p>
    <w:p w14:paraId="50166544" w14:textId="77777777" w:rsidR="0012087C" w:rsidRDefault="0012087C" w:rsidP="0012087C">
      <w:pPr>
        <w:tabs>
          <w:tab w:val="left" w:pos="6540"/>
        </w:tabs>
        <w:spacing w:line="360" w:lineRule="auto"/>
        <w:rPr>
          <w:rFonts w:ascii="Arial" w:hAnsi="Arial" w:cs="Arial"/>
          <w:b/>
          <w:bCs/>
          <w:sz w:val="32"/>
          <w:szCs w:val="32"/>
          <w:lang w:val="uk-UA"/>
        </w:rPr>
      </w:pPr>
    </w:p>
    <w:p w14:paraId="38C99E97" w14:textId="77777777" w:rsidR="0012087C" w:rsidRDefault="0012087C" w:rsidP="0012087C">
      <w:pPr>
        <w:tabs>
          <w:tab w:val="left" w:pos="6540"/>
        </w:tabs>
        <w:spacing w:line="360" w:lineRule="auto"/>
        <w:rPr>
          <w:rFonts w:ascii="Arial" w:hAnsi="Arial" w:cs="Arial"/>
          <w:b/>
          <w:bCs/>
          <w:sz w:val="32"/>
          <w:szCs w:val="32"/>
          <w:lang w:val="uk-UA"/>
        </w:rPr>
      </w:pPr>
    </w:p>
    <w:p w14:paraId="093A2AF5" w14:textId="77777777" w:rsidR="0012087C" w:rsidRDefault="0012087C" w:rsidP="0012087C">
      <w:pPr>
        <w:tabs>
          <w:tab w:val="left" w:pos="6540"/>
        </w:tabs>
        <w:spacing w:line="360" w:lineRule="auto"/>
        <w:rPr>
          <w:rFonts w:ascii="Arial" w:hAnsi="Arial" w:cs="Arial"/>
          <w:b/>
          <w:bCs/>
          <w:sz w:val="32"/>
          <w:szCs w:val="32"/>
          <w:lang w:val="uk-UA"/>
        </w:rPr>
      </w:pPr>
    </w:p>
    <w:p w14:paraId="57C3991F" w14:textId="77777777" w:rsidR="0012087C" w:rsidRDefault="0012087C" w:rsidP="0012087C">
      <w:pPr>
        <w:tabs>
          <w:tab w:val="left" w:pos="6540"/>
        </w:tabs>
        <w:spacing w:line="360" w:lineRule="auto"/>
        <w:rPr>
          <w:rFonts w:ascii="Arial" w:hAnsi="Arial" w:cs="Arial"/>
          <w:b/>
          <w:bCs/>
          <w:sz w:val="32"/>
          <w:szCs w:val="32"/>
          <w:lang w:val="uk-UA"/>
        </w:rPr>
      </w:pPr>
    </w:p>
    <w:p w14:paraId="028B8713" w14:textId="77777777" w:rsidR="0012087C" w:rsidRDefault="0012087C" w:rsidP="0012087C">
      <w:pPr>
        <w:tabs>
          <w:tab w:val="left" w:pos="6540"/>
        </w:tabs>
        <w:spacing w:line="360" w:lineRule="auto"/>
        <w:rPr>
          <w:rFonts w:ascii="Arial" w:hAnsi="Arial" w:cs="Arial"/>
          <w:b/>
          <w:bCs/>
          <w:sz w:val="32"/>
          <w:szCs w:val="32"/>
          <w:lang w:val="uk-UA"/>
        </w:rPr>
      </w:pPr>
    </w:p>
    <w:p w14:paraId="68D905A4" w14:textId="05D61FB8" w:rsidR="0012087C" w:rsidRPr="000B3036" w:rsidRDefault="0012087C" w:rsidP="0012087C">
      <w:pPr>
        <w:tabs>
          <w:tab w:val="left" w:pos="6540"/>
        </w:tabs>
        <w:spacing w:line="360" w:lineRule="auto"/>
        <w:rPr>
          <w:rFonts w:ascii="Arial" w:hAnsi="Arial" w:cs="Arial"/>
          <w:sz w:val="32"/>
          <w:szCs w:val="32"/>
          <w:lang w:val="uk-UA"/>
        </w:rPr>
      </w:pPr>
      <w:r w:rsidRPr="000B3036">
        <w:rPr>
          <w:rFonts w:ascii="Arial" w:hAnsi="Arial" w:cs="Arial"/>
          <w:b/>
          <w:bCs/>
          <w:sz w:val="32"/>
          <w:szCs w:val="32"/>
          <w:lang w:val="nl-NL"/>
        </w:rPr>
        <w:t>Student name</w:t>
      </w:r>
      <w:r w:rsidRPr="000B3036">
        <w:rPr>
          <w:rFonts w:ascii="Arial" w:hAnsi="Arial" w:cs="Arial"/>
          <w:sz w:val="32"/>
          <w:szCs w:val="32"/>
          <w:lang w:val="nl-NL"/>
        </w:rPr>
        <w:t>:</w:t>
      </w:r>
      <w:r w:rsidRPr="000B3036">
        <w:rPr>
          <w:rFonts w:ascii="Arial" w:hAnsi="Arial" w:cs="Arial"/>
          <w:sz w:val="32"/>
          <w:szCs w:val="32"/>
          <w:lang w:val="uk-UA"/>
        </w:rPr>
        <w:t xml:space="preserve"> </w:t>
      </w:r>
      <w:r w:rsidRPr="000B3036">
        <w:rPr>
          <w:rFonts w:ascii="Arial" w:hAnsi="Arial" w:cs="Arial"/>
          <w:sz w:val="32"/>
          <w:szCs w:val="32"/>
        </w:rPr>
        <w:t>Yuliia Silman</w:t>
      </w:r>
    </w:p>
    <w:p w14:paraId="68BA45FC" w14:textId="77777777" w:rsidR="0012087C" w:rsidRPr="000B3036" w:rsidRDefault="0012087C" w:rsidP="0012087C">
      <w:pPr>
        <w:tabs>
          <w:tab w:val="left" w:pos="6540"/>
        </w:tabs>
        <w:spacing w:line="360" w:lineRule="auto"/>
        <w:rPr>
          <w:rFonts w:ascii="Arial" w:hAnsi="Arial" w:cs="Arial"/>
          <w:sz w:val="32"/>
          <w:szCs w:val="32"/>
          <w:lang w:val="uk-UA"/>
        </w:rPr>
      </w:pPr>
    </w:p>
    <w:p w14:paraId="4D1BB37B" w14:textId="77777777" w:rsidR="0012087C" w:rsidRPr="000B3036" w:rsidRDefault="0012087C" w:rsidP="0012087C">
      <w:pPr>
        <w:tabs>
          <w:tab w:val="left" w:pos="6540"/>
        </w:tabs>
        <w:spacing w:line="360" w:lineRule="auto"/>
        <w:rPr>
          <w:rFonts w:ascii="Arial" w:hAnsi="Arial" w:cs="Arial"/>
          <w:sz w:val="32"/>
          <w:szCs w:val="32"/>
          <w:lang w:val="nl-NL"/>
        </w:rPr>
      </w:pPr>
      <w:r w:rsidRPr="000B3036">
        <w:rPr>
          <w:rFonts w:ascii="Arial" w:hAnsi="Arial" w:cs="Arial"/>
          <w:b/>
          <w:bCs/>
          <w:sz w:val="32"/>
          <w:szCs w:val="32"/>
          <w:lang w:val="nl-NL"/>
        </w:rPr>
        <w:t>Student ID</w:t>
      </w:r>
      <w:r w:rsidRPr="000B3036">
        <w:rPr>
          <w:rFonts w:ascii="Arial" w:hAnsi="Arial" w:cs="Arial"/>
          <w:sz w:val="32"/>
          <w:szCs w:val="32"/>
          <w:lang w:val="nl-NL"/>
        </w:rPr>
        <w:t>: 2431446</w:t>
      </w:r>
    </w:p>
    <w:p w14:paraId="3AC154D8" w14:textId="77777777" w:rsidR="0012087C" w:rsidRPr="000B3036" w:rsidRDefault="0012087C" w:rsidP="0012087C">
      <w:pPr>
        <w:tabs>
          <w:tab w:val="left" w:pos="6540"/>
        </w:tabs>
        <w:spacing w:line="360" w:lineRule="auto"/>
        <w:rPr>
          <w:rFonts w:ascii="Arial" w:hAnsi="Arial" w:cs="Arial"/>
          <w:sz w:val="32"/>
          <w:szCs w:val="32"/>
          <w:lang w:val="nl-NL"/>
        </w:rPr>
      </w:pPr>
    </w:p>
    <w:p w14:paraId="25E0B02C" w14:textId="77777777" w:rsidR="0012087C" w:rsidRPr="000B3036" w:rsidRDefault="0012087C" w:rsidP="0012087C">
      <w:pPr>
        <w:pStyle w:val="p1"/>
        <w:spacing w:line="360" w:lineRule="auto"/>
        <w:rPr>
          <w:rFonts w:ascii="Arial" w:hAnsi="Arial" w:cs="Arial"/>
          <w:sz w:val="32"/>
          <w:szCs w:val="32"/>
        </w:rPr>
      </w:pPr>
      <w:r w:rsidRPr="000B3036">
        <w:rPr>
          <w:rFonts w:ascii="Arial" w:hAnsi="Arial" w:cs="Arial"/>
          <w:b/>
          <w:bCs/>
          <w:sz w:val="32"/>
          <w:szCs w:val="32"/>
          <w:lang w:val="nl-NL"/>
        </w:rPr>
        <w:t>Module name</w:t>
      </w:r>
      <w:r w:rsidRPr="000B3036">
        <w:rPr>
          <w:rFonts w:ascii="Arial" w:hAnsi="Arial" w:cs="Arial"/>
          <w:sz w:val="32"/>
          <w:szCs w:val="32"/>
          <w:lang w:val="nl-NL"/>
        </w:rPr>
        <w:t xml:space="preserve">: </w:t>
      </w:r>
      <w:r w:rsidRPr="000B3036">
        <w:rPr>
          <w:rFonts w:ascii="Arial" w:hAnsi="Arial" w:cs="Arial"/>
          <w:sz w:val="32"/>
          <w:szCs w:val="32"/>
        </w:rPr>
        <w:t>Principles of Health and Social Care Practice</w:t>
      </w:r>
    </w:p>
    <w:p w14:paraId="37D34953" w14:textId="77777777" w:rsidR="0012087C" w:rsidRPr="000B3036" w:rsidRDefault="0012087C" w:rsidP="0012087C">
      <w:pPr>
        <w:pStyle w:val="p1"/>
        <w:spacing w:line="360" w:lineRule="auto"/>
        <w:rPr>
          <w:rFonts w:ascii="Arial" w:hAnsi="Arial" w:cs="Arial"/>
          <w:b/>
          <w:bCs/>
          <w:sz w:val="32"/>
          <w:szCs w:val="32"/>
        </w:rPr>
      </w:pPr>
    </w:p>
    <w:p w14:paraId="3FB0B79D" w14:textId="77777777" w:rsidR="0012087C" w:rsidRPr="000B3036" w:rsidRDefault="0012087C" w:rsidP="0012087C">
      <w:pPr>
        <w:pStyle w:val="p1"/>
        <w:spacing w:line="360" w:lineRule="auto"/>
        <w:rPr>
          <w:rFonts w:ascii="Arial" w:hAnsi="Arial" w:cs="Arial"/>
          <w:sz w:val="32"/>
          <w:szCs w:val="32"/>
        </w:rPr>
      </w:pPr>
      <w:r w:rsidRPr="000B3036">
        <w:rPr>
          <w:rFonts w:ascii="Arial" w:hAnsi="Arial" w:cs="Arial"/>
          <w:b/>
          <w:bCs/>
          <w:sz w:val="32"/>
          <w:szCs w:val="32"/>
        </w:rPr>
        <w:t>Module code</w:t>
      </w:r>
      <w:r w:rsidRPr="000B3036">
        <w:rPr>
          <w:rFonts w:ascii="Arial" w:hAnsi="Arial" w:cs="Arial"/>
          <w:sz w:val="32"/>
          <w:szCs w:val="32"/>
        </w:rPr>
        <w:t xml:space="preserve">: BMHP5016 </w:t>
      </w:r>
    </w:p>
    <w:p w14:paraId="7980E04B" w14:textId="77777777" w:rsidR="0012087C" w:rsidRPr="000B3036" w:rsidRDefault="0012087C" w:rsidP="0012087C">
      <w:pPr>
        <w:tabs>
          <w:tab w:val="left" w:pos="6540"/>
        </w:tabs>
        <w:spacing w:line="360" w:lineRule="auto"/>
        <w:rPr>
          <w:rFonts w:ascii="Arial" w:hAnsi="Arial" w:cs="Arial"/>
          <w:sz w:val="32"/>
          <w:szCs w:val="32"/>
        </w:rPr>
      </w:pPr>
    </w:p>
    <w:p w14:paraId="60298A6A" w14:textId="77777777" w:rsidR="0012087C" w:rsidRPr="000B3036" w:rsidRDefault="0012087C" w:rsidP="0012087C">
      <w:pPr>
        <w:tabs>
          <w:tab w:val="left" w:pos="6540"/>
        </w:tabs>
        <w:spacing w:line="360" w:lineRule="auto"/>
        <w:rPr>
          <w:rFonts w:ascii="Arial" w:hAnsi="Arial" w:cs="Arial"/>
          <w:sz w:val="32"/>
          <w:szCs w:val="32"/>
          <w:lang w:val="uk-UA"/>
        </w:rPr>
      </w:pPr>
      <w:r w:rsidRPr="000B3036">
        <w:rPr>
          <w:rFonts w:ascii="Arial" w:hAnsi="Arial" w:cs="Arial"/>
          <w:b/>
          <w:bCs/>
          <w:sz w:val="32"/>
          <w:szCs w:val="32"/>
        </w:rPr>
        <w:t>Lecturer name</w:t>
      </w:r>
      <w:r w:rsidRPr="000B3036">
        <w:rPr>
          <w:rFonts w:ascii="Arial" w:hAnsi="Arial" w:cs="Arial"/>
          <w:sz w:val="32"/>
          <w:szCs w:val="32"/>
        </w:rPr>
        <w:t>:</w:t>
      </w:r>
      <w:r w:rsidRPr="000B3036">
        <w:rPr>
          <w:rFonts w:ascii="Arial" w:hAnsi="Arial" w:cs="Arial"/>
          <w:sz w:val="32"/>
          <w:szCs w:val="32"/>
          <w:lang w:val="uk-UA"/>
        </w:rPr>
        <w:t xml:space="preserve"> </w:t>
      </w:r>
      <w:proofErr w:type="spellStart"/>
      <w:r w:rsidRPr="000B3036">
        <w:rPr>
          <w:rFonts w:ascii="Arial" w:hAnsi="Arial" w:cs="Arial"/>
          <w:color w:val="1D2125"/>
          <w:sz w:val="32"/>
          <w:szCs w:val="32"/>
          <w:shd w:val="clear" w:color="auto" w:fill="FFFFFF"/>
        </w:rPr>
        <w:t>Itse</w:t>
      </w:r>
      <w:proofErr w:type="spellEnd"/>
      <w:r w:rsidRPr="000B3036">
        <w:rPr>
          <w:rFonts w:ascii="Arial" w:hAnsi="Arial" w:cs="Arial"/>
          <w:color w:val="1D2125"/>
          <w:sz w:val="32"/>
          <w:szCs w:val="32"/>
          <w:shd w:val="clear" w:color="auto" w:fill="FFFFFF"/>
        </w:rPr>
        <w:t xml:space="preserve"> Olaoye</w:t>
      </w:r>
    </w:p>
    <w:p w14:paraId="34AFF760" w14:textId="77777777" w:rsidR="0012087C" w:rsidRPr="000B3036" w:rsidRDefault="0012087C" w:rsidP="0012087C">
      <w:pPr>
        <w:pStyle w:val="p1"/>
        <w:spacing w:line="360" w:lineRule="auto"/>
        <w:jc w:val="both"/>
        <w:rPr>
          <w:rFonts w:ascii="Arial" w:hAnsi="Arial" w:cs="Arial"/>
          <w:b/>
          <w:bCs/>
          <w:sz w:val="32"/>
          <w:szCs w:val="32"/>
          <w:lang w:val="uk-UA"/>
        </w:rPr>
      </w:pPr>
    </w:p>
    <w:p w14:paraId="5DB1E2CF" w14:textId="77777777" w:rsidR="0012087C" w:rsidRPr="000B3036" w:rsidRDefault="0012087C" w:rsidP="0012087C">
      <w:pPr>
        <w:pStyle w:val="p1"/>
        <w:spacing w:line="360" w:lineRule="auto"/>
        <w:jc w:val="both"/>
        <w:rPr>
          <w:rFonts w:ascii="Arial" w:hAnsi="Arial" w:cs="Arial"/>
          <w:sz w:val="32"/>
          <w:szCs w:val="32"/>
          <w:lang w:val="uk-UA"/>
        </w:rPr>
      </w:pPr>
      <w:r w:rsidRPr="000B3036">
        <w:rPr>
          <w:rFonts w:ascii="Arial" w:hAnsi="Arial" w:cs="Arial"/>
          <w:b/>
          <w:bCs/>
          <w:sz w:val="32"/>
          <w:szCs w:val="32"/>
        </w:rPr>
        <w:t>Assessment</w:t>
      </w:r>
      <w:r w:rsidRPr="000B3036">
        <w:rPr>
          <w:rFonts w:ascii="Arial" w:hAnsi="Arial" w:cs="Arial"/>
          <w:b/>
          <w:bCs/>
          <w:sz w:val="32"/>
          <w:szCs w:val="32"/>
          <w:lang w:val="uk-UA"/>
        </w:rPr>
        <w:t xml:space="preserve"> 2</w:t>
      </w:r>
      <w:r w:rsidRPr="000B3036">
        <w:rPr>
          <w:rFonts w:ascii="Arial" w:hAnsi="Arial" w:cs="Arial"/>
          <w:b/>
          <w:bCs/>
          <w:sz w:val="32"/>
          <w:szCs w:val="32"/>
        </w:rPr>
        <w:t xml:space="preserve">: </w:t>
      </w:r>
      <w:r w:rsidRPr="000B3036">
        <w:rPr>
          <w:rFonts w:ascii="Arial" w:hAnsi="Arial" w:cs="Arial"/>
          <w:sz w:val="32"/>
          <w:szCs w:val="32"/>
        </w:rPr>
        <w:t>Bronfenbrenner’s Ecological Systems Theory and Its Relevance to Person-Centred Health and Social Care</w:t>
      </w:r>
    </w:p>
    <w:p w14:paraId="5217029F" w14:textId="77777777" w:rsidR="0012087C" w:rsidRDefault="0012087C" w:rsidP="0012087C">
      <w:pPr>
        <w:spacing w:line="360" w:lineRule="auto"/>
        <w:rPr>
          <w:rFonts w:ascii="Arial" w:hAnsi="Arial" w:cs="Arial"/>
          <w:b/>
          <w:bCs/>
          <w:sz w:val="22"/>
          <w:szCs w:val="22"/>
          <w:lang w:val="uk-UA"/>
        </w:rPr>
      </w:pPr>
    </w:p>
    <w:p w14:paraId="5B050A35" w14:textId="77777777" w:rsidR="0012087C" w:rsidRDefault="0012087C" w:rsidP="0012087C">
      <w:pPr>
        <w:spacing w:line="360" w:lineRule="auto"/>
        <w:rPr>
          <w:rFonts w:ascii="Arial" w:hAnsi="Arial" w:cs="Arial"/>
          <w:b/>
          <w:bCs/>
          <w:sz w:val="22"/>
          <w:szCs w:val="22"/>
          <w:lang w:val="uk-UA"/>
        </w:rPr>
      </w:pPr>
    </w:p>
    <w:p w14:paraId="2D929DD5" w14:textId="77777777" w:rsidR="0012087C" w:rsidRDefault="0012087C" w:rsidP="0012087C">
      <w:pPr>
        <w:spacing w:line="360" w:lineRule="auto"/>
        <w:rPr>
          <w:rFonts w:ascii="Arial" w:hAnsi="Arial" w:cs="Arial"/>
          <w:b/>
          <w:bCs/>
          <w:sz w:val="22"/>
          <w:szCs w:val="22"/>
          <w:lang w:val="uk-UA"/>
        </w:rPr>
      </w:pPr>
    </w:p>
    <w:p w14:paraId="44FF75A9" w14:textId="77777777" w:rsidR="0012087C" w:rsidRDefault="0012087C" w:rsidP="0012087C">
      <w:pPr>
        <w:spacing w:line="360" w:lineRule="auto"/>
        <w:rPr>
          <w:rFonts w:ascii="Arial" w:hAnsi="Arial" w:cs="Arial"/>
          <w:b/>
          <w:bCs/>
          <w:sz w:val="22"/>
          <w:szCs w:val="22"/>
          <w:lang w:val="uk-UA"/>
        </w:rPr>
      </w:pPr>
    </w:p>
    <w:p w14:paraId="31292168" w14:textId="77777777" w:rsidR="0012087C" w:rsidRDefault="0012087C" w:rsidP="0012087C">
      <w:pPr>
        <w:spacing w:line="360" w:lineRule="auto"/>
        <w:rPr>
          <w:rFonts w:ascii="Arial" w:hAnsi="Arial" w:cs="Arial"/>
          <w:b/>
          <w:bCs/>
          <w:sz w:val="22"/>
          <w:szCs w:val="22"/>
          <w:lang w:val="uk-UA"/>
        </w:rPr>
      </w:pPr>
    </w:p>
    <w:p w14:paraId="3DF4D6FA" w14:textId="77777777" w:rsidR="0012087C" w:rsidRDefault="0012087C" w:rsidP="0012087C">
      <w:pPr>
        <w:spacing w:line="360" w:lineRule="auto"/>
        <w:rPr>
          <w:rFonts w:ascii="Arial" w:hAnsi="Arial" w:cs="Arial"/>
          <w:b/>
          <w:bCs/>
          <w:sz w:val="22"/>
          <w:szCs w:val="22"/>
          <w:lang w:val="uk-UA"/>
        </w:rPr>
      </w:pPr>
    </w:p>
    <w:p w14:paraId="026DDEC4" w14:textId="77777777" w:rsidR="0012087C" w:rsidRDefault="0012087C" w:rsidP="0012087C">
      <w:pPr>
        <w:spacing w:line="360" w:lineRule="auto"/>
        <w:rPr>
          <w:rFonts w:ascii="Arial" w:hAnsi="Arial" w:cs="Arial"/>
          <w:b/>
          <w:bCs/>
          <w:sz w:val="22"/>
          <w:szCs w:val="22"/>
          <w:lang w:val="uk-UA"/>
        </w:rPr>
      </w:pPr>
    </w:p>
    <w:p w14:paraId="5D2E14F0" w14:textId="77777777" w:rsidR="0012087C" w:rsidRDefault="0012087C" w:rsidP="0012087C">
      <w:pPr>
        <w:spacing w:line="360" w:lineRule="auto"/>
        <w:rPr>
          <w:rFonts w:ascii="Arial" w:hAnsi="Arial" w:cs="Arial"/>
          <w:b/>
          <w:bCs/>
          <w:sz w:val="22"/>
          <w:szCs w:val="22"/>
          <w:lang w:val="uk-UA"/>
        </w:rPr>
      </w:pPr>
    </w:p>
    <w:p w14:paraId="5805F994" w14:textId="77777777" w:rsidR="0012087C" w:rsidRDefault="0012087C" w:rsidP="0012087C">
      <w:pPr>
        <w:spacing w:line="360" w:lineRule="auto"/>
        <w:rPr>
          <w:rFonts w:ascii="Arial" w:hAnsi="Arial" w:cs="Arial"/>
          <w:b/>
          <w:bCs/>
          <w:sz w:val="22"/>
          <w:szCs w:val="22"/>
          <w:lang w:val="uk-UA"/>
        </w:rPr>
      </w:pPr>
    </w:p>
    <w:p w14:paraId="7A9D47BD" w14:textId="77777777" w:rsidR="0012087C" w:rsidRDefault="0012087C" w:rsidP="0012087C">
      <w:pPr>
        <w:spacing w:line="360" w:lineRule="auto"/>
        <w:rPr>
          <w:rFonts w:ascii="Arial" w:hAnsi="Arial" w:cs="Arial"/>
          <w:b/>
          <w:bCs/>
          <w:sz w:val="22"/>
          <w:szCs w:val="22"/>
          <w:lang w:val="uk-UA"/>
        </w:rPr>
      </w:pPr>
    </w:p>
    <w:p w14:paraId="76D17E34" w14:textId="77777777" w:rsidR="0012087C" w:rsidRDefault="0012087C" w:rsidP="0012087C">
      <w:pPr>
        <w:spacing w:line="360" w:lineRule="auto"/>
        <w:rPr>
          <w:rFonts w:ascii="Arial" w:hAnsi="Arial" w:cs="Arial"/>
          <w:b/>
          <w:bCs/>
          <w:sz w:val="22"/>
          <w:szCs w:val="22"/>
          <w:lang w:val="uk-UA"/>
        </w:rPr>
      </w:pPr>
    </w:p>
    <w:sdt>
      <w:sdtPr>
        <w:rPr>
          <w:rFonts w:ascii="Arial" w:eastAsia="Times New Roman" w:hAnsi="Arial" w:cs="Arial"/>
          <w:b w:val="0"/>
          <w:bCs w:val="0"/>
          <w:color w:val="auto"/>
          <w:sz w:val="24"/>
          <w:szCs w:val="24"/>
          <w:lang w:val="en-GB"/>
        </w:rPr>
        <w:id w:val="1928837508"/>
        <w:docPartObj>
          <w:docPartGallery w:val="Table of Contents"/>
          <w:docPartUnique/>
        </w:docPartObj>
      </w:sdtPr>
      <w:sdtEndPr>
        <w:rPr>
          <w:rFonts w:ascii="Times New Roman" w:hAnsi="Times New Roman" w:cs="Times New Roman"/>
          <w:b/>
          <w:bCs/>
          <w:noProof/>
        </w:rPr>
      </w:sdtEndPr>
      <w:sdtContent>
        <w:p w14:paraId="6B3CEA31" w14:textId="1B056837" w:rsidR="00A21F27" w:rsidRPr="00A21F27" w:rsidRDefault="00A21F27">
          <w:pPr>
            <w:pStyle w:val="TOCHeading"/>
            <w:rPr>
              <w:rFonts w:ascii="Arial" w:hAnsi="Arial" w:cs="Arial"/>
              <w:b w:val="0"/>
              <w:bCs w:val="0"/>
            </w:rPr>
          </w:pPr>
          <w:r w:rsidRPr="00A21F27">
            <w:rPr>
              <w:rFonts w:ascii="Arial" w:hAnsi="Arial" w:cs="Arial"/>
              <w:b w:val="0"/>
              <w:bCs w:val="0"/>
            </w:rPr>
            <w:t>Table of Contents</w:t>
          </w:r>
        </w:p>
        <w:p w14:paraId="0FA1CEFB" w14:textId="510DF336" w:rsidR="00A21F27" w:rsidRPr="00A21F27" w:rsidRDefault="00A21F27">
          <w:pPr>
            <w:pStyle w:val="TOC1"/>
            <w:tabs>
              <w:tab w:val="right" w:leader="dot" w:pos="9016"/>
            </w:tabs>
            <w:rPr>
              <w:rFonts w:ascii="Arial" w:eastAsiaTheme="minorEastAsia" w:hAnsi="Arial" w:cs="Arial"/>
              <w:b w:val="0"/>
              <w:bCs w:val="0"/>
              <w:i w:val="0"/>
              <w:iCs w:val="0"/>
              <w:noProof/>
              <w:kern w:val="2"/>
              <w:sz w:val="28"/>
              <w:szCs w:val="28"/>
              <w14:ligatures w14:val="standardContextual"/>
            </w:rPr>
          </w:pPr>
          <w:r w:rsidRPr="00A21F27">
            <w:rPr>
              <w:rFonts w:ascii="Arial" w:hAnsi="Arial" w:cs="Arial"/>
              <w:b w:val="0"/>
              <w:bCs w:val="0"/>
              <w:i w:val="0"/>
              <w:iCs w:val="0"/>
              <w:sz w:val="28"/>
              <w:szCs w:val="28"/>
            </w:rPr>
            <w:fldChar w:fldCharType="begin"/>
          </w:r>
          <w:r w:rsidRPr="00A21F27">
            <w:rPr>
              <w:rFonts w:ascii="Arial" w:hAnsi="Arial" w:cs="Arial"/>
              <w:b w:val="0"/>
              <w:bCs w:val="0"/>
              <w:i w:val="0"/>
              <w:iCs w:val="0"/>
              <w:sz w:val="28"/>
              <w:szCs w:val="28"/>
            </w:rPr>
            <w:instrText xml:space="preserve"> TOC \o "1-3" \h \z \u </w:instrText>
          </w:r>
          <w:r w:rsidRPr="00A21F27">
            <w:rPr>
              <w:rFonts w:ascii="Arial" w:hAnsi="Arial" w:cs="Arial"/>
              <w:b w:val="0"/>
              <w:bCs w:val="0"/>
              <w:i w:val="0"/>
              <w:iCs w:val="0"/>
              <w:sz w:val="28"/>
              <w:szCs w:val="28"/>
            </w:rPr>
            <w:fldChar w:fldCharType="separate"/>
          </w:r>
          <w:hyperlink w:anchor="_Toc228303521" w:history="1">
            <w:r w:rsidRPr="00A21F27">
              <w:rPr>
                <w:rStyle w:val="Hyperlink"/>
                <w:rFonts w:ascii="Arial" w:hAnsi="Arial" w:cs="Arial"/>
                <w:b w:val="0"/>
                <w:bCs w:val="0"/>
                <w:i w:val="0"/>
                <w:iCs w:val="0"/>
                <w:noProof/>
                <w:sz w:val="28"/>
                <w:szCs w:val="28"/>
              </w:rPr>
              <w:t>Introduction</w:t>
            </w:r>
            <w:r w:rsidRPr="00A21F27">
              <w:rPr>
                <w:rFonts w:ascii="Arial" w:hAnsi="Arial" w:cs="Arial"/>
                <w:b w:val="0"/>
                <w:bCs w:val="0"/>
                <w:i w:val="0"/>
                <w:iCs w:val="0"/>
                <w:noProof/>
                <w:webHidden/>
                <w:sz w:val="28"/>
                <w:szCs w:val="28"/>
              </w:rPr>
              <w:tab/>
            </w:r>
            <w:r w:rsidRPr="00A21F27">
              <w:rPr>
                <w:rFonts w:ascii="Arial" w:hAnsi="Arial" w:cs="Arial"/>
                <w:b w:val="0"/>
                <w:bCs w:val="0"/>
                <w:i w:val="0"/>
                <w:iCs w:val="0"/>
                <w:noProof/>
                <w:webHidden/>
                <w:sz w:val="28"/>
                <w:szCs w:val="28"/>
              </w:rPr>
              <w:fldChar w:fldCharType="begin"/>
            </w:r>
            <w:r w:rsidRPr="00A21F27">
              <w:rPr>
                <w:rFonts w:ascii="Arial" w:hAnsi="Arial" w:cs="Arial"/>
                <w:b w:val="0"/>
                <w:bCs w:val="0"/>
                <w:i w:val="0"/>
                <w:iCs w:val="0"/>
                <w:noProof/>
                <w:webHidden/>
                <w:sz w:val="28"/>
                <w:szCs w:val="28"/>
              </w:rPr>
              <w:instrText xml:space="preserve"> PAGEREF _Toc228303521 \h </w:instrText>
            </w:r>
            <w:r w:rsidRPr="00A21F27">
              <w:rPr>
                <w:rFonts w:ascii="Arial" w:hAnsi="Arial" w:cs="Arial"/>
                <w:b w:val="0"/>
                <w:bCs w:val="0"/>
                <w:i w:val="0"/>
                <w:iCs w:val="0"/>
                <w:noProof/>
                <w:webHidden/>
                <w:sz w:val="28"/>
                <w:szCs w:val="28"/>
              </w:rPr>
            </w:r>
            <w:r w:rsidRPr="00A21F27">
              <w:rPr>
                <w:rFonts w:ascii="Arial" w:hAnsi="Arial" w:cs="Arial"/>
                <w:b w:val="0"/>
                <w:bCs w:val="0"/>
                <w:i w:val="0"/>
                <w:iCs w:val="0"/>
                <w:noProof/>
                <w:webHidden/>
                <w:sz w:val="28"/>
                <w:szCs w:val="28"/>
              </w:rPr>
              <w:fldChar w:fldCharType="separate"/>
            </w:r>
            <w:r w:rsidRPr="00A21F27">
              <w:rPr>
                <w:rFonts w:ascii="Arial" w:hAnsi="Arial" w:cs="Arial"/>
                <w:b w:val="0"/>
                <w:bCs w:val="0"/>
                <w:i w:val="0"/>
                <w:iCs w:val="0"/>
                <w:noProof/>
                <w:webHidden/>
                <w:sz w:val="28"/>
                <w:szCs w:val="28"/>
              </w:rPr>
              <w:t>3</w:t>
            </w:r>
            <w:r w:rsidRPr="00A21F27">
              <w:rPr>
                <w:rFonts w:ascii="Arial" w:hAnsi="Arial" w:cs="Arial"/>
                <w:b w:val="0"/>
                <w:bCs w:val="0"/>
                <w:i w:val="0"/>
                <w:iCs w:val="0"/>
                <w:noProof/>
                <w:webHidden/>
                <w:sz w:val="28"/>
                <w:szCs w:val="28"/>
              </w:rPr>
              <w:fldChar w:fldCharType="end"/>
            </w:r>
          </w:hyperlink>
        </w:p>
        <w:p w14:paraId="4D8E3D5D" w14:textId="50427E2F" w:rsidR="00A21F27" w:rsidRPr="00A21F27" w:rsidRDefault="00A21F27">
          <w:pPr>
            <w:pStyle w:val="TOC1"/>
            <w:tabs>
              <w:tab w:val="right" w:leader="dot" w:pos="9016"/>
            </w:tabs>
            <w:rPr>
              <w:rFonts w:ascii="Arial" w:eastAsiaTheme="minorEastAsia" w:hAnsi="Arial" w:cs="Arial"/>
              <w:b w:val="0"/>
              <w:bCs w:val="0"/>
              <w:i w:val="0"/>
              <w:iCs w:val="0"/>
              <w:noProof/>
              <w:kern w:val="2"/>
              <w:sz w:val="28"/>
              <w:szCs w:val="28"/>
              <w14:ligatures w14:val="standardContextual"/>
            </w:rPr>
          </w:pPr>
          <w:hyperlink w:anchor="_Toc228303522" w:history="1">
            <w:r w:rsidRPr="00A21F27">
              <w:rPr>
                <w:rStyle w:val="Hyperlink"/>
                <w:rFonts w:ascii="Arial" w:hAnsi="Arial" w:cs="Arial"/>
                <w:b w:val="0"/>
                <w:bCs w:val="0"/>
                <w:i w:val="0"/>
                <w:iCs w:val="0"/>
                <w:noProof/>
                <w:sz w:val="28"/>
                <w:szCs w:val="28"/>
              </w:rPr>
              <w:t>Development of Bronfenbrenner’s Ecological Systems Theory</w:t>
            </w:r>
            <w:r w:rsidRPr="00A21F27">
              <w:rPr>
                <w:rFonts w:ascii="Arial" w:hAnsi="Arial" w:cs="Arial"/>
                <w:b w:val="0"/>
                <w:bCs w:val="0"/>
                <w:i w:val="0"/>
                <w:iCs w:val="0"/>
                <w:noProof/>
                <w:webHidden/>
                <w:sz w:val="28"/>
                <w:szCs w:val="28"/>
              </w:rPr>
              <w:tab/>
            </w:r>
            <w:r w:rsidRPr="00A21F27">
              <w:rPr>
                <w:rFonts w:ascii="Arial" w:hAnsi="Arial" w:cs="Arial"/>
                <w:b w:val="0"/>
                <w:bCs w:val="0"/>
                <w:i w:val="0"/>
                <w:iCs w:val="0"/>
                <w:noProof/>
                <w:webHidden/>
                <w:sz w:val="28"/>
                <w:szCs w:val="28"/>
              </w:rPr>
              <w:fldChar w:fldCharType="begin"/>
            </w:r>
            <w:r w:rsidRPr="00A21F27">
              <w:rPr>
                <w:rFonts w:ascii="Arial" w:hAnsi="Arial" w:cs="Arial"/>
                <w:b w:val="0"/>
                <w:bCs w:val="0"/>
                <w:i w:val="0"/>
                <w:iCs w:val="0"/>
                <w:noProof/>
                <w:webHidden/>
                <w:sz w:val="28"/>
                <w:szCs w:val="28"/>
              </w:rPr>
              <w:instrText xml:space="preserve"> PAGEREF _Toc228303522 \h </w:instrText>
            </w:r>
            <w:r w:rsidRPr="00A21F27">
              <w:rPr>
                <w:rFonts w:ascii="Arial" w:hAnsi="Arial" w:cs="Arial"/>
                <w:b w:val="0"/>
                <w:bCs w:val="0"/>
                <w:i w:val="0"/>
                <w:iCs w:val="0"/>
                <w:noProof/>
                <w:webHidden/>
                <w:sz w:val="28"/>
                <w:szCs w:val="28"/>
              </w:rPr>
            </w:r>
            <w:r w:rsidRPr="00A21F27">
              <w:rPr>
                <w:rFonts w:ascii="Arial" w:hAnsi="Arial" w:cs="Arial"/>
                <w:b w:val="0"/>
                <w:bCs w:val="0"/>
                <w:i w:val="0"/>
                <w:iCs w:val="0"/>
                <w:noProof/>
                <w:webHidden/>
                <w:sz w:val="28"/>
                <w:szCs w:val="28"/>
              </w:rPr>
              <w:fldChar w:fldCharType="separate"/>
            </w:r>
            <w:r w:rsidRPr="00A21F27">
              <w:rPr>
                <w:rFonts w:ascii="Arial" w:hAnsi="Arial" w:cs="Arial"/>
                <w:b w:val="0"/>
                <w:bCs w:val="0"/>
                <w:i w:val="0"/>
                <w:iCs w:val="0"/>
                <w:noProof/>
                <w:webHidden/>
                <w:sz w:val="28"/>
                <w:szCs w:val="28"/>
              </w:rPr>
              <w:t>4</w:t>
            </w:r>
            <w:r w:rsidRPr="00A21F27">
              <w:rPr>
                <w:rFonts w:ascii="Arial" w:hAnsi="Arial" w:cs="Arial"/>
                <w:b w:val="0"/>
                <w:bCs w:val="0"/>
                <w:i w:val="0"/>
                <w:iCs w:val="0"/>
                <w:noProof/>
                <w:webHidden/>
                <w:sz w:val="28"/>
                <w:szCs w:val="28"/>
              </w:rPr>
              <w:fldChar w:fldCharType="end"/>
            </w:r>
          </w:hyperlink>
        </w:p>
        <w:p w14:paraId="64D4EBE1" w14:textId="670E01BE" w:rsidR="00A21F27" w:rsidRPr="00A21F27" w:rsidRDefault="00A21F27">
          <w:pPr>
            <w:pStyle w:val="TOC1"/>
            <w:tabs>
              <w:tab w:val="right" w:leader="dot" w:pos="9016"/>
            </w:tabs>
            <w:rPr>
              <w:rFonts w:ascii="Arial" w:eastAsiaTheme="minorEastAsia" w:hAnsi="Arial" w:cs="Arial"/>
              <w:b w:val="0"/>
              <w:bCs w:val="0"/>
              <w:i w:val="0"/>
              <w:iCs w:val="0"/>
              <w:noProof/>
              <w:kern w:val="2"/>
              <w:sz w:val="28"/>
              <w:szCs w:val="28"/>
              <w14:ligatures w14:val="standardContextual"/>
            </w:rPr>
          </w:pPr>
          <w:hyperlink w:anchor="_Toc228303523" w:history="1">
            <w:r w:rsidRPr="00A21F27">
              <w:rPr>
                <w:rStyle w:val="Hyperlink"/>
                <w:rFonts w:ascii="Arial" w:hAnsi="Arial" w:cs="Arial"/>
                <w:b w:val="0"/>
                <w:bCs w:val="0"/>
                <w:i w:val="0"/>
                <w:iCs w:val="0"/>
                <w:noProof/>
                <w:sz w:val="28"/>
                <w:szCs w:val="28"/>
              </w:rPr>
              <w:t>Application of Bronfenbrenner’s Ecological Systems Theory in Health and Social Practice</w:t>
            </w:r>
            <w:r w:rsidRPr="00A21F27">
              <w:rPr>
                <w:rFonts w:ascii="Arial" w:hAnsi="Arial" w:cs="Arial"/>
                <w:b w:val="0"/>
                <w:bCs w:val="0"/>
                <w:i w:val="0"/>
                <w:iCs w:val="0"/>
                <w:noProof/>
                <w:webHidden/>
                <w:sz w:val="28"/>
                <w:szCs w:val="28"/>
              </w:rPr>
              <w:tab/>
            </w:r>
            <w:r w:rsidRPr="00A21F27">
              <w:rPr>
                <w:rFonts w:ascii="Arial" w:hAnsi="Arial" w:cs="Arial"/>
                <w:b w:val="0"/>
                <w:bCs w:val="0"/>
                <w:i w:val="0"/>
                <w:iCs w:val="0"/>
                <w:noProof/>
                <w:webHidden/>
                <w:sz w:val="28"/>
                <w:szCs w:val="28"/>
              </w:rPr>
              <w:fldChar w:fldCharType="begin"/>
            </w:r>
            <w:r w:rsidRPr="00A21F27">
              <w:rPr>
                <w:rFonts w:ascii="Arial" w:hAnsi="Arial" w:cs="Arial"/>
                <w:b w:val="0"/>
                <w:bCs w:val="0"/>
                <w:i w:val="0"/>
                <w:iCs w:val="0"/>
                <w:noProof/>
                <w:webHidden/>
                <w:sz w:val="28"/>
                <w:szCs w:val="28"/>
              </w:rPr>
              <w:instrText xml:space="preserve"> PAGEREF _Toc228303523 \h </w:instrText>
            </w:r>
            <w:r w:rsidRPr="00A21F27">
              <w:rPr>
                <w:rFonts w:ascii="Arial" w:hAnsi="Arial" w:cs="Arial"/>
                <w:b w:val="0"/>
                <w:bCs w:val="0"/>
                <w:i w:val="0"/>
                <w:iCs w:val="0"/>
                <w:noProof/>
                <w:webHidden/>
                <w:sz w:val="28"/>
                <w:szCs w:val="28"/>
              </w:rPr>
            </w:r>
            <w:r w:rsidRPr="00A21F27">
              <w:rPr>
                <w:rFonts w:ascii="Arial" w:hAnsi="Arial" w:cs="Arial"/>
                <w:b w:val="0"/>
                <w:bCs w:val="0"/>
                <w:i w:val="0"/>
                <w:iCs w:val="0"/>
                <w:noProof/>
                <w:webHidden/>
                <w:sz w:val="28"/>
                <w:szCs w:val="28"/>
              </w:rPr>
              <w:fldChar w:fldCharType="separate"/>
            </w:r>
            <w:r w:rsidRPr="00A21F27">
              <w:rPr>
                <w:rFonts w:ascii="Arial" w:hAnsi="Arial" w:cs="Arial"/>
                <w:b w:val="0"/>
                <w:bCs w:val="0"/>
                <w:i w:val="0"/>
                <w:iCs w:val="0"/>
                <w:noProof/>
                <w:webHidden/>
                <w:sz w:val="28"/>
                <w:szCs w:val="28"/>
              </w:rPr>
              <w:t>5</w:t>
            </w:r>
            <w:r w:rsidRPr="00A21F27">
              <w:rPr>
                <w:rFonts w:ascii="Arial" w:hAnsi="Arial" w:cs="Arial"/>
                <w:b w:val="0"/>
                <w:bCs w:val="0"/>
                <w:i w:val="0"/>
                <w:iCs w:val="0"/>
                <w:noProof/>
                <w:webHidden/>
                <w:sz w:val="28"/>
                <w:szCs w:val="28"/>
              </w:rPr>
              <w:fldChar w:fldCharType="end"/>
            </w:r>
          </w:hyperlink>
        </w:p>
        <w:p w14:paraId="576A016F" w14:textId="4728330F" w:rsidR="00A21F27" w:rsidRPr="00A21F27" w:rsidRDefault="00A21F27">
          <w:pPr>
            <w:pStyle w:val="TOC1"/>
            <w:tabs>
              <w:tab w:val="right" w:leader="dot" w:pos="9016"/>
            </w:tabs>
            <w:rPr>
              <w:rFonts w:ascii="Arial" w:eastAsiaTheme="minorEastAsia" w:hAnsi="Arial" w:cs="Arial"/>
              <w:b w:val="0"/>
              <w:bCs w:val="0"/>
              <w:i w:val="0"/>
              <w:iCs w:val="0"/>
              <w:noProof/>
              <w:kern w:val="2"/>
              <w:sz w:val="28"/>
              <w:szCs w:val="28"/>
              <w14:ligatures w14:val="standardContextual"/>
            </w:rPr>
          </w:pPr>
          <w:hyperlink w:anchor="_Toc228303524" w:history="1">
            <w:r w:rsidRPr="00A21F27">
              <w:rPr>
                <w:rStyle w:val="Hyperlink"/>
                <w:rFonts w:ascii="Arial" w:hAnsi="Arial" w:cs="Arial"/>
                <w:b w:val="0"/>
                <w:bCs w:val="0"/>
                <w:i w:val="0"/>
                <w:iCs w:val="0"/>
                <w:noProof/>
                <w:sz w:val="28"/>
                <w:szCs w:val="28"/>
              </w:rPr>
              <w:t>Recommendations for Policy and Practice</w:t>
            </w:r>
            <w:r w:rsidRPr="00A21F27">
              <w:rPr>
                <w:rFonts w:ascii="Arial" w:hAnsi="Arial" w:cs="Arial"/>
                <w:b w:val="0"/>
                <w:bCs w:val="0"/>
                <w:i w:val="0"/>
                <w:iCs w:val="0"/>
                <w:noProof/>
                <w:webHidden/>
                <w:sz w:val="28"/>
                <w:szCs w:val="28"/>
              </w:rPr>
              <w:tab/>
            </w:r>
            <w:r w:rsidRPr="00A21F27">
              <w:rPr>
                <w:rFonts w:ascii="Arial" w:hAnsi="Arial" w:cs="Arial"/>
                <w:b w:val="0"/>
                <w:bCs w:val="0"/>
                <w:i w:val="0"/>
                <w:iCs w:val="0"/>
                <w:noProof/>
                <w:webHidden/>
                <w:sz w:val="28"/>
                <w:szCs w:val="28"/>
              </w:rPr>
              <w:fldChar w:fldCharType="begin"/>
            </w:r>
            <w:r w:rsidRPr="00A21F27">
              <w:rPr>
                <w:rFonts w:ascii="Arial" w:hAnsi="Arial" w:cs="Arial"/>
                <w:b w:val="0"/>
                <w:bCs w:val="0"/>
                <w:i w:val="0"/>
                <w:iCs w:val="0"/>
                <w:noProof/>
                <w:webHidden/>
                <w:sz w:val="28"/>
                <w:szCs w:val="28"/>
              </w:rPr>
              <w:instrText xml:space="preserve"> PAGEREF _Toc228303524 \h </w:instrText>
            </w:r>
            <w:r w:rsidRPr="00A21F27">
              <w:rPr>
                <w:rFonts w:ascii="Arial" w:hAnsi="Arial" w:cs="Arial"/>
                <w:b w:val="0"/>
                <w:bCs w:val="0"/>
                <w:i w:val="0"/>
                <w:iCs w:val="0"/>
                <w:noProof/>
                <w:webHidden/>
                <w:sz w:val="28"/>
                <w:szCs w:val="28"/>
              </w:rPr>
            </w:r>
            <w:r w:rsidRPr="00A21F27">
              <w:rPr>
                <w:rFonts w:ascii="Arial" w:hAnsi="Arial" w:cs="Arial"/>
                <w:b w:val="0"/>
                <w:bCs w:val="0"/>
                <w:i w:val="0"/>
                <w:iCs w:val="0"/>
                <w:noProof/>
                <w:webHidden/>
                <w:sz w:val="28"/>
                <w:szCs w:val="28"/>
              </w:rPr>
              <w:fldChar w:fldCharType="separate"/>
            </w:r>
            <w:r w:rsidRPr="00A21F27">
              <w:rPr>
                <w:rFonts w:ascii="Arial" w:hAnsi="Arial" w:cs="Arial"/>
                <w:b w:val="0"/>
                <w:bCs w:val="0"/>
                <w:i w:val="0"/>
                <w:iCs w:val="0"/>
                <w:noProof/>
                <w:webHidden/>
                <w:sz w:val="28"/>
                <w:szCs w:val="28"/>
              </w:rPr>
              <w:t>7</w:t>
            </w:r>
            <w:r w:rsidRPr="00A21F27">
              <w:rPr>
                <w:rFonts w:ascii="Arial" w:hAnsi="Arial" w:cs="Arial"/>
                <w:b w:val="0"/>
                <w:bCs w:val="0"/>
                <w:i w:val="0"/>
                <w:iCs w:val="0"/>
                <w:noProof/>
                <w:webHidden/>
                <w:sz w:val="28"/>
                <w:szCs w:val="28"/>
              </w:rPr>
              <w:fldChar w:fldCharType="end"/>
            </w:r>
          </w:hyperlink>
        </w:p>
        <w:p w14:paraId="18C5F258" w14:textId="74B96749" w:rsidR="00A21F27" w:rsidRPr="00A21F27" w:rsidRDefault="00A21F27">
          <w:pPr>
            <w:pStyle w:val="TOC1"/>
            <w:tabs>
              <w:tab w:val="right" w:leader="dot" w:pos="9016"/>
            </w:tabs>
            <w:rPr>
              <w:rFonts w:ascii="Arial" w:eastAsiaTheme="minorEastAsia" w:hAnsi="Arial" w:cs="Arial"/>
              <w:b w:val="0"/>
              <w:bCs w:val="0"/>
              <w:i w:val="0"/>
              <w:iCs w:val="0"/>
              <w:noProof/>
              <w:kern w:val="2"/>
              <w:sz w:val="28"/>
              <w:szCs w:val="28"/>
              <w14:ligatures w14:val="standardContextual"/>
            </w:rPr>
          </w:pPr>
          <w:hyperlink w:anchor="_Toc228303525" w:history="1">
            <w:r w:rsidRPr="00A21F27">
              <w:rPr>
                <w:rStyle w:val="Hyperlink"/>
                <w:rFonts w:ascii="Arial" w:hAnsi="Arial" w:cs="Arial"/>
                <w:b w:val="0"/>
                <w:bCs w:val="0"/>
                <w:i w:val="0"/>
                <w:iCs w:val="0"/>
                <w:noProof/>
                <w:sz w:val="28"/>
                <w:szCs w:val="28"/>
              </w:rPr>
              <w:t>Conclusion</w:t>
            </w:r>
            <w:r w:rsidRPr="00A21F27">
              <w:rPr>
                <w:rFonts w:ascii="Arial" w:hAnsi="Arial" w:cs="Arial"/>
                <w:b w:val="0"/>
                <w:bCs w:val="0"/>
                <w:i w:val="0"/>
                <w:iCs w:val="0"/>
                <w:noProof/>
                <w:webHidden/>
                <w:sz w:val="28"/>
                <w:szCs w:val="28"/>
              </w:rPr>
              <w:tab/>
            </w:r>
            <w:r w:rsidRPr="00A21F27">
              <w:rPr>
                <w:rFonts w:ascii="Arial" w:hAnsi="Arial" w:cs="Arial"/>
                <w:b w:val="0"/>
                <w:bCs w:val="0"/>
                <w:i w:val="0"/>
                <w:iCs w:val="0"/>
                <w:noProof/>
                <w:webHidden/>
                <w:sz w:val="28"/>
                <w:szCs w:val="28"/>
              </w:rPr>
              <w:fldChar w:fldCharType="begin"/>
            </w:r>
            <w:r w:rsidRPr="00A21F27">
              <w:rPr>
                <w:rFonts w:ascii="Arial" w:hAnsi="Arial" w:cs="Arial"/>
                <w:b w:val="0"/>
                <w:bCs w:val="0"/>
                <w:i w:val="0"/>
                <w:iCs w:val="0"/>
                <w:noProof/>
                <w:webHidden/>
                <w:sz w:val="28"/>
                <w:szCs w:val="28"/>
              </w:rPr>
              <w:instrText xml:space="preserve"> PAGEREF _Toc228303525 \h </w:instrText>
            </w:r>
            <w:r w:rsidRPr="00A21F27">
              <w:rPr>
                <w:rFonts w:ascii="Arial" w:hAnsi="Arial" w:cs="Arial"/>
                <w:b w:val="0"/>
                <w:bCs w:val="0"/>
                <w:i w:val="0"/>
                <w:iCs w:val="0"/>
                <w:noProof/>
                <w:webHidden/>
                <w:sz w:val="28"/>
                <w:szCs w:val="28"/>
              </w:rPr>
            </w:r>
            <w:r w:rsidRPr="00A21F27">
              <w:rPr>
                <w:rFonts w:ascii="Arial" w:hAnsi="Arial" w:cs="Arial"/>
                <w:b w:val="0"/>
                <w:bCs w:val="0"/>
                <w:i w:val="0"/>
                <w:iCs w:val="0"/>
                <w:noProof/>
                <w:webHidden/>
                <w:sz w:val="28"/>
                <w:szCs w:val="28"/>
              </w:rPr>
              <w:fldChar w:fldCharType="separate"/>
            </w:r>
            <w:r w:rsidRPr="00A21F27">
              <w:rPr>
                <w:rFonts w:ascii="Arial" w:hAnsi="Arial" w:cs="Arial"/>
                <w:b w:val="0"/>
                <w:bCs w:val="0"/>
                <w:i w:val="0"/>
                <w:iCs w:val="0"/>
                <w:noProof/>
                <w:webHidden/>
                <w:sz w:val="28"/>
                <w:szCs w:val="28"/>
              </w:rPr>
              <w:t>8</w:t>
            </w:r>
            <w:r w:rsidRPr="00A21F27">
              <w:rPr>
                <w:rFonts w:ascii="Arial" w:hAnsi="Arial" w:cs="Arial"/>
                <w:b w:val="0"/>
                <w:bCs w:val="0"/>
                <w:i w:val="0"/>
                <w:iCs w:val="0"/>
                <w:noProof/>
                <w:webHidden/>
                <w:sz w:val="28"/>
                <w:szCs w:val="28"/>
              </w:rPr>
              <w:fldChar w:fldCharType="end"/>
            </w:r>
          </w:hyperlink>
        </w:p>
        <w:p w14:paraId="7CEEC679" w14:textId="2E3A9013" w:rsidR="00A21F27" w:rsidRPr="00A21F27" w:rsidRDefault="00A21F27">
          <w:pPr>
            <w:pStyle w:val="TOC1"/>
            <w:tabs>
              <w:tab w:val="right" w:leader="dot" w:pos="9016"/>
            </w:tabs>
            <w:rPr>
              <w:rFonts w:ascii="Arial" w:eastAsiaTheme="minorEastAsia" w:hAnsi="Arial" w:cs="Arial"/>
              <w:b w:val="0"/>
              <w:bCs w:val="0"/>
              <w:i w:val="0"/>
              <w:iCs w:val="0"/>
              <w:noProof/>
              <w:kern w:val="2"/>
              <w:sz w:val="28"/>
              <w:szCs w:val="28"/>
              <w14:ligatures w14:val="standardContextual"/>
            </w:rPr>
          </w:pPr>
          <w:hyperlink w:anchor="_Toc228303526" w:history="1">
            <w:r w:rsidRPr="00A21F27">
              <w:rPr>
                <w:rStyle w:val="Hyperlink"/>
                <w:rFonts w:ascii="Arial" w:hAnsi="Arial" w:cs="Arial"/>
                <w:b w:val="0"/>
                <w:bCs w:val="0"/>
                <w:i w:val="0"/>
                <w:iCs w:val="0"/>
                <w:noProof/>
                <w:sz w:val="28"/>
                <w:szCs w:val="28"/>
              </w:rPr>
              <w:t>References</w:t>
            </w:r>
            <w:r w:rsidRPr="00A21F27">
              <w:rPr>
                <w:rFonts w:ascii="Arial" w:hAnsi="Arial" w:cs="Arial"/>
                <w:b w:val="0"/>
                <w:bCs w:val="0"/>
                <w:i w:val="0"/>
                <w:iCs w:val="0"/>
                <w:noProof/>
                <w:webHidden/>
                <w:sz w:val="28"/>
                <w:szCs w:val="28"/>
              </w:rPr>
              <w:tab/>
            </w:r>
            <w:r w:rsidRPr="00A21F27">
              <w:rPr>
                <w:rFonts w:ascii="Arial" w:hAnsi="Arial" w:cs="Arial"/>
                <w:b w:val="0"/>
                <w:bCs w:val="0"/>
                <w:i w:val="0"/>
                <w:iCs w:val="0"/>
                <w:noProof/>
                <w:webHidden/>
                <w:sz w:val="28"/>
                <w:szCs w:val="28"/>
              </w:rPr>
              <w:fldChar w:fldCharType="begin"/>
            </w:r>
            <w:r w:rsidRPr="00A21F27">
              <w:rPr>
                <w:rFonts w:ascii="Arial" w:hAnsi="Arial" w:cs="Arial"/>
                <w:b w:val="0"/>
                <w:bCs w:val="0"/>
                <w:i w:val="0"/>
                <w:iCs w:val="0"/>
                <w:noProof/>
                <w:webHidden/>
                <w:sz w:val="28"/>
                <w:szCs w:val="28"/>
              </w:rPr>
              <w:instrText xml:space="preserve"> PAGEREF _Toc228303526 \h </w:instrText>
            </w:r>
            <w:r w:rsidRPr="00A21F27">
              <w:rPr>
                <w:rFonts w:ascii="Arial" w:hAnsi="Arial" w:cs="Arial"/>
                <w:b w:val="0"/>
                <w:bCs w:val="0"/>
                <w:i w:val="0"/>
                <w:iCs w:val="0"/>
                <w:noProof/>
                <w:webHidden/>
                <w:sz w:val="28"/>
                <w:szCs w:val="28"/>
              </w:rPr>
            </w:r>
            <w:r w:rsidRPr="00A21F27">
              <w:rPr>
                <w:rFonts w:ascii="Arial" w:hAnsi="Arial" w:cs="Arial"/>
                <w:b w:val="0"/>
                <w:bCs w:val="0"/>
                <w:i w:val="0"/>
                <w:iCs w:val="0"/>
                <w:noProof/>
                <w:webHidden/>
                <w:sz w:val="28"/>
                <w:szCs w:val="28"/>
              </w:rPr>
              <w:fldChar w:fldCharType="separate"/>
            </w:r>
            <w:r w:rsidRPr="00A21F27">
              <w:rPr>
                <w:rFonts w:ascii="Arial" w:hAnsi="Arial" w:cs="Arial"/>
                <w:b w:val="0"/>
                <w:bCs w:val="0"/>
                <w:i w:val="0"/>
                <w:iCs w:val="0"/>
                <w:noProof/>
                <w:webHidden/>
                <w:sz w:val="28"/>
                <w:szCs w:val="28"/>
              </w:rPr>
              <w:t>9</w:t>
            </w:r>
            <w:r w:rsidRPr="00A21F27">
              <w:rPr>
                <w:rFonts w:ascii="Arial" w:hAnsi="Arial" w:cs="Arial"/>
                <w:b w:val="0"/>
                <w:bCs w:val="0"/>
                <w:i w:val="0"/>
                <w:iCs w:val="0"/>
                <w:noProof/>
                <w:webHidden/>
                <w:sz w:val="28"/>
                <w:szCs w:val="28"/>
              </w:rPr>
              <w:fldChar w:fldCharType="end"/>
            </w:r>
          </w:hyperlink>
        </w:p>
        <w:p w14:paraId="1AF150CA" w14:textId="6F410C1C" w:rsidR="00A21F27" w:rsidRDefault="00A21F27">
          <w:r w:rsidRPr="00A21F27">
            <w:rPr>
              <w:rFonts w:ascii="Arial" w:hAnsi="Arial" w:cs="Arial"/>
              <w:noProof/>
              <w:sz w:val="28"/>
              <w:szCs w:val="28"/>
            </w:rPr>
            <w:fldChar w:fldCharType="end"/>
          </w:r>
        </w:p>
      </w:sdtContent>
    </w:sdt>
    <w:p w14:paraId="7B343AA4" w14:textId="77777777" w:rsidR="0012087C" w:rsidRDefault="0012087C" w:rsidP="0012087C">
      <w:pPr>
        <w:spacing w:line="360" w:lineRule="auto"/>
        <w:rPr>
          <w:rFonts w:ascii="Arial" w:hAnsi="Arial" w:cs="Arial"/>
          <w:b/>
          <w:bCs/>
          <w:sz w:val="22"/>
          <w:szCs w:val="22"/>
          <w:lang w:val="uk-UA"/>
        </w:rPr>
      </w:pPr>
    </w:p>
    <w:p w14:paraId="18F303CF" w14:textId="77777777" w:rsidR="0012087C" w:rsidRDefault="0012087C" w:rsidP="0012087C">
      <w:pPr>
        <w:spacing w:line="360" w:lineRule="auto"/>
        <w:rPr>
          <w:rFonts w:ascii="Arial" w:hAnsi="Arial" w:cs="Arial"/>
          <w:b/>
          <w:bCs/>
          <w:sz w:val="22"/>
          <w:szCs w:val="22"/>
          <w:lang w:val="uk-UA"/>
        </w:rPr>
      </w:pPr>
    </w:p>
    <w:p w14:paraId="37E0A90B" w14:textId="77777777" w:rsidR="0012087C" w:rsidRDefault="0012087C" w:rsidP="0012087C">
      <w:pPr>
        <w:spacing w:line="360" w:lineRule="auto"/>
        <w:rPr>
          <w:rFonts w:ascii="Arial" w:hAnsi="Arial" w:cs="Arial"/>
          <w:b/>
          <w:bCs/>
          <w:sz w:val="22"/>
          <w:szCs w:val="22"/>
          <w:lang w:val="uk-UA"/>
        </w:rPr>
      </w:pPr>
    </w:p>
    <w:p w14:paraId="65CE8171" w14:textId="77777777" w:rsidR="0012087C" w:rsidRDefault="0012087C" w:rsidP="0012087C">
      <w:pPr>
        <w:spacing w:line="360" w:lineRule="auto"/>
        <w:rPr>
          <w:rFonts w:ascii="Arial" w:hAnsi="Arial" w:cs="Arial"/>
          <w:b/>
          <w:bCs/>
          <w:sz w:val="22"/>
          <w:szCs w:val="22"/>
          <w:lang w:val="uk-UA"/>
        </w:rPr>
      </w:pPr>
    </w:p>
    <w:p w14:paraId="093E11E2" w14:textId="77777777" w:rsidR="0012087C" w:rsidRDefault="0012087C" w:rsidP="0012087C">
      <w:pPr>
        <w:spacing w:line="360" w:lineRule="auto"/>
        <w:rPr>
          <w:rFonts w:ascii="Arial" w:hAnsi="Arial" w:cs="Arial"/>
          <w:b/>
          <w:bCs/>
          <w:sz w:val="22"/>
          <w:szCs w:val="22"/>
          <w:lang w:val="uk-UA"/>
        </w:rPr>
      </w:pPr>
    </w:p>
    <w:p w14:paraId="2A8B0688" w14:textId="77777777" w:rsidR="0012087C" w:rsidRDefault="0012087C" w:rsidP="0012087C">
      <w:pPr>
        <w:spacing w:line="360" w:lineRule="auto"/>
        <w:rPr>
          <w:rFonts w:ascii="Arial" w:hAnsi="Arial" w:cs="Arial"/>
          <w:b/>
          <w:bCs/>
          <w:sz w:val="22"/>
          <w:szCs w:val="22"/>
          <w:lang w:val="uk-UA"/>
        </w:rPr>
      </w:pPr>
    </w:p>
    <w:p w14:paraId="02518AAA" w14:textId="77777777" w:rsidR="0012087C" w:rsidRDefault="0012087C" w:rsidP="0012087C">
      <w:pPr>
        <w:spacing w:line="360" w:lineRule="auto"/>
        <w:rPr>
          <w:rFonts w:ascii="Arial" w:hAnsi="Arial" w:cs="Arial"/>
          <w:b/>
          <w:bCs/>
          <w:sz w:val="22"/>
          <w:szCs w:val="22"/>
          <w:lang w:val="uk-UA"/>
        </w:rPr>
      </w:pPr>
    </w:p>
    <w:p w14:paraId="1CB1EC2C" w14:textId="77777777" w:rsidR="0012087C" w:rsidRDefault="0012087C" w:rsidP="0012087C">
      <w:pPr>
        <w:spacing w:line="360" w:lineRule="auto"/>
        <w:rPr>
          <w:rFonts w:ascii="Arial" w:hAnsi="Arial" w:cs="Arial"/>
          <w:b/>
          <w:bCs/>
          <w:sz w:val="22"/>
          <w:szCs w:val="22"/>
          <w:lang w:val="uk-UA"/>
        </w:rPr>
      </w:pPr>
    </w:p>
    <w:p w14:paraId="48E544E3" w14:textId="77777777" w:rsidR="0012087C" w:rsidRDefault="0012087C" w:rsidP="0012087C">
      <w:pPr>
        <w:spacing w:line="360" w:lineRule="auto"/>
        <w:rPr>
          <w:rFonts w:ascii="Arial" w:hAnsi="Arial" w:cs="Arial"/>
          <w:b/>
          <w:bCs/>
          <w:sz w:val="22"/>
          <w:szCs w:val="22"/>
          <w:lang w:val="uk-UA"/>
        </w:rPr>
      </w:pPr>
    </w:p>
    <w:p w14:paraId="2BB6C718" w14:textId="77777777" w:rsidR="0012087C" w:rsidRDefault="0012087C" w:rsidP="0012087C">
      <w:pPr>
        <w:spacing w:line="360" w:lineRule="auto"/>
        <w:rPr>
          <w:rFonts w:ascii="Arial" w:hAnsi="Arial" w:cs="Arial"/>
          <w:b/>
          <w:bCs/>
          <w:sz w:val="22"/>
          <w:szCs w:val="22"/>
          <w:lang w:val="uk-UA"/>
        </w:rPr>
      </w:pPr>
    </w:p>
    <w:p w14:paraId="1CEAEED5" w14:textId="77777777" w:rsidR="0012087C" w:rsidRDefault="0012087C" w:rsidP="0012087C">
      <w:pPr>
        <w:spacing w:line="360" w:lineRule="auto"/>
        <w:rPr>
          <w:rFonts w:ascii="Arial" w:hAnsi="Arial" w:cs="Arial"/>
          <w:b/>
          <w:bCs/>
          <w:sz w:val="22"/>
          <w:szCs w:val="22"/>
          <w:lang w:val="uk-UA"/>
        </w:rPr>
      </w:pPr>
    </w:p>
    <w:p w14:paraId="52D69DA9" w14:textId="77777777" w:rsidR="0012087C" w:rsidRDefault="0012087C" w:rsidP="0012087C">
      <w:pPr>
        <w:spacing w:line="360" w:lineRule="auto"/>
        <w:rPr>
          <w:rFonts w:ascii="Arial" w:hAnsi="Arial" w:cs="Arial"/>
          <w:b/>
          <w:bCs/>
          <w:sz w:val="22"/>
          <w:szCs w:val="22"/>
          <w:lang w:val="uk-UA"/>
        </w:rPr>
      </w:pPr>
    </w:p>
    <w:p w14:paraId="4245EAE2" w14:textId="77777777" w:rsidR="0012087C" w:rsidRDefault="0012087C" w:rsidP="0012087C">
      <w:pPr>
        <w:spacing w:line="360" w:lineRule="auto"/>
        <w:rPr>
          <w:rFonts w:ascii="Arial" w:hAnsi="Arial" w:cs="Arial"/>
          <w:b/>
          <w:bCs/>
          <w:sz w:val="22"/>
          <w:szCs w:val="22"/>
          <w:lang w:val="uk-UA"/>
        </w:rPr>
      </w:pPr>
    </w:p>
    <w:p w14:paraId="260E6ED4" w14:textId="77777777" w:rsidR="0012087C" w:rsidRDefault="0012087C" w:rsidP="0012087C">
      <w:pPr>
        <w:spacing w:line="360" w:lineRule="auto"/>
        <w:rPr>
          <w:rFonts w:ascii="Arial" w:hAnsi="Arial" w:cs="Arial"/>
          <w:b/>
          <w:bCs/>
          <w:sz w:val="22"/>
          <w:szCs w:val="22"/>
          <w:lang w:val="uk-UA"/>
        </w:rPr>
      </w:pPr>
    </w:p>
    <w:p w14:paraId="333674AE" w14:textId="77777777" w:rsidR="0012087C" w:rsidRDefault="0012087C" w:rsidP="0012087C">
      <w:pPr>
        <w:spacing w:line="360" w:lineRule="auto"/>
        <w:rPr>
          <w:rFonts w:ascii="Arial" w:hAnsi="Arial" w:cs="Arial"/>
          <w:b/>
          <w:bCs/>
          <w:sz w:val="22"/>
          <w:szCs w:val="22"/>
          <w:lang w:val="uk-UA"/>
        </w:rPr>
      </w:pPr>
    </w:p>
    <w:p w14:paraId="35B1A6CA" w14:textId="77777777" w:rsidR="0012087C" w:rsidRDefault="0012087C" w:rsidP="0012087C">
      <w:pPr>
        <w:spacing w:line="360" w:lineRule="auto"/>
        <w:rPr>
          <w:rFonts w:ascii="Arial" w:hAnsi="Arial" w:cs="Arial"/>
          <w:b/>
          <w:bCs/>
          <w:sz w:val="22"/>
          <w:szCs w:val="22"/>
          <w:lang w:val="uk-UA"/>
        </w:rPr>
      </w:pPr>
    </w:p>
    <w:p w14:paraId="0B6B697C" w14:textId="77777777" w:rsidR="0012087C" w:rsidRDefault="0012087C" w:rsidP="0012087C">
      <w:pPr>
        <w:spacing w:line="360" w:lineRule="auto"/>
        <w:rPr>
          <w:rFonts w:ascii="Arial" w:hAnsi="Arial" w:cs="Arial"/>
          <w:b/>
          <w:bCs/>
          <w:sz w:val="22"/>
          <w:szCs w:val="22"/>
          <w:lang w:val="uk-UA"/>
        </w:rPr>
      </w:pPr>
    </w:p>
    <w:p w14:paraId="35A3B85E" w14:textId="77777777" w:rsidR="0012087C" w:rsidRDefault="0012087C" w:rsidP="0012087C">
      <w:pPr>
        <w:spacing w:line="360" w:lineRule="auto"/>
        <w:rPr>
          <w:rFonts w:ascii="Arial" w:hAnsi="Arial" w:cs="Arial"/>
          <w:b/>
          <w:bCs/>
          <w:sz w:val="22"/>
          <w:szCs w:val="22"/>
          <w:lang w:val="uk-UA"/>
        </w:rPr>
      </w:pPr>
    </w:p>
    <w:p w14:paraId="38ECFA2B" w14:textId="77777777" w:rsidR="0012087C" w:rsidRDefault="0012087C" w:rsidP="0012087C">
      <w:pPr>
        <w:spacing w:line="360" w:lineRule="auto"/>
        <w:rPr>
          <w:rFonts w:ascii="Arial" w:hAnsi="Arial" w:cs="Arial"/>
          <w:b/>
          <w:bCs/>
          <w:sz w:val="22"/>
          <w:szCs w:val="22"/>
          <w:lang w:val="uk-UA"/>
        </w:rPr>
      </w:pPr>
    </w:p>
    <w:p w14:paraId="7907DF01" w14:textId="77777777" w:rsidR="0012087C" w:rsidRDefault="0012087C" w:rsidP="0012087C">
      <w:pPr>
        <w:spacing w:line="360" w:lineRule="auto"/>
        <w:rPr>
          <w:rFonts w:ascii="Arial" w:hAnsi="Arial" w:cs="Arial"/>
          <w:b/>
          <w:bCs/>
          <w:sz w:val="22"/>
          <w:szCs w:val="22"/>
          <w:lang w:val="uk-UA"/>
        </w:rPr>
      </w:pPr>
    </w:p>
    <w:p w14:paraId="7C96464C" w14:textId="77777777" w:rsidR="00A21F27" w:rsidRDefault="00A21F27" w:rsidP="00A21F27"/>
    <w:p w14:paraId="4880BB8A" w14:textId="77777777" w:rsidR="00A21F27" w:rsidRDefault="00A21F27" w:rsidP="00A21F27"/>
    <w:p w14:paraId="6B302FC6" w14:textId="77777777" w:rsidR="00A21F27" w:rsidRDefault="00A21F27" w:rsidP="00A21F27"/>
    <w:p w14:paraId="1B8E2DEE" w14:textId="77777777" w:rsidR="00A21F27" w:rsidRDefault="00A21F27" w:rsidP="00A21F27"/>
    <w:p w14:paraId="5AAC55D8" w14:textId="77777777" w:rsidR="00A21F27" w:rsidRDefault="00A21F27" w:rsidP="009906A7">
      <w:pPr>
        <w:pStyle w:val="Heading1"/>
      </w:pPr>
    </w:p>
    <w:p w14:paraId="1F817B42" w14:textId="3884D356" w:rsidR="0012087C" w:rsidRPr="000B3036" w:rsidRDefault="0012087C" w:rsidP="009906A7">
      <w:pPr>
        <w:pStyle w:val="Heading1"/>
        <w:rPr>
          <w:sz w:val="32"/>
          <w:szCs w:val="32"/>
        </w:rPr>
      </w:pPr>
      <w:bookmarkStart w:id="0" w:name="_Toc228303521"/>
      <w:r w:rsidRPr="000B3036">
        <w:t>Introduction</w:t>
      </w:r>
      <w:bookmarkEnd w:id="0"/>
    </w:p>
    <w:p w14:paraId="45626818" w14:textId="77777777" w:rsidR="0012087C" w:rsidRPr="000B3036" w:rsidRDefault="0012087C" w:rsidP="0012087C">
      <w:pPr>
        <w:spacing w:line="360" w:lineRule="auto"/>
        <w:jc w:val="both"/>
        <w:rPr>
          <w:rFonts w:ascii="Arial" w:hAnsi="Arial" w:cs="Arial"/>
          <w:b/>
          <w:bCs/>
          <w:sz w:val="22"/>
          <w:szCs w:val="22"/>
        </w:rPr>
      </w:pPr>
    </w:p>
    <w:p w14:paraId="6B4047BE" w14:textId="77777777" w:rsidR="0012087C" w:rsidRPr="00396FEC" w:rsidRDefault="0012087C" w:rsidP="0012087C">
      <w:pPr>
        <w:spacing w:line="360" w:lineRule="auto"/>
        <w:jc w:val="both"/>
        <w:rPr>
          <w:rStyle w:val="Strong"/>
          <w:rFonts w:ascii="Arial" w:eastAsiaTheme="majorEastAsia" w:hAnsi="Arial" w:cs="Arial"/>
          <w:b w:val="0"/>
          <w:bCs w:val="0"/>
          <w:color w:val="000000"/>
          <w:sz w:val="22"/>
          <w:szCs w:val="22"/>
        </w:rPr>
      </w:pPr>
      <w:r w:rsidRPr="00396FEC">
        <w:rPr>
          <w:rStyle w:val="Strong"/>
          <w:rFonts w:ascii="Arial" w:eastAsiaTheme="majorEastAsia" w:hAnsi="Arial" w:cs="Arial"/>
          <w:b w:val="0"/>
          <w:bCs w:val="0"/>
          <w:color w:val="000000"/>
          <w:sz w:val="22"/>
          <w:szCs w:val="22"/>
        </w:rPr>
        <w:t>Person</w:t>
      </w:r>
      <w:r w:rsidRPr="00396FEC">
        <w:rPr>
          <w:rStyle w:val="Strong"/>
          <w:rFonts w:ascii="Arial" w:eastAsiaTheme="majorEastAsia" w:hAnsi="Arial" w:cs="Arial"/>
          <w:b w:val="0"/>
          <w:bCs w:val="0"/>
          <w:color w:val="000000"/>
          <w:sz w:val="22"/>
          <w:szCs w:val="22"/>
          <w:lang w:val="uk-UA"/>
        </w:rPr>
        <w:t>-</w:t>
      </w:r>
      <w:r w:rsidRPr="00396FEC">
        <w:rPr>
          <w:rStyle w:val="Strong"/>
          <w:rFonts w:ascii="Arial" w:eastAsiaTheme="majorEastAsia" w:hAnsi="Arial" w:cs="Arial"/>
          <w:b w:val="0"/>
          <w:bCs w:val="0"/>
          <w:color w:val="000000"/>
          <w:sz w:val="22"/>
          <w:szCs w:val="22"/>
        </w:rPr>
        <w:t xml:space="preserve">centred care is </w:t>
      </w:r>
      <w:r w:rsidRPr="00396FEC">
        <w:rPr>
          <w:rFonts w:ascii="Arial" w:hAnsi="Arial" w:cs="Arial"/>
          <w:color w:val="000000"/>
          <w:sz w:val="22"/>
          <w:szCs w:val="22"/>
        </w:rPr>
        <w:t>an essential part</w:t>
      </w:r>
      <w:r w:rsidRPr="00396FEC">
        <w:rPr>
          <w:rFonts w:ascii="Arial" w:hAnsi="Arial" w:cs="Arial"/>
          <w:b/>
          <w:bCs/>
          <w:color w:val="000000"/>
          <w:sz w:val="22"/>
          <w:szCs w:val="22"/>
          <w:lang w:val="uk-UA"/>
        </w:rPr>
        <w:t xml:space="preserve"> </w:t>
      </w:r>
      <w:r w:rsidRPr="00396FEC">
        <w:rPr>
          <w:rStyle w:val="Strong"/>
          <w:rFonts w:ascii="Arial" w:eastAsiaTheme="majorEastAsia" w:hAnsi="Arial" w:cs="Arial"/>
          <w:b w:val="0"/>
          <w:bCs w:val="0"/>
          <w:color w:val="000000"/>
          <w:sz w:val="22"/>
          <w:szCs w:val="22"/>
        </w:rPr>
        <w:t xml:space="preserve">of effective health and social care practice, as it aims to improve care quality, support better health outcomes and ensure that individuals are involved in </w:t>
      </w:r>
      <w:r w:rsidRPr="00396FEC">
        <w:rPr>
          <w:rFonts w:ascii="Arial" w:hAnsi="Arial" w:cs="Arial"/>
          <w:color w:val="000000"/>
          <w:sz w:val="22"/>
          <w:szCs w:val="22"/>
        </w:rPr>
        <w:t>decisions about their care</w:t>
      </w:r>
      <w:r w:rsidRPr="00396FEC">
        <w:rPr>
          <w:rStyle w:val="Strong"/>
          <w:rFonts w:ascii="Arial" w:eastAsiaTheme="majorEastAsia" w:hAnsi="Arial" w:cs="Arial"/>
          <w:b w:val="0"/>
          <w:bCs w:val="0"/>
          <w:color w:val="000000"/>
          <w:sz w:val="22"/>
          <w:szCs w:val="22"/>
        </w:rPr>
        <w:t xml:space="preserve">. This approach requires professionals to </w:t>
      </w:r>
      <w:r w:rsidRPr="00396FEC">
        <w:rPr>
          <w:rFonts w:ascii="Arial" w:hAnsi="Arial" w:cs="Arial"/>
          <w:color w:val="000000"/>
          <w:sz w:val="22"/>
          <w:szCs w:val="22"/>
        </w:rPr>
        <w:t>meet</w:t>
      </w:r>
      <w:r w:rsidRPr="00396FEC">
        <w:rPr>
          <w:rStyle w:val="Strong"/>
          <w:rFonts w:ascii="Arial" w:eastAsiaTheme="majorEastAsia" w:hAnsi="Arial" w:cs="Arial"/>
          <w:b w:val="0"/>
          <w:bCs w:val="0"/>
          <w:color w:val="000000"/>
          <w:sz w:val="22"/>
          <w:szCs w:val="22"/>
        </w:rPr>
        <w:t xml:space="preserve"> clinical needs while also recognising each person’s unique needs, preferences and values (NICE, 2021). It also involves understanding the individual’s personal circumstances, relationships and environment. This reflects a </w:t>
      </w:r>
      <w:r w:rsidRPr="00396FEC">
        <w:rPr>
          <w:rFonts w:ascii="Arial" w:hAnsi="Arial" w:cs="Arial"/>
          <w:color w:val="000000"/>
          <w:sz w:val="22"/>
          <w:szCs w:val="22"/>
        </w:rPr>
        <w:t>growing</w:t>
      </w:r>
      <w:r w:rsidRPr="00396FEC">
        <w:rPr>
          <w:rStyle w:val="Strong"/>
          <w:rFonts w:ascii="Arial" w:eastAsiaTheme="majorEastAsia" w:hAnsi="Arial" w:cs="Arial"/>
          <w:color w:val="000000"/>
          <w:sz w:val="22"/>
          <w:szCs w:val="22"/>
        </w:rPr>
        <w:t xml:space="preserve"> </w:t>
      </w:r>
      <w:r w:rsidRPr="00396FEC">
        <w:rPr>
          <w:rFonts w:ascii="Arial" w:hAnsi="Arial" w:cs="Arial"/>
          <w:color w:val="000000"/>
          <w:sz w:val="22"/>
          <w:szCs w:val="22"/>
        </w:rPr>
        <w:t>understanding</w:t>
      </w:r>
      <w:r w:rsidRPr="00396FEC">
        <w:rPr>
          <w:rStyle w:val="Strong"/>
          <w:rFonts w:ascii="Arial" w:eastAsiaTheme="majorEastAsia" w:hAnsi="Arial" w:cs="Arial"/>
          <w:b w:val="0"/>
          <w:bCs w:val="0"/>
          <w:color w:val="000000"/>
          <w:sz w:val="22"/>
          <w:szCs w:val="22"/>
        </w:rPr>
        <w:t xml:space="preserve"> that health and wellbeing are </w:t>
      </w:r>
      <w:r w:rsidRPr="00396FEC">
        <w:rPr>
          <w:rFonts w:ascii="Arial" w:hAnsi="Arial" w:cs="Arial"/>
          <w:color w:val="000000"/>
          <w:sz w:val="22"/>
          <w:szCs w:val="22"/>
        </w:rPr>
        <w:t>influenced</w:t>
      </w:r>
      <w:r w:rsidRPr="00396FEC">
        <w:rPr>
          <w:rStyle w:val="Strong"/>
          <w:rFonts w:ascii="Arial" w:eastAsiaTheme="majorEastAsia" w:hAnsi="Arial" w:cs="Arial"/>
          <w:b w:val="0"/>
          <w:bCs w:val="0"/>
          <w:color w:val="000000"/>
          <w:sz w:val="22"/>
          <w:szCs w:val="22"/>
        </w:rPr>
        <w:t xml:space="preserve"> not only by physical conditions but also by wider social and environmental factors.</w:t>
      </w:r>
    </w:p>
    <w:p w14:paraId="1C0D3ADD" w14:textId="77777777" w:rsidR="0012087C" w:rsidRPr="000B3036" w:rsidRDefault="0012087C" w:rsidP="0012087C">
      <w:pPr>
        <w:spacing w:line="360" w:lineRule="auto"/>
        <w:jc w:val="both"/>
        <w:rPr>
          <w:rStyle w:val="Strong"/>
          <w:rFonts w:ascii="Arial" w:eastAsiaTheme="majorEastAsia" w:hAnsi="Arial" w:cs="Arial"/>
          <w:b w:val="0"/>
          <w:bCs w:val="0"/>
          <w:color w:val="000000"/>
          <w:sz w:val="22"/>
          <w:szCs w:val="22"/>
          <w:lang w:val="uk-UA"/>
        </w:rPr>
      </w:pPr>
    </w:p>
    <w:p w14:paraId="4297E6E8" w14:textId="7B5DABF6" w:rsidR="0012087C" w:rsidRPr="0025273C" w:rsidRDefault="0012087C" w:rsidP="0012087C">
      <w:pPr>
        <w:spacing w:line="360" w:lineRule="auto"/>
        <w:jc w:val="both"/>
        <w:rPr>
          <w:rFonts w:ascii="Arial" w:hAnsi="Arial" w:cs="Arial"/>
          <w:color w:val="000000"/>
          <w:sz w:val="22"/>
          <w:szCs w:val="22"/>
        </w:rPr>
      </w:pPr>
      <w:r w:rsidRPr="0025273C">
        <w:rPr>
          <w:rFonts w:ascii="Arial" w:hAnsi="Arial" w:cs="Arial"/>
          <w:color w:val="000000"/>
          <w:sz w:val="22"/>
          <w:szCs w:val="22"/>
        </w:rPr>
        <w:t>In this context,</w:t>
      </w:r>
      <w:r w:rsidR="008D7656">
        <w:rPr>
          <w:rStyle w:val="apple-converted-space"/>
          <w:rFonts w:ascii="Arial" w:eastAsiaTheme="majorEastAsia" w:hAnsi="Arial" w:cs="Arial"/>
          <w:color w:val="000000"/>
          <w:sz w:val="22"/>
          <w:szCs w:val="22"/>
        </w:rPr>
        <w:t xml:space="preserve"> Bronfenbrenner’s Ecological Systems Theory</w:t>
      </w:r>
      <w:r w:rsidR="008D7656">
        <w:rPr>
          <w:rStyle w:val="apple-converted-space"/>
          <w:rFonts w:ascii="Arial" w:eastAsiaTheme="majorEastAsia" w:hAnsi="Arial" w:cs="Arial"/>
          <w:color w:val="000000"/>
          <w:sz w:val="22"/>
          <w:szCs w:val="22"/>
          <w:lang w:val="uk-UA"/>
        </w:rPr>
        <w:t xml:space="preserve"> </w:t>
      </w:r>
      <w:r w:rsidR="008D7656">
        <w:rPr>
          <w:rStyle w:val="apple-converted-space"/>
          <w:rFonts w:ascii="Arial" w:eastAsiaTheme="majorEastAsia" w:hAnsi="Arial" w:cs="Arial"/>
          <w:color w:val="000000"/>
          <w:sz w:val="22"/>
          <w:szCs w:val="22"/>
        </w:rPr>
        <w:t xml:space="preserve">supports understanding of how individuals are influenced by different aspects of their environment. </w:t>
      </w:r>
      <w:r w:rsidRPr="0025273C">
        <w:rPr>
          <w:rFonts w:ascii="Arial" w:hAnsi="Arial" w:cs="Arial"/>
          <w:color w:val="000000"/>
          <w:sz w:val="22"/>
          <w:szCs w:val="22"/>
        </w:rPr>
        <w:t xml:space="preserve">Bronfenbrenner (1977) suggests that human development should not be viewed in isolation but through </w:t>
      </w:r>
      <w:r w:rsidR="001F1FD7">
        <w:rPr>
          <w:rFonts w:ascii="Arial" w:hAnsi="Arial" w:cs="Arial"/>
          <w:color w:val="000000"/>
          <w:sz w:val="22"/>
          <w:szCs w:val="22"/>
        </w:rPr>
        <w:t>the ways individuals interact with</w:t>
      </w:r>
      <w:r w:rsidRPr="0025273C">
        <w:rPr>
          <w:rFonts w:ascii="Arial" w:hAnsi="Arial" w:cs="Arial"/>
          <w:color w:val="000000"/>
          <w:sz w:val="22"/>
          <w:szCs w:val="22"/>
        </w:rPr>
        <w:t xml:space="preserve"> </w:t>
      </w:r>
      <w:r w:rsidR="009332F4">
        <w:rPr>
          <w:rFonts w:ascii="Arial" w:hAnsi="Arial" w:cs="Arial"/>
          <w:color w:val="000000"/>
          <w:sz w:val="22"/>
          <w:szCs w:val="22"/>
        </w:rPr>
        <w:t xml:space="preserve">their </w:t>
      </w:r>
      <w:r w:rsidRPr="0025273C">
        <w:rPr>
          <w:rFonts w:ascii="Arial" w:hAnsi="Arial" w:cs="Arial"/>
          <w:color w:val="000000"/>
          <w:sz w:val="22"/>
          <w:szCs w:val="22"/>
        </w:rPr>
        <w:t>surrounding systems. This idea was further developed in his later work, where the environment was described through interconnected systems, including</w:t>
      </w:r>
      <w:r w:rsidRPr="0025273C">
        <w:rPr>
          <w:rFonts w:ascii="Arial" w:hAnsi="Arial" w:cs="Arial"/>
          <w:color w:val="000000"/>
          <w:sz w:val="22"/>
          <w:szCs w:val="22"/>
          <w:lang w:val="uk-UA"/>
        </w:rPr>
        <w:t xml:space="preserve"> </w:t>
      </w:r>
      <w:r w:rsidRPr="0025273C">
        <w:rPr>
          <w:rStyle w:val="apple-converted-space"/>
          <w:rFonts w:ascii="Arial" w:eastAsiaTheme="majorEastAsia" w:hAnsi="Arial" w:cs="Arial"/>
          <w:color w:val="000000"/>
          <w:sz w:val="22"/>
          <w:szCs w:val="22"/>
        </w:rPr>
        <w:t>the</w:t>
      </w:r>
      <w:r w:rsidRPr="0025273C">
        <w:rPr>
          <w:rFonts w:ascii="Arial" w:hAnsi="Arial" w:cs="Arial"/>
          <w:color w:val="000000"/>
          <w:sz w:val="22"/>
          <w:szCs w:val="22"/>
        </w:rPr>
        <w:t xml:space="preserve"> microsystem, mesosystem, </w:t>
      </w:r>
      <w:proofErr w:type="spellStart"/>
      <w:r w:rsidRPr="0025273C">
        <w:rPr>
          <w:rFonts w:ascii="Arial" w:hAnsi="Arial" w:cs="Arial"/>
          <w:color w:val="000000"/>
          <w:sz w:val="22"/>
          <w:szCs w:val="22"/>
        </w:rPr>
        <w:t>exosystem</w:t>
      </w:r>
      <w:proofErr w:type="spellEnd"/>
      <w:r w:rsidRPr="0025273C">
        <w:rPr>
          <w:rFonts w:ascii="Arial" w:hAnsi="Arial" w:cs="Arial"/>
          <w:color w:val="000000"/>
          <w:sz w:val="22"/>
          <w:szCs w:val="22"/>
        </w:rPr>
        <w:t xml:space="preserve"> and macrosystem (Bronfenbrenner, 1996).</w:t>
      </w:r>
    </w:p>
    <w:p w14:paraId="58823C14" w14:textId="77777777" w:rsidR="0012087C" w:rsidRPr="000B3036" w:rsidRDefault="0012087C" w:rsidP="0012087C">
      <w:pPr>
        <w:spacing w:line="360" w:lineRule="auto"/>
        <w:jc w:val="both"/>
        <w:rPr>
          <w:rFonts w:ascii="Arial" w:hAnsi="Arial" w:cs="Arial"/>
          <w:color w:val="000000"/>
          <w:sz w:val="22"/>
          <w:szCs w:val="22"/>
        </w:rPr>
      </w:pPr>
    </w:p>
    <w:p w14:paraId="1747B764" w14:textId="77777777" w:rsidR="0012087C" w:rsidRPr="0025273C" w:rsidRDefault="0012087C" w:rsidP="0012087C">
      <w:pPr>
        <w:spacing w:line="360" w:lineRule="auto"/>
        <w:jc w:val="both"/>
        <w:rPr>
          <w:rFonts w:ascii="Arial" w:hAnsi="Arial" w:cs="Arial"/>
          <w:b/>
          <w:bCs/>
          <w:sz w:val="22"/>
          <w:szCs w:val="22"/>
        </w:rPr>
      </w:pPr>
      <w:r w:rsidRPr="0025273C">
        <w:rPr>
          <w:rFonts w:ascii="Arial" w:hAnsi="Arial" w:cs="Arial"/>
          <w:color w:val="000000"/>
          <w:sz w:val="22"/>
          <w:szCs w:val="22"/>
        </w:rPr>
        <w:t>This focus on context and interaction aligns with the principles of person-centred care, which require professionals to consider the individual beyond their clinical condition. As a result, Bronfenbrenner’s theory is highly</w:t>
      </w:r>
      <w:r w:rsidRPr="0025273C">
        <w:rPr>
          <w:rFonts w:ascii="Arial" w:hAnsi="Arial" w:cs="Arial"/>
          <w:color w:val="000000"/>
          <w:sz w:val="22"/>
          <w:szCs w:val="22"/>
          <w:lang w:val="uk-UA"/>
        </w:rPr>
        <w:t xml:space="preserve"> </w:t>
      </w:r>
      <w:r w:rsidRPr="0025273C">
        <w:rPr>
          <w:rFonts w:ascii="Arial" w:hAnsi="Arial" w:cs="Arial"/>
          <w:color w:val="000000"/>
          <w:sz w:val="22"/>
          <w:szCs w:val="22"/>
        </w:rPr>
        <w:t>relevant to person-centred care because it highlights how</w:t>
      </w:r>
      <w:r w:rsidRPr="0025273C">
        <w:rPr>
          <w:rFonts w:ascii="Arial" w:hAnsi="Arial" w:cs="Arial"/>
          <w:color w:val="000000"/>
          <w:sz w:val="22"/>
          <w:szCs w:val="22"/>
          <w:lang w:val="uk-UA"/>
        </w:rPr>
        <w:t xml:space="preserve"> </w:t>
      </w:r>
      <w:r w:rsidRPr="0025273C">
        <w:rPr>
          <w:rFonts w:ascii="Arial" w:hAnsi="Arial" w:cs="Arial"/>
          <w:color w:val="000000"/>
          <w:sz w:val="22"/>
          <w:szCs w:val="22"/>
        </w:rPr>
        <w:t>individuals’ needs and outcomes are influenced by relationships, social and environmental factors. Recognising these influences can help professionals provide more responsive and individualised care rather than focusing only on medical needs. However, Tudge et al. (2009) note that the theory is often oversimplified in practice, which may reduce its effectiveness in guiding analysis and practical application.</w:t>
      </w:r>
    </w:p>
    <w:p w14:paraId="35532EED" w14:textId="77777777" w:rsidR="0012087C" w:rsidRPr="000B3036" w:rsidRDefault="0012087C" w:rsidP="0012087C">
      <w:pPr>
        <w:spacing w:line="360" w:lineRule="auto"/>
        <w:jc w:val="both"/>
        <w:rPr>
          <w:rFonts w:ascii="Arial" w:hAnsi="Arial" w:cs="Arial"/>
          <w:b/>
          <w:bCs/>
          <w:sz w:val="22"/>
          <w:szCs w:val="22"/>
        </w:rPr>
      </w:pPr>
    </w:p>
    <w:p w14:paraId="31240531" w14:textId="77777777" w:rsidR="00A21F27" w:rsidRDefault="0012087C" w:rsidP="00A21F27">
      <w:pPr>
        <w:spacing w:line="360" w:lineRule="auto"/>
        <w:jc w:val="both"/>
        <w:rPr>
          <w:rFonts w:ascii="Arial" w:hAnsi="Arial" w:cs="Arial"/>
          <w:color w:val="000000"/>
          <w:sz w:val="22"/>
          <w:szCs w:val="22"/>
          <w:lang w:val="uk-UA"/>
        </w:rPr>
      </w:pPr>
      <w:r w:rsidRPr="0025273C">
        <w:rPr>
          <w:rFonts w:ascii="Arial" w:hAnsi="Arial" w:cs="Arial"/>
          <w:color w:val="000000"/>
          <w:sz w:val="22"/>
          <w:szCs w:val="22"/>
        </w:rPr>
        <w:t>This essay critically examines Bronfenbrenner’s Ecological Systems Theory and explores its relevance to health and social care, particularly in supporting person-centred care. It will analyse both the strengths and limitations of the theory and consider</w:t>
      </w:r>
      <w:r w:rsidRPr="0025273C">
        <w:rPr>
          <w:rFonts w:ascii="Arial" w:hAnsi="Arial" w:cs="Arial"/>
          <w:color w:val="000000"/>
          <w:sz w:val="22"/>
          <w:szCs w:val="22"/>
          <w:lang w:val="uk-UA"/>
        </w:rPr>
        <w:t xml:space="preserve"> </w:t>
      </w:r>
      <w:r w:rsidRPr="0025273C">
        <w:rPr>
          <w:rFonts w:ascii="Arial" w:hAnsi="Arial" w:cs="Arial"/>
          <w:color w:val="000000"/>
          <w:sz w:val="22"/>
          <w:szCs w:val="22"/>
        </w:rPr>
        <w:t>how it can be applied in</w:t>
      </w:r>
      <w:r w:rsidRPr="0025273C">
        <w:rPr>
          <w:rFonts w:ascii="Arial" w:hAnsi="Arial" w:cs="Arial"/>
          <w:color w:val="000000"/>
          <w:sz w:val="22"/>
          <w:szCs w:val="22"/>
          <w:lang w:val="uk-UA"/>
        </w:rPr>
        <w:t xml:space="preserve"> </w:t>
      </w:r>
      <w:r w:rsidRPr="0025273C">
        <w:rPr>
          <w:rFonts w:ascii="Arial" w:hAnsi="Arial" w:cs="Arial"/>
          <w:color w:val="000000"/>
          <w:sz w:val="22"/>
          <w:szCs w:val="22"/>
        </w:rPr>
        <w:t>health and social care policy and professional practice.</w:t>
      </w:r>
    </w:p>
    <w:p w14:paraId="54C64CC6" w14:textId="77777777" w:rsidR="00A21F27" w:rsidRDefault="00A21F27" w:rsidP="00A21F27">
      <w:pPr>
        <w:spacing w:line="360" w:lineRule="auto"/>
        <w:jc w:val="both"/>
        <w:rPr>
          <w:rFonts w:ascii="Arial" w:hAnsi="Arial" w:cs="Arial"/>
          <w:color w:val="000000"/>
          <w:sz w:val="22"/>
          <w:szCs w:val="22"/>
          <w:lang w:val="uk-UA"/>
        </w:rPr>
      </w:pPr>
    </w:p>
    <w:p w14:paraId="7F6D3CC6" w14:textId="4DE7E844" w:rsidR="0012087C" w:rsidRPr="00A21F27" w:rsidRDefault="0012087C" w:rsidP="00A21F27">
      <w:pPr>
        <w:pStyle w:val="Heading1"/>
        <w:rPr>
          <w:rFonts w:ascii="Arial" w:hAnsi="Arial" w:cs="Arial"/>
          <w:b/>
          <w:bCs/>
          <w:sz w:val="22"/>
          <w:szCs w:val="22"/>
        </w:rPr>
      </w:pPr>
      <w:bookmarkStart w:id="1" w:name="_Toc228303522"/>
      <w:r w:rsidRPr="000B3036">
        <w:lastRenderedPageBreak/>
        <w:t>Development of Bronfenbrenner’s Ecological Systems Theory</w:t>
      </w:r>
      <w:bookmarkEnd w:id="1"/>
    </w:p>
    <w:p w14:paraId="1CC1682D" w14:textId="3FA36FEA" w:rsidR="0012087C" w:rsidRPr="000B3036" w:rsidRDefault="001F1FD7" w:rsidP="0012087C">
      <w:pPr>
        <w:pStyle w:val="NormalWeb"/>
        <w:spacing w:line="360" w:lineRule="auto"/>
        <w:jc w:val="both"/>
        <w:rPr>
          <w:rFonts w:ascii="Arial" w:hAnsi="Arial" w:cs="Arial"/>
          <w:color w:val="000000"/>
          <w:sz w:val="22"/>
          <w:szCs w:val="22"/>
        </w:rPr>
      </w:pPr>
      <w:r w:rsidRPr="000B3036">
        <w:rPr>
          <w:rFonts w:ascii="Arial" w:hAnsi="Arial" w:cs="Arial"/>
          <w:color w:val="000000"/>
          <w:sz w:val="22"/>
          <w:szCs w:val="22"/>
        </w:rPr>
        <w:t xml:space="preserve">Ecological Systems Theory </w:t>
      </w:r>
      <w:r>
        <w:rPr>
          <w:rFonts w:ascii="Arial" w:hAnsi="Arial" w:cs="Arial"/>
          <w:color w:val="000000"/>
          <w:sz w:val="22"/>
          <w:szCs w:val="22"/>
        </w:rPr>
        <w:t xml:space="preserve">was </w:t>
      </w:r>
      <w:r w:rsidRPr="000B3036">
        <w:rPr>
          <w:rFonts w:ascii="Arial" w:hAnsi="Arial" w:cs="Arial"/>
          <w:color w:val="000000"/>
          <w:sz w:val="22"/>
          <w:szCs w:val="22"/>
        </w:rPr>
        <w:t xml:space="preserve">developed </w:t>
      </w:r>
      <w:r>
        <w:rPr>
          <w:rFonts w:ascii="Arial" w:hAnsi="Arial" w:cs="Arial"/>
          <w:color w:val="000000"/>
          <w:sz w:val="22"/>
          <w:szCs w:val="22"/>
        </w:rPr>
        <w:t>by d</w:t>
      </w:r>
      <w:r w:rsidR="0012087C" w:rsidRPr="000B3036">
        <w:rPr>
          <w:rFonts w:ascii="Arial" w:hAnsi="Arial" w:cs="Arial"/>
          <w:color w:val="000000"/>
          <w:sz w:val="22"/>
          <w:szCs w:val="22"/>
        </w:rPr>
        <w:t>evelopmental psychologist Urie Bronfenbrenner in the 1970s as a response to limitations in earlier psychological approaches that focused mainly on individual behaviour in laboratory settings.</w:t>
      </w:r>
      <w:r w:rsidR="0012087C" w:rsidRPr="000B3036">
        <w:rPr>
          <w:rStyle w:val="apple-converted-space"/>
          <w:rFonts w:ascii="Arial" w:eastAsiaTheme="majorEastAsia" w:hAnsi="Arial" w:cs="Arial"/>
          <w:color w:val="000000"/>
          <w:sz w:val="22"/>
          <w:szCs w:val="22"/>
        </w:rPr>
        <w:t> </w:t>
      </w:r>
      <w:r w:rsidR="0012087C" w:rsidRPr="000B3036">
        <w:rPr>
          <w:rStyle w:val="whitespace-normal"/>
          <w:rFonts w:ascii="Arial" w:hAnsi="Arial" w:cs="Arial"/>
          <w:color w:val="000000"/>
          <w:sz w:val="22"/>
          <w:szCs w:val="22"/>
        </w:rPr>
        <w:t>Bronfenbrenner</w:t>
      </w:r>
      <w:r w:rsidR="0012087C" w:rsidRPr="000B3036">
        <w:rPr>
          <w:rStyle w:val="apple-converted-space"/>
          <w:rFonts w:ascii="Arial" w:eastAsiaTheme="majorEastAsia" w:hAnsi="Arial" w:cs="Arial"/>
          <w:color w:val="000000"/>
          <w:sz w:val="22"/>
          <w:szCs w:val="22"/>
        </w:rPr>
        <w:t> </w:t>
      </w:r>
      <w:r w:rsidR="0012087C" w:rsidRPr="000B3036">
        <w:rPr>
          <w:rFonts w:ascii="Arial" w:hAnsi="Arial" w:cs="Arial"/>
          <w:color w:val="000000"/>
          <w:sz w:val="22"/>
          <w:szCs w:val="22"/>
        </w:rPr>
        <w:t xml:space="preserve">argued that such approaches did not fully reflect the </w:t>
      </w:r>
      <w:r w:rsidR="0012087C" w:rsidRPr="000B3036">
        <w:rPr>
          <w:rFonts w:ascii="Arial" w:hAnsi="Arial" w:cs="Arial"/>
          <w:color w:val="000000" w:themeColor="text1"/>
          <w:sz w:val="22"/>
          <w:szCs w:val="22"/>
        </w:rPr>
        <w:t>complexity</w:t>
      </w:r>
      <w:r w:rsidR="0012087C" w:rsidRPr="000B3036">
        <w:rPr>
          <w:rFonts w:ascii="Arial" w:hAnsi="Arial" w:cs="Arial"/>
          <w:color w:val="000000"/>
          <w:sz w:val="22"/>
          <w:szCs w:val="22"/>
        </w:rPr>
        <w:t xml:space="preserve"> of real-life development, as they often</w:t>
      </w:r>
      <w:r w:rsidR="0012087C" w:rsidRPr="000B3036">
        <w:rPr>
          <w:rStyle w:val="apple-converted-space"/>
          <w:rFonts w:ascii="Arial" w:eastAsiaTheme="majorEastAsia" w:hAnsi="Arial" w:cs="Arial"/>
          <w:color w:val="000000"/>
          <w:sz w:val="22"/>
          <w:szCs w:val="22"/>
        </w:rPr>
        <w:t> </w:t>
      </w:r>
      <w:r w:rsidR="0012087C" w:rsidRPr="000B3036">
        <w:rPr>
          <w:rFonts w:ascii="Arial" w:hAnsi="Arial" w:cs="Arial"/>
          <w:color w:val="000000"/>
          <w:sz w:val="22"/>
          <w:szCs w:val="22"/>
        </w:rPr>
        <w:t xml:space="preserve">overlooked the influence of social, cultural and wider environmental factors (Bronfenbrenner, 1977). Instead, he proposed an ecological framework in which individuals are understood within different interacting environments, moving the focus of developmental research from laboratory settings to real-world contexts. This change was significant as it provided a </w:t>
      </w:r>
      <w:r>
        <w:rPr>
          <w:rFonts w:ascii="Arial" w:hAnsi="Arial" w:cs="Arial"/>
          <w:color w:val="000000"/>
          <w:sz w:val="22"/>
          <w:szCs w:val="22"/>
        </w:rPr>
        <w:t>deeper</w:t>
      </w:r>
      <w:r w:rsidR="0012087C" w:rsidRPr="000B3036">
        <w:rPr>
          <w:rFonts w:ascii="Arial" w:hAnsi="Arial" w:cs="Arial"/>
          <w:color w:val="000000"/>
          <w:sz w:val="22"/>
          <w:szCs w:val="22"/>
        </w:rPr>
        <w:t xml:space="preserve"> understanding of </w:t>
      </w:r>
      <w:r>
        <w:rPr>
          <w:rFonts w:ascii="Arial" w:hAnsi="Arial" w:cs="Arial"/>
          <w:color w:val="000000"/>
          <w:sz w:val="22"/>
          <w:szCs w:val="22"/>
        </w:rPr>
        <w:t>the ways</w:t>
      </w:r>
      <w:r w:rsidR="0012087C" w:rsidRPr="000B3036">
        <w:rPr>
          <w:rFonts w:ascii="Arial" w:hAnsi="Arial" w:cs="Arial"/>
          <w:color w:val="000000"/>
          <w:sz w:val="22"/>
          <w:szCs w:val="22"/>
        </w:rPr>
        <w:t xml:space="preserve"> individuals are influenced through ongoing interactions with their environments.</w:t>
      </w:r>
    </w:p>
    <w:p w14:paraId="42C63D92" w14:textId="77777777" w:rsidR="0012087C" w:rsidRPr="00BF56B4" w:rsidRDefault="0012087C" w:rsidP="0012087C">
      <w:pPr>
        <w:pStyle w:val="NormalWeb"/>
        <w:spacing w:line="360" w:lineRule="auto"/>
        <w:jc w:val="both"/>
        <w:rPr>
          <w:rFonts w:ascii="Arial" w:hAnsi="Arial" w:cs="Arial"/>
          <w:color w:val="000000"/>
          <w:sz w:val="22"/>
          <w:szCs w:val="22"/>
          <w:lang w:val="uk-UA"/>
        </w:rPr>
      </w:pPr>
      <w:r w:rsidRPr="00BF56B4">
        <w:rPr>
          <w:rFonts w:ascii="Arial" w:hAnsi="Arial" w:cs="Arial"/>
          <w:color w:val="000000"/>
          <w:sz w:val="22"/>
          <w:szCs w:val="22"/>
        </w:rPr>
        <w:t xml:space="preserve">The theory describes the environment through interconnected systems, including the microsystem, mesosystem, </w:t>
      </w:r>
      <w:proofErr w:type="spellStart"/>
      <w:r w:rsidRPr="00BF56B4">
        <w:rPr>
          <w:rFonts w:ascii="Arial" w:hAnsi="Arial" w:cs="Arial"/>
          <w:color w:val="000000"/>
          <w:sz w:val="22"/>
          <w:szCs w:val="22"/>
        </w:rPr>
        <w:t>exosystem</w:t>
      </w:r>
      <w:proofErr w:type="spellEnd"/>
      <w:r w:rsidRPr="00BF56B4">
        <w:rPr>
          <w:rFonts w:ascii="Arial" w:hAnsi="Arial" w:cs="Arial"/>
          <w:color w:val="000000"/>
          <w:sz w:val="22"/>
          <w:szCs w:val="22"/>
        </w:rPr>
        <w:t xml:space="preserve"> and macrosystem (Bronfenbrenner, 1996). The microsystem refers to direct environments such as family, peers and daily interactions, while the mesosystem focuses on the connections between these environments. The </w:t>
      </w:r>
      <w:proofErr w:type="spellStart"/>
      <w:r w:rsidRPr="00BF56B4">
        <w:rPr>
          <w:rFonts w:ascii="Arial" w:hAnsi="Arial" w:cs="Arial"/>
          <w:color w:val="000000"/>
          <w:sz w:val="22"/>
          <w:szCs w:val="22"/>
        </w:rPr>
        <w:t>exosystem</w:t>
      </w:r>
      <w:proofErr w:type="spellEnd"/>
      <w:r w:rsidRPr="00BF56B4">
        <w:rPr>
          <w:rFonts w:ascii="Arial" w:hAnsi="Arial" w:cs="Arial"/>
          <w:color w:val="000000"/>
          <w:sz w:val="22"/>
          <w:szCs w:val="22"/>
        </w:rPr>
        <w:t xml:space="preserve"> includes indirect influences, such as wider social systems, and the macrosystem reflects broader cultural and social values. However, later developments </w:t>
      </w:r>
      <w:r>
        <w:rPr>
          <w:rFonts w:ascii="Arial" w:hAnsi="Arial" w:cs="Arial"/>
          <w:color w:val="000000"/>
          <w:sz w:val="22"/>
          <w:szCs w:val="22"/>
        </w:rPr>
        <w:t>of</w:t>
      </w:r>
      <w:r w:rsidRPr="00BF56B4">
        <w:rPr>
          <w:rStyle w:val="apple-converted-space"/>
          <w:rFonts w:ascii="Arial" w:eastAsiaTheme="majorEastAsia" w:hAnsi="Arial" w:cs="Arial"/>
          <w:color w:val="000000"/>
          <w:sz w:val="22"/>
          <w:szCs w:val="22"/>
        </w:rPr>
        <w:t> </w:t>
      </w:r>
      <w:r w:rsidRPr="00BF56B4">
        <w:rPr>
          <w:rFonts w:ascii="Arial" w:hAnsi="Arial" w:cs="Arial"/>
          <w:color w:val="000000"/>
          <w:sz w:val="22"/>
          <w:szCs w:val="22"/>
        </w:rPr>
        <w:t>the theory emphasised that these systems should not be understood as fixed structures</w:t>
      </w:r>
      <w:r w:rsidRPr="00BF56B4">
        <w:rPr>
          <w:rFonts w:ascii="Arial" w:hAnsi="Arial" w:cs="Arial"/>
          <w:color w:val="C00000"/>
          <w:sz w:val="22"/>
          <w:szCs w:val="22"/>
        </w:rPr>
        <w:t xml:space="preserve"> </w:t>
      </w:r>
      <w:r w:rsidRPr="00BF56B4">
        <w:rPr>
          <w:rFonts w:ascii="Arial" w:hAnsi="Arial" w:cs="Arial"/>
          <w:color w:val="000000"/>
          <w:sz w:val="22"/>
          <w:szCs w:val="22"/>
        </w:rPr>
        <w:t xml:space="preserve">but as part of a dynamic and ongoing process. </w:t>
      </w:r>
    </w:p>
    <w:p w14:paraId="4A34DEDC" w14:textId="720D1ED1" w:rsidR="0012087C" w:rsidRPr="00A21F27" w:rsidRDefault="0012087C" w:rsidP="00A21F27">
      <w:pPr>
        <w:spacing w:line="360" w:lineRule="auto"/>
        <w:jc w:val="both"/>
        <w:rPr>
          <w:rFonts w:ascii="Arial" w:hAnsi="Arial" w:cs="Arial"/>
          <w:sz w:val="22"/>
          <w:szCs w:val="22"/>
          <w:lang w:val="uk-UA"/>
        </w:rPr>
      </w:pPr>
      <w:r w:rsidRPr="00A21F27">
        <w:rPr>
          <w:rFonts w:ascii="Arial" w:hAnsi="Arial" w:cs="Arial"/>
          <w:sz w:val="22"/>
          <w:szCs w:val="22"/>
        </w:rPr>
        <w:t xml:space="preserve">This development led to the bioecological model, which introduced the Process-Person-Context-Time (PPCT) framework. This model expanded the theory by placing greater emphasis on ongoing interactions, individual characteristics and the role of time within and between interconnected systems (Rosa and Tudge, 2013). This was an important theoretical development because </w:t>
      </w:r>
      <w:r w:rsidRPr="00A21F27">
        <w:rPr>
          <w:rFonts w:ascii="Arial" w:hAnsi="Arial" w:cs="Arial"/>
          <w:color w:val="000000"/>
          <w:sz w:val="22"/>
          <w:szCs w:val="22"/>
        </w:rPr>
        <w:t>it recognised that individuals are not shaped only by environmental influences</w:t>
      </w:r>
      <w:r w:rsidRPr="00A21F27">
        <w:rPr>
          <w:rFonts w:ascii="Arial" w:hAnsi="Arial" w:cs="Arial"/>
          <w:sz w:val="22"/>
          <w:szCs w:val="22"/>
        </w:rPr>
        <w:t xml:space="preserve">. Instead, they were </w:t>
      </w:r>
      <w:r w:rsidRPr="00A21F27">
        <w:rPr>
          <w:rFonts w:ascii="Arial" w:hAnsi="Arial" w:cs="Arial"/>
          <w:color w:val="000000"/>
          <w:sz w:val="22"/>
          <w:szCs w:val="22"/>
        </w:rPr>
        <w:t>seen</w:t>
      </w:r>
      <w:r w:rsidRPr="00A21F27">
        <w:rPr>
          <w:rFonts w:ascii="Arial" w:hAnsi="Arial" w:cs="Arial"/>
          <w:sz w:val="22"/>
          <w:szCs w:val="22"/>
        </w:rPr>
        <w:t xml:space="preserve"> as active</w:t>
      </w:r>
      <w:r w:rsidR="00620A2C">
        <w:rPr>
          <w:rFonts w:ascii="Arial" w:hAnsi="Arial" w:cs="Arial"/>
          <w:sz w:val="22"/>
          <w:szCs w:val="22"/>
        </w:rPr>
        <w:t>ly involved</w:t>
      </w:r>
      <w:r w:rsidRPr="00A21F27">
        <w:rPr>
          <w:rFonts w:ascii="Arial" w:hAnsi="Arial" w:cs="Arial"/>
          <w:sz w:val="22"/>
          <w:szCs w:val="22"/>
        </w:rPr>
        <w:t xml:space="preserve"> in their development</w:t>
      </w:r>
      <w:r w:rsidR="00620A2C">
        <w:rPr>
          <w:rFonts w:ascii="Arial" w:hAnsi="Arial" w:cs="Arial"/>
          <w:sz w:val="22"/>
          <w:szCs w:val="22"/>
        </w:rPr>
        <w:t>al processes</w:t>
      </w:r>
      <w:r w:rsidRPr="00A21F27">
        <w:rPr>
          <w:rFonts w:ascii="Arial" w:hAnsi="Arial" w:cs="Arial"/>
          <w:sz w:val="22"/>
          <w:szCs w:val="22"/>
        </w:rPr>
        <w:t>. This perspective also expanded the understanding of culture by acknowledging that it exists across different levels of the ecological system rather than only within the macrosystem</w:t>
      </w:r>
      <w:r w:rsidRPr="00A21F27">
        <w:rPr>
          <w:rFonts w:ascii="Arial" w:hAnsi="Arial" w:cs="Arial"/>
          <w:sz w:val="22"/>
          <w:szCs w:val="22"/>
          <w:lang w:val="uk-UA"/>
        </w:rPr>
        <w:t>.</w:t>
      </w:r>
      <w:r w:rsidRPr="00A21F27">
        <w:rPr>
          <w:rFonts w:ascii="Arial" w:hAnsi="Arial" w:cs="Arial"/>
          <w:sz w:val="22"/>
          <w:szCs w:val="22"/>
        </w:rPr>
        <w:t xml:space="preserve"> This provided a more comprehensive understanding of how cultural influences shape individual development (Vélez-Agosto et al., 2017).</w:t>
      </w:r>
    </w:p>
    <w:p w14:paraId="69566913" w14:textId="0D3BC5EA" w:rsidR="0012087C" w:rsidRPr="00EC1989" w:rsidRDefault="0012087C" w:rsidP="0012087C">
      <w:pPr>
        <w:pStyle w:val="NormalWeb"/>
        <w:spacing w:line="360" w:lineRule="auto"/>
        <w:jc w:val="both"/>
        <w:rPr>
          <w:rFonts w:ascii="Arial" w:hAnsi="Arial" w:cs="Arial"/>
          <w:color w:val="000000" w:themeColor="text1"/>
          <w:sz w:val="22"/>
          <w:szCs w:val="22"/>
          <w:lang w:val="uk-UA"/>
        </w:rPr>
      </w:pPr>
      <w:r w:rsidRPr="00EC1989">
        <w:rPr>
          <w:rFonts w:ascii="Arial" w:hAnsi="Arial" w:cs="Arial"/>
          <w:color w:val="000000" w:themeColor="text1"/>
          <w:sz w:val="22"/>
          <w:szCs w:val="22"/>
        </w:rPr>
        <w:t xml:space="preserve">Despite its significant contributions, Bronfenbrenner’s theory has also faced several criticisms. From a theoretical perspective, earlier interpretations of the model did not fully consider the role of culture across different systems, which created limitations in its relevance across </w:t>
      </w:r>
      <w:r w:rsidRPr="00EC1989">
        <w:rPr>
          <w:rFonts w:ascii="Arial" w:hAnsi="Arial" w:cs="Arial"/>
          <w:color w:val="000000"/>
          <w:sz w:val="22"/>
          <w:szCs w:val="22"/>
        </w:rPr>
        <w:lastRenderedPageBreak/>
        <w:t>different contexts</w:t>
      </w:r>
      <w:r w:rsidRPr="00EC1989">
        <w:rPr>
          <w:rFonts w:ascii="Arial" w:hAnsi="Arial" w:cs="Arial"/>
          <w:color w:val="000000" w:themeColor="text1"/>
          <w:sz w:val="22"/>
          <w:szCs w:val="22"/>
          <w:lang w:val="uk-UA"/>
        </w:rPr>
        <w:t xml:space="preserve"> (</w:t>
      </w:r>
      <w:r w:rsidRPr="00EC1989">
        <w:rPr>
          <w:rFonts w:ascii="Arial" w:hAnsi="Arial" w:cs="Arial"/>
          <w:color w:val="000000" w:themeColor="text1"/>
          <w:sz w:val="22"/>
          <w:szCs w:val="22"/>
        </w:rPr>
        <w:t>Vélez-Agosto et al.</w:t>
      </w:r>
      <w:r w:rsidRPr="00EC1989">
        <w:rPr>
          <w:rFonts w:ascii="Arial" w:hAnsi="Arial" w:cs="Arial"/>
          <w:color w:val="000000" w:themeColor="text1"/>
          <w:sz w:val="22"/>
          <w:szCs w:val="22"/>
          <w:lang w:val="uk-UA"/>
        </w:rPr>
        <w:t xml:space="preserve">, </w:t>
      </w:r>
      <w:r w:rsidRPr="00EC1989">
        <w:rPr>
          <w:rFonts w:ascii="Arial" w:hAnsi="Arial" w:cs="Arial"/>
          <w:color w:val="000000" w:themeColor="text1"/>
          <w:sz w:val="22"/>
          <w:szCs w:val="22"/>
        </w:rPr>
        <w:t>2017). A further limitation relates to how the theory is applied in research and practice. Tudge et al. (2009) argue that the model is frequently applied incorrectly, as many studies focus on identifying environmental systems rather than examining the developmental processes that influence human development. This can result in a simplified interpretation of the theory that does not fully reflect its</w:t>
      </w:r>
      <w:r w:rsidRPr="00EC1989">
        <w:rPr>
          <w:rFonts w:ascii="Arial" w:hAnsi="Arial" w:cs="Arial"/>
          <w:color w:val="000000"/>
          <w:sz w:val="22"/>
          <w:szCs w:val="22"/>
          <w:lang w:val="uk-UA"/>
        </w:rPr>
        <w:t xml:space="preserve"> </w:t>
      </w:r>
      <w:r w:rsidRPr="00EC1989">
        <w:rPr>
          <w:rFonts w:ascii="Arial" w:hAnsi="Arial" w:cs="Arial"/>
          <w:color w:val="000000" w:themeColor="text1"/>
          <w:sz w:val="22"/>
          <w:szCs w:val="22"/>
        </w:rPr>
        <w:t>complexity.</w:t>
      </w:r>
      <w:r>
        <w:rPr>
          <w:rFonts w:ascii="Arial" w:hAnsi="Arial" w:cs="Arial"/>
          <w:color w:val="000000" w:themeColor="text1"/>
          <w:sz w:val="22"/>
          <w:szCs w:val="22"/>
          <w:lang w:val="uk-UA"/>
        </w:rPr>
        <w:t xml:space="preserve"> </w:t>
      </w:r>
      <w:r w:rsidRPr="00EC1989">
        <w:rPr>
          <w:rFonts w:ascii="Arial" w:hAnsi="Arial" w:cs="Arial"/>
          <w:color w:val="000000"/>
          <w:sz w:val="22"/>
          <w:szCs w:val="22"/>
        </w:rPr>
        <w:t>These limitations are also reflected in contemporary research and practice. While</w:t>
      </w:r>
      <w:r w:rsidRPr="00EC1989">
        <w:rPr>
          <w:rFonts w:ascii="Arial" w:hAnsi="Arial" w:cs="Arial"/>
          <w:color w:val="000000"/>
          <w:sz w:val="22"/>
          <w:szCs w:val="22"/>
          <w:lang w:val="uk-UA"/>
        </w:rPr>
        <w:t xml:space="preserve"> </w:t>
      </w:r>
      <w:r w:rsidRPr="00EC1989">
        <w:rPr>
          <w:rFonts w:ascii="Arial" w:hAnsi="Arial" w:cs="Arial"/>
          <w:color w:val="000000"/>
          <w:sz w:val="22"/>
          <w:szCs w:val="22"/>
        </w:rPr>
        <w:t xml:space="preserve">Bronfenbrenner’s theory </w:t>
      </w:r>
      <w:r w:rsidR="00620A2C">
        <w:rPr>
          <w:rFonts w:ascii="Arial" w:hAnsi="Arial" w:cs="Arial"/>
          <w:color w:val="000000"/>
          <w:sz w:val="22"/>
          <w:szCs w:val="22"/>
        </w:rPr>
        <w:t>offers</w:t>
      </w:r>
      <w:r w:rsidRPr="00EC1989">
        <w:rPr>
          <w:rFonts w:ascii="Arial" w:hAnsi="Arial" w:cs="Arial"/>
          <w:color w:val="000000"/>
          <w:sz w:val="22"/>
          <w:szCs w:val="22"/>
        </w:rPr>
        <w:t xml:space="preserve"> a comprehensive framework for understanding human development, its practical application can still present challenges. Contemporary applications of the theory may still struggle to fully integrate its complexity, particularly when it is used primarily as a descriptive tool rather than a deeper analytical framework (Navarro and Tudge, 2023).</w:t>
      </w:r>
    </w:p>
    <w:p w14:paraId="3309DEDC" w14:textId="77777777" w:rsidR="0012087C" w:rsidRPr="00B73388" w:rsidRDefault="0012087C" w:rsidP="0012087C">
      <w:pPr>
        <w:pStyle w:val="NormalWeb"/>
        <w:spacing w:line="360" w:lineRule="auto"/>
        <w:jc w:val="both"/>
        <w:rPr>
          <w:rFonts w:ascii="Arial" w:hAnsi="Arial" w:cs="Arial"/>
          <w:color w:val="000000"/>
          <w:sz w:val="22"/>
          <w:szCs w:val="22"/>
          <w:lang w:val="uk-UA"/>
        </w:rPr>
      </w:pPr>
      <w:r w:rsidRPr="00B73388">
        <w:rPr>
          <w:rFonts w:ascii="Arial" w:hAnsi="Arial" w:cs="Arial"/>
          <w:color w:val="000000"/>
          <w:sz w:val="22"/>
          <w:szCs w:val="22"/>
        </w:rPr>
        <w:t>These critiques highlight a key challenge within the theory. While it provides a comprehensive understanding of human development, its complexity can limit its practical application in research and professional practice. This is particularly relevant in health and social care, where practitioners are required to understand individuals within their environmental contexts. They must also apply this understanding in ways that support effective person-centred interventions.</w:t>
      </w:r>
    </w:p>
    <w:p w14:paraId="1CB77969" w14:textId="77777777" w:rsidR="0012087C" w:rsidRPr="00A21F27" w:rsidRDefault="0012087C" w:rsidP="00A21F27">
      <w:pPr>
        <w:pStyle w:val="Heading1"/>
      </w:pPr>
      <w:bookmarkStart w:id="2" w:name="_Toc228303523"/>
      <w:r w:rsidRPr="00A21F27">
        <w:t>Application of Bronfenbrenner’s Ecological Systems Theory in Health and Social Practice</w:t>
      </w:r>
      <w:bookmarkEnd w:id="2"/>
    </w:p>
    <w:p w14:paraId="45B982AB" w14:textId="77777777" w:rsidR="0012087C" w:rsidRPr="00B73388" w:rsidRDefault="0012087C" w:rsidP="0012087C">
      <w:pPr>
        <w:pStyle w:val="NormalWeb"/>
        <w:spacing w:line="360" w:lineRule="auto"/>
        <w:jc w:val="both"/>
        <w:rPr>
          <w:rFonts w:ascii="Arial" w:hAnsi="Arial" w:cs="Arial"/>
          <w:color w:val="000000"/>
          <w:sz w:val="22"/>
          <w:szCs w:val="22"/>
          <w:lang w:val="uk-UA"/>
        </w:rPr>
      </w:pPr>
      <w:r w:rsidRPr="00B73388">
        <w:rPr>
          <w:rFonts w:ascii="Arial" w:hAnsi="Arial" w:cs="Arial"/>
          <w:color w:val="000000"/>
          <w:sz w:val="22"/>
          <w:szCs w:val="22"/>
        </w:rPr>
        <w:t>Bronfenbrenner’s Ecological Systems Theory has significant practical importance within health and social care because it encourages practitioners to view individuals within the wider environmental systems that influence their wellbeing. Ecological approaches move beyond a primary focus on personal or clinical factors. They help practitioners develop a more comprehensive understanding of the environmental influences on wellbeing. This includes recognising how family relationships, education, community resources, social policies and cultural norms interact to influence individual outcomes (Hayes, O’Toole and Halpenny, 2017). This broader perspective can strengthen professional practice by supporting more effective assessments of need. It also allows interventions to respond not only to individual circumstances but also to wider factors that may contribute to vulnerability or resilience.</w:t>
      </w:r>
    </w:p>
    <w:p w14:paraId="78D6A592" w14:textId="77777777" w:rsidR="0012087C" w:rsidRPr="006712F9" w:rsidRDefault="0012087C" w:rsidP="0012087C">
      <w:pPr>
        <w:pStyle w:val="NormalWeb"/>
        <w:spacing w:line="360" w:lineRule="auto"/>
        <w:jc w:val="both"/>
        <w:rPr>
          <w:rFonts w:ascii="Arial" w:hAnsi="Arial" w:cs="Arial"/>
          <w:color w:val="000000"/>
          <w:sz w:val="22"/>
          <w:szCs w:val="22"/>
          <w:lang w:val="uk-UA"/>
        </w:rPr>
      </w:pPr>
      <w:r w:rsidRPr="006712F9">
        <w:rPr>
          <w:rFonts w:ascii="Arial" w:hAnsi="Arial" w:cs="Arial"/>
          <w:color w:val="000000"/>
          <w:sz w:val="22"/>
          <w:szCs w:val="22"/>
        </w:rPr>
        <w:t xml:space="preserve">In professional practice, Bronfenbrenner’s framework supports more effective intervention planning by helping practitioners understand how different environmental systems interact to influence individual experiences and outcomes. This is particularly valuable in interprofessional health and social care settings, where effective support often requires coordination between families, healthcare providers, educational settings and wider </w:t>
      </w:r>
      <w:r w:rsidRPr="006712F9">
        <w:rPr>
          <w:rFonts w:ascii="Arial" w:hAnsi="Arial" w:cs="Arial"/>
          <w:color w:val="000000"/>
          <w:sz w:val="22"/>
          <w:szCs w:val="22"/>
        </w:rPr>
        <w:lastRenderedPageBreak/>
        <w:t>community services. Recent research further demonstrates this practical relevance. Hu et al. (2025) show that Bronfenbrenner’s ecological framework can strengthen understanding of family experiences and mental health challenges by placing individual wellbeing within wider relational and social systems. By recognising these interconnected influences, practitioners can develop interventions that respond to immediate personal needs as well as wider structural barriers affecting wellbeing. Effective professional practice requires care planning that is responsive to the wider context of individuals’ lives</w:t>
      </w:r>
      <w:r w:rsidRPr="006712F9">
        <w:rPr>
          <w:rFonts w:ascii="Arial" w:hAnsi="Arial" w:cs="Arial"/>
          <w:color w:val="000000"/>
          <w:sz w:val="22"/>
          <w:szCs w:val="22"/>
          <w:lang w:val="uk-UA"/>
        </w:rPr>
        <w:t xml:space="preserve"> (</w:t>
      </w:r>
      <w:r w:rsidRPr="006712F9">
        <w:rPr>
          <w:rFonts w:ascii="Arial" w:hAnsi="Arial" w:cs="Arial"/>
          <w:color w:val="000000"/>
          <w:sz w:val="22"/>
          <w:szCs w:val="22"/>
        </w:rPr>
        <w:t>McCormack and McCance</w:t>
      </w:r>
      <w:r w:rsidRPr="006712F9">
        <w:rPr>
          <w:rFonts w:ascii="Arial" w:hAnsi="Arial" w:cs="Arial"/>
          <w:color w:val="000000"/>
          <w:sz w:val="22"/>
          <w:szCs w:val="22"/>
          <w:lang w:val="uk-UA"/>
        </w:rPr>
        <w:t xml:space="preserve">, </w:t>
      </w:r>
      <w:r w:rsidRPr="006712F9">
        <w:rPr>
          <w:rFonts w:ascii="Arial" w:hAnsi="Arial" w:cs="Arial"/>
          <w:color w:val="000000"/>
          <w:sz w:val="22"/>
          <w:szCs w:val="22"/>
        </w:rPr>
        <w:t>2016). Bronfenbrenner’s framework supports this by offering a structured way to understand the broader factors influencing wellbeing. As a result, the theory can strengthen service coordination, support preventative interventions and encourage more comprehensive decision-making across health and social care systems.</w:t>
      </w:r>
    </w:p>
    <w:p w14:paraId="5D9ACEDE" w14:textId="77777777" w:rsidR="0012087C" w:rsidRPr="00436FEC" w:rsidRDefault="0012087C" w:rsidP="0012087C">
      <w:pPr>
        <w:pStyle w:val="NormalWeb"/>
        <w:spacing w:line="360" w:lineRule="auto"/>
        <w:jc w:val="both"/>
        <w:rPr>
          <w:rFonts w:ascii="Arial" w:hAnsi="Arial" w:cs="Arial"/>
          <w:color w:val="000000"/>
          <w:sz w:val="22"/>
          <w:szCs w:val="22"/>
          <w:lang w:val="uk-UA"/>
        </w:rPr>
      </w:pPr>
      <w:r w:rsidRPr="00436FEC">
        <w:rPr>
          <w:rFonts w:ascii="Arial" w:hAnsi="Arial" w:cs="Arial"/>
          <w:color w:val="000000"/>
          <w:sz w:val="22"/>
          <w:szCs w:val="22"/>
        </w:rPr>
        <w:t>Bronfenbrenner’s theory has also demonstrated wider relevance in policy development and professional education. In public mental health policy, it encourages policymakers and professionals to consider the interconnected systems that influence mental health outcomes, rather than relying primarily on individual</w:t>
      </w:r>
      <w:r w:rsidRPr="00436FEC">
        <w:rPr>
          <w:rFonts w:ascii="Arial" w:hAnsi="Arial" w:cs="Arial"/>
          <w:color w:val="000000"/>
          <w:sz w:val="22"/>
          <w:szCs w:val="22"/>
          <w:lang w:val="uk-UA"/>
        </w:rPr>
        <w:t>-</w:t>
      </w:r>
      <w:r w:rsidRPr="00436FEC">
        <w:rPr>
          <w:rFonts w:ascii="Arial" w:hAnsi="Arial" w:cs="Arial"/>
          <w:color w:val="000000"/>
          <w:sz w:val="22"/>
          <w:szCs w:val="22"/>
        </w:rPr>
        <w:t>focused interventions (Eriksson et al., 2018). This broader perspective can contribute to more informed and effective policy development. Similarly, the application of the bioecological model in health professions education can strengthen practitioners’ understanding of how environmental and structural factors influence health outcomes (Hamwey et al., 2019). This can enhance their ability to deliver more effective and responsive care. Furthermore, combining Bronfenbrenner’s framework with other practical models can strengthen child and family services. This broader</w:t>
      </w:r>
      <w:r w:rsidRPr="00436FEC">
        <w:rPr>
          <w:rFonts w:ascii="Arial" w:hAnsi="Arial" w:cs="Arial"/>
          <w:color w:val="000000"/>
          <w:sz w:val="22"/>
          <w:szCs w:val="22"/>
          <w:lang w:val="uk-UA"/>
        </w:rPr>
        <w:t xml:space="preserve"> </w:t>
      </w:r>
      <w:r w:rsidRPr="00436FEC">
        <w:rPr>
          <w:rFonts w:ascii="Arial" w:hAnsi="Arial" w:cs="Arial"/>
          <w:color w:val="000000"/>
          <w:sz w:val="22"/>
          <w:szCs w:val="22"/>
        </w:rPr>
        <w:t>approach can support a more comprehensive response to complex social needs (Woodland et al., 2024).</w:t>
      </w:r>
    </w:p>
    <w:p w14:paraId="16FF0C05" w14:textId="77777777" w:rsidR="0012087C" w:rsidRPr="00232E9E" w:rsidRDefault="0012087C" w:rsidP="0012087C">
      <w:pPr>
        <w:pStyle w:val="NormalWeb"/>
        <w:spacing w:line="360" w:lineRule="auto"/>
        <w:jc w:val="both"/>
        <w:rPr>
          <w:rFonts w:ascii="Arial" w:hAnsi="Arial" w:cs="Arial"/>
          <w:color w:val="000000" w:themeColor="text1"/>
          <w:sz w:val="22"/>
          <w:szCs w:val="22"/>
          <w:lang w:val="uk-UA"/>
        </w:rPr>
      </w:pPr>
      <w:r w:rsidRPr="00232E9E">
        <w:rPr>
          <w:rFonts w:ascii="Arial" w:hAnsi="Arial" w:cs="Arial"/>
          <w:color w:val="000000" w:themeColor="text1"/>
          <w:sz w:val="22"/>
          <w:szCs w:val="22"/>
        </w:rPr>
        <w:t>However, despite these strengths, practical challenges remain. The complexity of the ecological model can make its practical application difficult within health and social care practice. While ecological frameworks can strengthen understanding of complex social and organisational influences, applying this complexity in professional settings can be challenging</w:t>
      </w:r>
      <w:r w:rsidRPr="00232E9E">
        <w:rPr>
          <w:rFonts w:ascii="Arial" w:hAnsi="Arial" w:cs="Arial"/>
          <w:color w:val="000000" w:themeColor="text1"/>
          <w:sz w:val="22"/>
          <w:szCs w:val="22"/>
          <w:lang w:val="uk-UA"/>
        </w:rPr>
        <w:t xml:space="preserve"> (</w:t>
      </w:r>
      <w:r w:rsidRPr="00232E9E">
        <w:rPr>
          <w:rFonts w:ascii="Arial" w:hAnsi="Arial" w:cs="Arial"/>
          <w:color w:val="000000" w:themeColor="text1"/>
          <w:sz w:val="22"/>
          <w:szCs w:val="22"/>
        </w:rPr>
        <w:t>Nolan and Owen</w:t>
      </w:r>
      <w:r w:rsidRPr="00232E9E">
        <w:rPr>
          <w:rFonts w:ascii="Arial" w:hAnsi="Arial" w:cs="Arial"/>
          <w:color w:val="000000" w:themeColor="text1"/>
          <w:sz w:val="22"/>
          <w:szCs w:val="22"/>
          <w:lang w:val="uk-UA"/>
        </w:rPr>
        <w:t xml:space="preserve">, </w:t>
      </w:r>
      <w:r w:rsidRPr="00232E9E">
        <w:rPr>
          <w:rFonts w:ascii="Arial" w:hAnsi="Arial" w:cs="Arial"/>
          <w:color w:val="000000" w:themeColor="text1"/>
          <w:sz w:val="22"/>
          <w:szCs w:val="22"/>
        </w:rPr>
        <w:t>2024). Additionally, the theory’s practical use can vary across different</w:t>
      </w:r>
      <w:r w:rsidRPr="00232E9E">
        <w:rPr>
          <w:rFonts w:ascii="Arial" w:hAnsi="Arial" w:cs="Arial"/>
          <w:color w:val="000000" w:themeColor="text1"/>
          <w:sz w:val="22"/>
          <w:szCs w:val="22"/>
          <w:lang w:val="uk-UA"/>
        </w:rPr>
        <w:t xml:space="preserve"> </w:t>
      </w:r>
      <w:r w:rsidRPr="00232E9E">
        <w:rPr>
          <w:rFonts w:ascii="Arial" w:hAnsi="Arial" w:cs="Arial"/>
          <w:color w:val="000000" w:themeColor="text1"/>
          <w:sz w:val="22"/>
          <w:szCs w:val="22"/>
        </w:rPr>
        <w:t xml:space="preserve">social groups, emphasising the need for practitioners to adjust ecological approaches carefully in response to cultural and social differences </w:t>
      </w:r>
      <w:r w:rsidRPr="00232E9E">
        <w:rPr>
          <w:rFonts w:ascii="Arial" w:hAnsi="Arial" w:cs="Arial"/>
          <w:color w:val="000000" w:themeColor="text1"/>
          <w:sz w:val="22"/>
          <w:szCs w:val="22"/>
          <w:lang w:val="uk-UA"/>
        </w:rPr>
        <w:t>(</w:t>
      </w:r>
      <w:r w:rsidRPr="00232E9E">
        <w:rPr>
          <w:rFonts w:ascii="Arial" w:hAnsi="Arial" w:cs="Arial"/>
          <w:color w:val="000000" w:themeColor="text1"/>
          <w:sz w:val="22"/>
          <w:szCs w:val="22"/>
        </w:rPr>
        <w:t>Hong et al.</w:t>
      </w:r>
      <w:r w:rsidRPr="00232E9E">
        <w:rPr>
          <w:rFonts w:ascii="Arial" w:hAnsi="Arial" w:cs="Arial"/>
          <w:color w:val="000000" w:themeColor="text1"/>
          <w:sz w:val="22"/>
          <w:szCs w:val="22"/>
          <w:lang w:val="uk-UA"/>
        </w:rPr>
        <w:t xml:space="preserve">, </w:t>
      </w:r>
      <w:r w:rsidRPr="00232E9E">
        <w:rPr>
          <w:rFonts w:ascii="Arial" w:hAnsi="Arial" w:cs="Arial"/>
          <w:color w:val="000000" w:themeColor="text1"/>
          <w:sz w:val="22"/>
          <w:szCs w:val="22"/>
        </w:rPr>
        <w:t>2021). Therefore, while Bronfenbrenner’s theory offers a useful framework, its practical implementation may require flexibility to ensure effective and responsive practice.</w:t>
      </w:r>
    </w:p>
    <w:p w14:paraId="517CC879" w14:textId="77777777" w:rsidR="0012087C" w:rsidRPr="009C612F" w:rsidRDefault="0012087C" w:rsidP="0012087C">
      <w:pPr>
        <w:spacing w:line="360" w:lineRule="auto"/>
        <w:jc w:val="both"/>
        <w:rPr>
          <w:rFonts w:ascii="Arial" w:hAnsi="Arial" w:cs="Arial"/>
          <w:color w:val="000000"/>
          <w:sz w:val="22"/>
          <w:szCs w:val="22"/>
          <w:lang w:val="uk-UA"/>
        </w:rPr>
      </w:pPr>
      <w:r w:rsidRPr="009C612F">
        <w:rPr>
          <w:rFonts w:ascii="Arial" w:hAnsi="Arial" w:cs="Arial"/>
          <w:color w:val="000000"/>
          <w:sz w:val="22"/>
          <w:szCs w:val="22"/>
        </w:rPr>
        <w:t xml:space="preserve">Overall, Bronfenbrenner’s theory remains highly relevant to contemporary health and social care practice because it strengthens person-centred interventions by encouraging practitioners to consider social, environmental and cultural systems affecting individuals’ lives. </w:t>
      </w:r>
      <w:r w:rsidRPr="009C612F">
        <w:rPr>
          <w:rFonts w:ascii="Arial" w:hAnsi="Arial" w:cs="Arial"/>
          <w:color w:val="000000"/>
          <w:sz w:val="22"/>
          <w:szCs w:val="22"/>
        </w:rPr>
        <w:lastRenderedPageBreak/>
        <w:t>Its holistic framework provides</w:t>
      </w:r>
      <w:r w:rsidRPr="009C612F">
        <w:rPr>
          <w:rFonts w:ascii="Arial" w:hAnsi="Arial" w:cs="Arial"/>
          <w:color w:val="000000"/>
          <w:sz w:val="22"/>
          <w:szCs w:val="22"/>
          <w:lang w:val="uk-UA"/>
        </w:rPr>
        <w:t xml:space="preserve"> </w:t>
      </w:r>
      <w:r w:rsidRPr="009C612F">
        <w:rPr>
          <w:rFonts w:ascii="Arial" w:hAnsi="Arial" w:cs="Arial"/>
          <w:color w:val="000000"/>
          <w:sz w:val="22"/>
          <w:szCs w:val="22"/>
        </w:rPr>
        <w:t>a more comprehensive understanding of need, which can strengthen professional decision-making and care planning. As a result, the theory continues to provide useful guidance for practitioners seeking to deliver more effective, responsive and person-centred care</w:t>
      </w:r>
      <w:r w:rsidRPr="009C612F">
        <w:rPr>
          <w:rFonts w:ascii="Arial" w:hAnsi="Arial" w:cs="Arial"/>
          <w:color w:val="000000"/>
          <w:sz w:val="22"/>
          <w:szCs w:val="22"/>
          <w:lang w:val="uk-UA"/>
        </w:rPr>
        <w:t>.</w:t>
      </w:r>
    </w:p>
    <w:p w14:paraId="62CB09B5" w14:textId="77777777" w:rsidR="0012087C" w:rsidRPr="000B3036" w:rsidRDefault="0012087C" w:rsidP="009906A7">
      <w:pPr>
        <w:pStyle w:val="Heading1"/>
      </w:pPr>
      <w:bookmarkStart w:id="3" w:name="_Toc228303524"/>
      <w:r w:rsidRPr="000B3036">
        <w:t>Recommendations for Policy and Practice</w:t>
      </w:r>
      <w:bookmarkEnd w:id="3"/>
    </w:p>
    <w:p w14:paraId="22405D9E" w14:textId="77777777" w:rsidR="0012087C" w:rsidRPr="007E1723" w:rsidRDefault="0012087C" w:rsidP="0012087C">
      <w:pPr>
        <w:pStyle w:val="NormalWeb"/>
        <w:spacing w:line="360" w:lineRule="auto"/>
        <w:jc w:val="both"/>
        <w:rPr>
          <w:rFonts w:ascii="Arial" w:hAnsi="Arial" w:cs="Arial"/>
          <w:color w:val="000000" w:themeColor="text1"/>
          <w:sz w:val="22"/>
          <w:szCs w:val="22"/>
        </w:rPr>
      </w:pPr>
      <w:r w:rsidRPr="007E1723">
        <w:rPr>
          <w:rFonts w:ascii="Arial" w:hAnsi="Arial" w:cs="Arial"/>
          <w:color w:val="000000" w:themeColor="text1"/>
          <w:sz w:val="22"/>
          <w:szCs w:val="22"/>
        </w:rPr>
        <w:t>To improve the effectiveness of Bronfenbrenner’s Ecological Systems Theory in health and social care, greater emphasis should be placed on professional training. This can strengthen practitioners’ ability to apply ecological frameworks more effectively. As previous critiques have shown, the theory is often oversimplified or applied incorrectly (Tudge et al., 2009). Therefore, health and social care education should provide more structured training on assessment of environmental influences, collaborative intervention planning and the practical application of the PPCT model. This would help practitioners move beyond narrow clinical perspectives</w:t>
      </w:r>
      <w:r w:rsidRPr="007E1723">
        <w:rPr>
          <w:rFonts w:ascii="Arial" w:hAnsi="Arial" w:cs="Arial"/>
          <w:color w:val="000000" w:themeColor="text1"/>
          <w:sz w:val="22"/>
          <w:szCs w:val="22"/>
          <w:lang w:val="uk-UA"/>
        </w:rPr>
        <w:t xml:space="preserve"> </w:t>
      </w:r>
      <w:r w:rsidRPr="007E1723">
        <w:rPr>
          <w:rFonts w:ascii="Arial" w:hAnsi="Arial" w:cs="Arial"/>
          <w:color w:val="000000" w:themeColor="text1"/>
          <w:sz w:val="22"/>
          <w:szCs w:val="22"/>
        </w:rPr>
        <w:t>and develop more holistic, person-centred approaches that consider the wider environmental systems influencing individual wellbeing.</w:t>
      </w:r>
    </w:p>
    <w:p w14:paraId="1A54295A" w14:textId="77777777" w:rsidR="0012087C" w:rsidRPr="008D1A7E" w:rsidRDefault="0012087C" w:rsidP="0012087C">
      <w:pPr>
        <w:pStyle w:val="NormalWeb"/>
        <w:spacing w:line="360" w:lineRule="auto"/>
        <w:jc w:val="both"/>
        <w:rPr>
          <w:rFonts w:ascii="Arial" w:hAnsi="Arial" w:cs="Arial"/>
          <w:color w:val="000000"/>
          <w:sz w:val="22"/>
          <w:szCs w:val="22"/>
          <w:lang w:val="uk-UA"/>
        </w:rPr>
      </w:pPr>
      <w:r w:rsidRPr="006B2D93">
        <w:rPr>
          <w:rFonts w:ascii="Arial" w:hAnsi="Arial" w:cs="Arial"/>
          <w:color w:val="000000"/>
          <w:sz w:val="22"/>
          <w:szCs w:val="22"/>
        </w:rPr>
        <w:t xml:space="preserve">In policy development, greater emphasis should be placed on ecological approaches that address the wider social and structural factors influencing health and wellbeing. Policymakers should promote more integrated strategies that strengthen coordination between healthcare, education, family support services and community organisations. Eriksson et al. (2018) highlight that ecological frameworks can strengthen public mental health policy by supporting more comprehensive responses to interconnected social influences. Applying these principles within policy development can also support earlier intervention and more responsive health </w:t>
      </w:r>
      <w:r w:rsidRPr="008D1A7E">
        <w:rPr>
          <w:rFonts w:ascii="Arial" w:hAnsi="Arial" w:cs="Arial"/>
          <w:color w:val="000000"/>
          <w:sz w:val="22"/>
          <w:szCs w:val="22"/>
        </w:rPr>
        <w:t>and social care systems.</w:t>
      </w:r>
    </w:p>
    <w:p w14:paraId="29C328F4" w14:textId="77777777" w:rsidR="0012087C" w:rsidRPr="008D1A7E" w:rsidRDefault="0012087C" w:rsidP="0012087C">
      <w:pPr>
        <w:pStyle w:val="NormalWeb"/>
        <w:spacing w:line="360" w:lineRule="auto"/>
        <w:jc w:val="both"/>
        <w:rPr>
          <w:rFonts w:ascii="Arial" w:hAnsi="Arial" w:cs="Arial"/>
          <w:color w:val="000000" w:themeColor="text1"/>
          <w:sz w:val="22"/>
          <w:szCs w:val="22"/>
          <w:lang w:val="uk-UA"/>
        </w:rPr>
      </w:pPr>
      <w:r w:rsidRPr="008D1A7E">
        <w:rPr>
          <w:rFonts w:ascii="Arial" w:hAnsi="Arial" w:cs="Arial"/>
          <w:color w:val="000000" w:themeColor="text1"/>
          <w:sz w:val="22"/>
          <w:szCs w:val="22"/>
        </w:rPr>
        <w:t xml:space="preserve">Furthermore, health and social care systems should ensure that ecological approaches are applied carefully across different social and cultural groups. Hong et al. (2021) demonstrate that the relevance of ecological models may vary across different racial and social contexts, suggesting that policy and practice should avoid </w:t>
      </w:r>
      <w:r w:rsidRPr="008D1A7E">
        <w:rPr>
          <w:rFonts w:ascii="Arial" w:hAnsi="Arial" w:cs="Arial"/>
          <w:color w:val="000000"/>
          <w:sz w:val="22"/>
          <w:szCs w:val="22"/>
        </w:rPr>
        <w:t>generalised</w:t>
      </w:r>
      <w:r w:rsidRPr="008D1A7E">
        <w:rPr>
          <w:rFonts w:ascii="Arial" w:hAnsi="Arial" w:cs="Arial"/>
          <w:color w:val="000000" w:themeColor="text1"/>
          <w:sz w:val="22"/>
          <w:szCs w:val="22"/>
        </w:rPr>
        <w:t xml:space="preserve"> approaches. Services should therefore focus on care planning that responds to cultural differences and reflects the varied experiences of </w:t>
      </w:r>
      <w:r w:rsidRPr="008D1A7E">
        <w:rPr>
          <w:rFonts w:ascii="Arial" w:hAnsi="Arial" w:cs="Arial"/>
          <w:color w:val="000000"/>
          <w:sz w:val="22"/>
          <w:szCs w:val="22"/>
        </w:rPr>
        <w:t>individuals</w:t>
      </w:r>
      <w:r w:rsidRPr="008D1A7E">
        <w:rPr>
          <w:rFonts w:ascii="Arial" w:hAnsi="Arial" w:cs="Arial"/>
          <w:color w:val="000000" w:themeColor="text1"/>
          <w:sz w:val="22"/>
          <w:szCs w:val="22"/>
        </w:rPr>
        <w:t xml:space="preserve">. Combining Bronfenbrenner’s framework with other practical models can strengthen flexibility and responsiveness within complex care systems </w:t>
      </w:r>
      <w:r w:rsidRPr="008D1A7E">
        <w:rPr>
          <w:rFonts w:ascii="Arial" w:hAnsi="Arial" w:cs="Arial"/>
          <w:color w:val="000000" w:themeColor="text1"/>
          <w:sz w:val="22"/>
          <w:szCs w:val="22"/>
          <w:lang w:val="uk-UA"/>
        </w:rPr>
        <w:t>(</w:t>
      </w:r>
      <w:r w:rsidRPr="008D1A7E">
        <w:rPr>
          <w:rFonts w:ascii="Arial" w:hAnsi="Arial" w:cs="Arial"/>
          <w:color w:val="000000" w:themeColor="text1"/>
          <w:sz w:val="22"/>
          <w:szCs w:val="22"/>
        </w:rPr>
        <w:t>Woodland et al.</w:t>
      </w:r>
      <w:r w:rsidRPr="008D1A7E">
        <w:rPr>
          <w:rFonts w:ascii="Arial" w:hAnsi="Arial" w:cs="Arial"/>
          <w:color w:val="000000" w:themeColor="text1"/>
          <w:sz w:val="22"/>
          <w:szCs w:val="22"/>
          <w:lang w:val="uk-UA"/>
        </w:rPr>
        <w:t xml:space="preserve">, </w:t>
      </w:r>
      <w:r w:rsidRPr="008D1A7E">
        <w:rPr>
          <w:rFonts w:ascii="Arial" w:hAnsi="Arial" w:cs="Arial"/>
          <w:color w:val="000000" w:themeColor="text1"/>
          <w:sz w:val="22"/>
          <w:szCs w:val="22"/>
        </w:rPr>
        <w:t>2024</w:t>
      </w:r>
      <w:r w:rsidRPr="008D1A7E">
        <w:rPr>
          <w:rFonts w:ascii="Arial" w:hAnsi="Arial" w:cs="Arial"/>
          <w:color w:val="000000" w:themeColor="text1"/>
          <w:sz w:val="22"/>
          <w:szCs w:val="22"/>
          <w:lang w:val="uk-UA"/>
        </w:rPr>
        <w:t>).</w:t>
      </w:r>
      <w:r w:rsidRPr="008D1A7E">
        <w:rPr>
          <w:rFonts w:ascii="Arial" w:hAnsi="Arial" w:cs="Arial"/>
          <w:color w:val="000000" w:themeColor="text1"/>
          <w:sz w:val="22"/>
          <w:szCs w:val="22"/>
        </w:rPr>
        <w:t xml:space="preserve"> In addition</w:t>
      </w:r>
      <w:r w:rsidRPr="008D1A7E">
        <w:rPr>
          <w:rFonts w:ascii="Arial" w:hAnsi="Arial" w:cs="Arial"/>
          <w:color w:val="000000" w:themeColor="text1"/>
          <w:sz w:val="22"/>
          <w:szCs w:val="22"/>
          <w:lang w:val="uk-UA"/>
        </w:rPr>
        <w:t xml:space="preserve">, </w:t>
      </w:r>
      <w:r w:rsidRPr="008D1A7E">
        <w:rPr>
          <w:rFonts w:ascii="Arial" w:hAnsi="Arial" w:cs="Arial"/>
          <w:color w:val="000000" w:themeColor="text1"/>
          <w:sz w:val="22"/>
          <w:szCs w:val="22"/>
        </w:rPr>
        <w:t xml:space="preserve">DeCostanza Eagle et al. (2026) highlight the importance of using Bronfenbrenner’s PPCT framework to strengthen self-advocacy and </w:t>
      </w:r>
      <w:r w:rsidRPr="008D1A7E">
        <w:rPr>
          <w:rFonts w:ascii="Arial" w:hAnsi="Arial" w:cs="Arial"/>
          <w:color w:val="000000"/>
          <w:sz w:val="22"/>
          <w:szCs w:val="22"/>
        </w:rPr>
        <w:t>personalised</w:t>
      </w:r>
      <w:r w:rsidRPr="008D1A7E">
        <w:rPr>
          <w:rFonts w:ascii="Arial" w:hAnsi="Arial" w:cs="Arial"/>
          <w:color w:val="000000"/>
          <w:sz w:val="22"/>
          <w:szCs w:val="22"/>
          <w:lang w:val="uk-UA"/>
        </w:rPr>
        <w:t xml:space="preserve"> </w:t>
      </w:r>
      <w:r w:rsidRPr="008D1A7E">
        <w:rPr>
          <w:rFonts w:ascii="Arial" w:hAnsi="Arial" w:cs="Arial"/>
          <w:color w:val="000000" w:themeColor="text1"/>
          <w:sz w:val="22"/>
          <w:szCs w:val="22"/>
        </w:rPr>
        <w:t>support for individuals with intellectual disabilities. This emphasises</w:t>
      </w:r>
      <w:r w:rsidRPr="008D1A7E">
        <w:rPr>
          <w:rFonts w:ascii="Arial" w:hAnsi="Arial" w:cs="Arial"/>
          <w:color w:val="000000" w:themeColor="text1"/>
          <w:sz w:val="22"/>
          <w:szCs w:val="22"/>
          <w:lang w:val="uk-UA"/>
        </w:rPr>
        <w:t xml:space="preserve"> </w:t>
      </w:r>
      <w:r w:rsidRPr="008D1A7E">
        <w:rPr>
          <w:rFonts w:ascii="Arial" w:hAnsi="Arial" w:cs="Arial"/>
          <w:color w:val="000000" w:themeColor="text1"/>
          <w:sz w:val="22"/>
          <w:szCs w:val="22"/>
        </w:rPr>
        <w:t xml:space="preserve">the need for </w:t>
      </w:r>
      <w:r w:rsidRPr="008D1A7E">
        <w:rPr>
          <w:rFonts w:ascii="Arial" w:hAnsi="Arial" w:cs="Arial"/>
          <w:color w:val="000000"/>
          <w:sz w:val="22"/>
          <w:szCs w:val="22"/>
        </w:rPr>
        <w:t>more responsive and flexible support approaches</w:t>
      </w:r>
      <w:r w:rsidRPr="008D1A7E">
        <w:rPr>
          <w:rFonts w:ascii="Arial" w:hAnsi="Arial" w:cs="Arial"/>
          <w:color w:val="000000"/>
          <w:sz w:val="22"/>
          <w:szCs w:val="22"/>
          <w:lang w:val="uk-UA"/>
        </w:rPr>
        <w:t xml:space="preserve"> </w:t>
      </w:r>
      <w:r w:rsidRPr="008D1A7E">
        <w:rPr>
          <w:rFonts w:ascii="Arial" w:hAnsi="Arial" w:cs="Arial"/>
          <w:color w:val="000000" w:themeColor="text1"/>
          <w:sz w:val="22"/>
          <w:szCs w:val="22"/>
        </w:rPr>
        <w:t>for individuals with complex needs.</w:t>
      </w:r>
    </w:p>
    <w:p w14:paraId="3F06E884" w14:textId="77777777" w:rsidR="0012087C" w:rsidRPr="00396FEC" w:rsidRDefault="0012087C" w:rsidP="0012087C">
      <w:pPr>
        <w:pStyle w:val="NormalWeb"/>
        <w:spacing w:line="360" w:lineRule="auto"/>
        <w:jc w:val="both"/>
        <w:rPr>
          <w:rFonts w:ascii="Arial" w:hAnsi="Arial" w:cs="Arial"/>
          <w:color w:val="000000"/>
          <w:sz w:val="22"/>
          <w:szCs w:val="22"/>
          <w:lang w:val="uk-UA"/>
        </w:rPr>
      </w:pPr>
      <w:r w:rsidRPr="008D1A7E">
        <w:rPr>
          <w:rFonts w:ascii="Arial" w:hAnsi="Arial" w:cs="Arial"/>
          <w:color w:val="000000"/>
          <w:sz w:val="22"/>
          <w:szCs w:val="22"/>
        </w:rPr>
        <w:lastRenderedPageBreak/>
        <w:t>Overall, improving health and social care practice requires stronger application of ecological approaches through practitioner education, policy development and service delivery. To improve the effective use</w:t>
      </w:r>
      <w:r w:rsidRPr="008D1A7E">
        <w:rPr>
          <w:rFonts w:ascii="Arial" w:hAnsi="Arial" w:cs="Arial"/>
          <w:color w:val="000000"/>
          <w:sz w:val="22"/>
          <w:szCs w:val="22"/>
          <w:lang w:val="uk-UA"/>
        </w:rPr>
        <w:t xml:space="preserve"> </w:t>
      </w:r>
      <w:r w:rsidRPr="008D1A7E">
        <w:rPr>
          <w:rFonts w:ascii="Arial" w:hAnsi="Arial" w:cs="Arial"/>
          <w:color w:val="000000"/>
          <w:sz w:val="22"/>
          <w:szCs w:val="22"/>
        </w:rPr>
        <w:t xml:space="preserve">of Bronfenbrenner’s theory, greater emphasis should be placed on strengthening professional understanding, promoting wider collaboration between services and supporting person-centred interventions that respond to cultural differences. This can </w:t>
      </w:r>
      <w:r w:rsidRPr="00396FEC">
        <w:rPr>
          <w:rFonts w:ascii="Arial" w:hAnsi="Arial" w:cs="Arial"/>
          <w:color w:val="000000"/>
          <w:sz w:val="22"/>
          <w:szCs w:val="22"/>
        </w:rPr>
        <w:t>improve both policy development and individual wellbeing.</w:t>
      </w:r>
    </w:p>
    <w:p w14:paraId="0712DB8F" w14:textId="77777777" w:rsidR="0012087C" w:rsidRDefault="0012087C" w:rsidP="009906A7">
      <w:pPr>
        <w:pStyle w:val="Heading1"/>
        <w:rPr>
          <w:lang w:val="uk-UA"/>
        </w:rPr>
      </w:pPr>
      <w:bookmarkStart w:id="4" w:name="_Toc228303525"/>
      <w:r w:rsidRPr="00396FEC">
        <w:t>Conclusion</w:t>
      </w:r>
      <w:bookmarkEnd w:id="4"/>
    </w:p>
    <w:p w14:paraId="10C0F8E2" w14:textId="77777777" w:rsidR="00A21F27" w:rsidRPr="00A21F27" w:rsidRDefault="00A21F27" w:rsidP="00A21F27">
      <w:pPr>
        <w:rPr>
          <w:lang w:val="uk-UA" w:eastAsia="en-US"/>
        </w:rPr>
      </w:pPr>
    </w:p>
    <w:p w14:paraId="797DBAFD" w14:textId="720478B7" w:rsidR="0012087C" w:rsidRPr="00396FEC" w:rsidRDefault="0012087C" w:rsidP="0012087C">
      <w:pPr>
        <w:spacing w:line="360" w:lineRule="auto"/>
        <w:jc w:val="both"/>
        <w:rPr>
          <w:rFonts w:ascii="Arial" w:hAnsi="Arial" w:cs="Arial"/>
          <w:sz w:val="22"/>
          <w:szCs w:val="22"/>
        </w:rPr>
      </w:pPr>
      <w:r w:rsidRPr="00396FEC">
        <w:rPr>
          <w:rFonts w:ascii="Arial" w:hAnsi="Arial" w:cs="Arial"/>
          <w:color w:val="000000" w:themeColor="text1"/>
          <w:sz w:val="22"/>
          <w:szCs w:val="22"/>
        </w:rPr>
        <w:t xml:space="preserve">Bronfenbrenner’s Ecological Systems Theory </w:t>
      </w:r>
      <w:r w:rsidR="00340159">
        <w:rPr>
          <w:rFonts w:ascii="Arial" w:hAnsi="Arial" w:cs="Arial"/>
          <w:color w:val="000000" w:themeColor="text1"/>
          <w:sz w:val="22"/>
          <w:szCs w:val="22"/>
        </w:rPr>
        <w:t>offers</w:t>
      </w:r>
      <w:r w:rsidRPr="00396FEC">
        <w:rPr>
          <w:rFonts w:ascii="Arial" w:hAnsi="Arial" w:cs="Arial"/>
          <w:color w:val="000000" w:themeColor="text1"/>
          <w:sz w:val="22"/>
          <w:szCs w:val="22"/>
        </w:rPr>
        <w:t xml:space="preserve"> a valuable framework for understanding human development </w:t>
      </w:r>
      <w:r w:rsidR="00340159">
        <w:rPr>
          <w:rFonts w:ascii="Arial" w:hAnsi="Arial" w:cs="Arial"/>
          <w:color w:val="000000" w:themeColor="text1"/>
          <w:sz w:val="22"/>
          <w:szCs w:val="22"/>
        </w:rPr>
        <w:t>by recognising</w:t>
      </w:r>
      <w:r w:rsidRPr="00396FEC">
        <w:rPr>
          <w:rFonts w:ascii="Arial" w:hAnsi="Arial" w:cs="Arial"/>
          <w:color w:val="000000" w:themeColor="text1"/>
          <w:sz w:val="22"/>
          <w:szCs w:val="22"/>
        </w:rPr>
        <w:t xml:space="preserve"> the wider environmental systems that affect individual experiences and outcomes. Throughout this essay, the theory has been shown to support person-centred health and social care practice. It helps professionals move beyond narrow medical perspectives and recognise the broader social, cultural and structural influences on wellbeing.</w:t>
      </w:r>
      <w:r w:rsidRPr="00396FEC">
        <w:rPr>
          <w:rFonts w:ascii="Arial" w:hAnsi="Arial" w:cs="Arial"/>
          <w:color w:val="000000" w:themeColor="text1"/>
          <w:sz w:val="22"/>
          <w:szCs w:val="22"/>
          <w:lang w:val="uk-UA"/>
        </w:rPr>
        <w:t xml:space="preserve"> </w:t>
      </w:r>
      <w:r w:rsidRPr="00396FEC">
        <w:rPr>
          <w:rFonts w:ascii="Arial" w:hAnsi="Arial" w:cs="Arial"/>
          <w:color w:val="000000" w:themeColor="text1"/>
          <w:sz w:val="22"/>
          <w:szCs w:val="22"/>
        </w:rPr>
        <w:t>Its practical relevance is particularly strong</w:t>
      </w:r>
      <w:r w:rsidRPr="00396FEC">
        <w:rPr>
          <w:rFonts w:ascii="Arial" w:hAnsi="Arial" w:cs="Arial"/>
          <w:color w:val="000000" w:themeColor="text1"/>
          <w:sz w:val="22"/>
          <w:szCs w:val="22"/>
          <w:lang w:val="uk-UA"/>
        </w:rPr>
        <w:t xml:space="preserve"> </w:t>
      </w:r>
      <w:r w:rsidRPr="00396FEC">
        <w:rPr>
          <w:rFonts w:ascii="Arial" w:hAnsi="Arial" w:cs="Arial"/>
          <w:color w:val="000000" w:themeColor="text1"/>
          <w:sz w:val="22"/>
          <w:szCs w:val="22"/>
        </w:rPr>
        <w:t>in intervention planning, policy development, early intervention and the promotion of more collaborative, responsive and person-centred service delivery. However, the theory has limitations, as its complexity and common oversimplification can create challenges for practical</w:t>
      </w:r>
      <w:r w:rsidRPr="00396FEC">
        <w:rPr>
          <w:rFonts w:ascii="Arial" w:hAnsi="Arial" w:cs="Arial"/>
          <w:color w:val="000000" w:themeColor="text1"/>
          <w:sz w:val="22"/>
          <w:szCs w:val="22"/>
          <w:lang w:val="uk-UA"/>
        </w:rPr>
        <w:t xml:space="preserve"> </w:t>
      </w:r>
      <w:r w:rsidRPr="00396FEC">
        <w:rPr>
          <w:rFonts w:ascii="Arial" w:hAnsi="Arial" w:cs="Arial"/>
          <w:color w:val="000000" w:themeColor="text1"/>
          <w:sz w:val="22"/>
          <w:szCs w:val="22"/>
        </w:rPr>
        <w:t>application in research, policy and professional practice. Despite these limitations, the ecological model remains highly relevant because of its holistic and flexible framework. Bronfenbrenner’s theory can strengthen policy development and individual wellbeing when applied effectively through stronger practitioner education, integrated policy development and culturally responsive interventions.</w:t>
      </w:r>
      <w:r w:rsidRPr="00396FEC">
        <w:rPr>
          <w:rFonts w:ascii="Arial" w:hAnsi="Arial" w:cs="Arial"/>
          <w:color w:val="000000" w:themeColor="text1"/>
          <w:sz w:val="22"/>
          <w:szCs w:val="22"/>
          <w:lang w:val="uk-UA"/>
        </w:rPr>
        <w:t xml:space="preserve"> </w:t>
      </w:r>
      <w:r w:rsidRPr="00396FEC">
        <w:rPr>
          <w:rFonts w:ascii="Arial" w:hAnsi="Arial" w:cs="Arial"/>
          <w:color w:val="000000" w:themeColor="text1"/>
          <w:sz w:val="22"/>
          <w:szCs w:val="22"/>
        </w:rPr>
        <w:t>Overall, the theory continues to provide an important framework for improving health and social care practice by supporting more responsive</w:t>
      </w:r>
      <w:r w:rsidRPr="00396FEC">
        <w:rPr>
          <w:rFonts w:ascii="Arial" w:hAnsi="Arial" w:cs="Arial"/>
          <w:color w:val="000000" w:themeColor="text1"/>
          <w:sz w:val="22"/>
          <w:szCs w:val="22"/>
          <w:lang w:val="uk-UA"/>
        </w:rPr>
        <w:t xml:space="preserve"> </w:t>
      </w:r>
      <w:r w:rsidRPr="00396FEC">
        <w:rPr>
          <w:rFonts w:ascii="Arial" w:hAnsi="Arial" w:cs="Arial"/>
          <w:color w:val="000000" w:themeColor="text1"/>
          <w:sz w:val="22"/>
          <w:szCs w:val="22"/>
        </w:rPr>
        <w:t>and person-centred approaches that better address diverse and changing individual needs.</w:t>
      </w:r>
    </w:p>
    <w:p w14:paraId="2CC16E3C" w14:textId="77777777" w:rsidR="0012087C" w:rsidRDefault="0012087C">
      <w:pPr>
        <w:rPr>
          <w:lang w:val="uk-UA"/>
        </w:rPr>
      </w:pPr>
    </w:p>
    <w:p w14:paraId="05480CB5" w14:textId="77777777" w:rsidR="0012087C" w:rsidRDefault="0012087C">
      <w:pPr>
        <w:rPr>
          <w:lang w:val="uk-UA"/>
        </w:rPr>
      </w:pPr>
    </w:p>
    <w:p w14:paraId="2E0A4810" w14:textId="77777777" w:rsidR="0012087C" w:rsidRDefault="0012087C">
      <w:pPr>
        <w:rPr>
          <w:lang w:val="uk-UA"/>
        </w:rPr>
      </w:pPr>
    </w:p>
    <w:p w14:paraId="2475CF2F" w14:textId="77777777" w:rsidR="0012087C" w:rsidRDefault="0012087C">
      <w:pPr>
        <w:rPr>
          <w:lang w:val="uk-UA"/>
        </w:rPr>
      </w:pPr>
    </w:p>
    <w:p w14:paraId="6D27851F" w14:textId="77777777" w:rsidR="0012087C" w:rsidRDefault="0012087C">
      <w:pPr>
        <w:rPr>
          <w:lang w:val="uk-UA"/>
        </w:rPr>
      </w:pPr>
    </w:p>
    <w:p w14:paraId="29D0F554" w14:textId="77777777" w:rsidR="0012087C" w:rsidRDefault="0012087C">
      <w:pPr>
        <w:rPr>
          <w:lang w:val="uk-UA"/>
        </w:rPr>
      </w:pPr>
    </w:p>
    <w:p w14:paraId="1CCA3A2D" w14:textId="77777777" w:rsidR="0012087C" w:rsidRDefault="0012087C">
      <w:pPr>
        <w:rPr>
          <w:lang w:val="uk-UA"/>
        </w:rPr>
      </w:pPr>
    </w:p>
    <w:p w14:paraId="0348540F" w14:textId="77777777" w:rsidR="0012087C" w:rsidRDefault="0012087C">
      <w:pPr>
        <w:rPr>
          <w:lang w:val="uk-UA"/>
        </w:rPr>
      </w:pPr>
    </w:p>
    <w:p w14:paraId="4D3E54EF" w14:textId="77777777" w:rsidR="0012087C" w:rsidRDefault="0012087C">
      <w:pPr>
        <w:rPr>
          <w:lang w:val="uk-UA"/>
        </w:rPr>
      </w:pPr>
    </w:p>
    <w:p w14:paraId="0E3400B1" w14:textId="77777777" w:rsidR="0012087C" w:rsidRDefault="0012087C">
      <w:pPr>
        <w:rPr>
          <w:lang w:val="uk-UA"/>
        </w:rPr>
      </w:pPr>
    </w:p>
    <w:p w14:paraId="097B0B24" w14:textId="77777777" w:rsidR="00A21F27" w:rsidRDefault="00A21F27" w:rsidP="009906A7">
      <w:pPr>
        <w:pStyle w:val="Heading1"/>
      </w:pPr>
    </w:p>
    <w:p w14:paraId="55F7ADCC" w14:textId="206623E0" w:rsidR="0012087C" w:rsidRDefault="0012087C" w:rsidP="009906A7">
      <w:pPr>
        <w:pStyle w:val="Heading1"/>
      </w:pPr>
      <w:bookmarkStart w:id="5" w:name="_Toc228303526"/>
      <w:r w:rsidRPr="005D5C97">
        <w:t>References</w:t>
      </w:r>
      <w:bookmarkEnd w:id="5"/>
    </w:p>
    <w:p w14:paraId="19D34148" w14:textId="77777777" w:rsidR="0012087C" w:rsidRPr="005D5C97" w:rsidRDefault="0012087C" w:rsidP="0012087C">
      <w:pPr>
        <w:spacing w:line="360" w:lineRule="auto"/>
        <w:jc w:val="both"/>
        <w:rPr>
          <w:rFonts w:ascii="Arial" w:hAnsi="Arial" w:cs="Arial"/>
          <w:b/>
          <w:bCs/>
          <w:sz w:val="22"/>
          <w:szCs w:val="22"/>
        </w:rPr>
      </w:pPr>
    </w:p>
    <w:p w14:paraId="587C1649" w14:textId="77777777" w:rsidR="0012087C" w:rsidRPr="005D5C97" w:rsidRDefault="0012087C" w:rsidP="00A21F27">
      <w:pPr>
        <w:rPr>
          <w:rFonts w:ascii="Arial" w:hAnsi="Arial" w:cs="Arial"/>
          <w:color w:val="000000"/>
          <w:sz w:val="22"/>
          <w:szCs w:val="22"/>
        </w:rPr>
      </w:pPr>
      <w:r w:rsidRPr="005D5C97">
        <w:rPr>
          <w:rFonts w:ascii="Arial" w:hAnsi="Arial" w:cs="Arial"/>
          <w:color w:val="3A3A3A"/>
          <w:sz w:val="22"/>
          <w:szCs w:val="22"/>
          <w:shd w:val="clear" w:color="auto" w:fill="FFFFFF"/>
        </w:rPr>
        <w:t xml:space="preserve">Bronfenbrenner, U. (1977)’ Toward an experimental ecology of human development’, </w:t>
      </w:r>
      <w:r w:rsidRPr="005D5C97">
        <w:rPr>
          <w:rFonts w:ascii="Arial" w:hAnsi="Arial" w:cs="Arial"/>
          <w:i/>
          <w:iCs/>
          <w:color w:val="3A3A3A"/>
          <w:sz w:val="22"/>
          <w:szCs w:val="22"/>
        </w:rPr>
        <w:t>The American Psychologist</w:t>
      </w:r>
      <w:r w:rsidRPr="005D5C97">
        <w:rPr>
          <w:rFonts w:ascii="Arial" w:hAnsi="Arial" w:cs="Arial"/>
          <w:color w:val="3A3A3A"/>
          <w:sz w:val="22"/>
          <w:szCs w:val="22"/>
          <w:shd w:val="clear" w:color="auto" w:fill="FFFFFF"/>
        </w:rPr>
        <w:t>,</w:t>
      </w:r>
      <w:r w:rsidRPr="005D5C97">
        <w:rPr>
          <w:rStyle w:val="apple-converted-space"/>
          <w:rFonts w:ascii="Arial" w:eastAsiaTheme="majorEastAsia" w:hAnsi="Arial" w:cs="Arial"/>
          <w:color w:val="3A3A3A"/>
          <w:sz w:val="22"/>
          <w:szCs w:val="22"/>
          <w:shd w:val="clear" w:color="auto" w:fill="FFFFFF"/>
        </w:rPr>
        <w:t> </w:t>
      </w:r>
      <w:r w:rsidRPr="005D5C97">
        <w:rPr>
          <w:rFonts w:ascii="Arial" w:hAnsi="Arial" w:cs="Arial"/>
          <w:i/>
          <w:iCs/>
          <w:color w:val="3A3A3A"/>
          <w:sz w:val="22"/>
          <w:szCs w:val="22"/>
        </w:rPr>
        <w:t>32</w:t>
      </w:r>
      <w:r w:rsidRPr="005D5C97">
        <w:rPr>
          <w:rFonts w:ascii="Arial" w:hAnsi="Arial" w:cs="Arial"/>
          <w:color w:val="3A3A3A"/>
          <w:sz w:val="22"/>
          <w:szCs w:val="22"/>
          <w:shd w:val="clear" w:color="auto" w:fill="FFFFFF"/>
        </w:rPr>
        <w:t xml:space="preserve">(7), 513–531. Available at: </w:t>
      </w:r>
      <w:hyperlink r:id="rId9" w:history="1">
        <w:r w:rsidRPr="005D5C97">
          <w:rPr>
            <w:rStyle w:val="Hyperlink"/>
            <w:rFonts w:ascii="Arial" w:eastAsiaTheme="majorEastAsia" w:hAnsi="Arial" w:cs="Arial"/>
            <w:sz w:val="22"/>
            <w:szCs w:val="22"/>
            <w:shd w:val="clear" w:color="auto" w:fill="FFFFFF"/>
          </w:rPr>
          <w:t>https://doi.org/10.1037/0003-066X.32.7.513</w:t>
        </w:r>
      </w:hyperlink>
      <w:r w:rsidRPr="005D5C97">
        <w:rPr>
          <w:rFonts w:ascii="Arial" w:hAnsi="Arial" w:cs="Arial"/>
          <w:color w:val="3A3A3A"/>
          <w:sz w:val="22"/>
          <w:szCs w:val="22"/>
          <w:shd w:val="clear" w:color="auto" w:fill="FFFFFF"/>
          <w:lang w:val="uk-UA"/>
        </w:rPr>
        <w:t xml:space="preserve"> </w:t>
      </w:r>
      <w:r w:rsidRPr="005D5C97">
        <w:rPr>
          <w:rFonts w:ascii="Arial" w:hAnsi="Arial" w:cs="Arial"/>
          <w:color w:val="000000"/>
          <w:sz w:val="22"/>
          <w:szCs w:val="22"/>
        </w:rPr>
        <w:t>(Accessed: 13 April 2026).</w:t>
      </w:r>
    </w:p>
    <w:p w14:paraId="2B6FD207" w14:textId="77777777" w:rsidR="0012087C" w:rsidRPr="005D5C97" w:rsidRDefault="0012087C" w:rsidP="0012087C">
      <w:pPr>
        <w:spacing w:line="360" w:lineRule="auto"/>
        <w:jc w:val="both"/>
        <w:rPr>
          <w:rFonts w:ascii="Arial" w:hAnsi="Arial" w:cs="Arial"/>
          <w:color w:val="000000" w:themeColor="text1"/>
          <w:sz w:val="22"/>
          <w:szCs w:val="22"/>
          <w:shd w:val="clear" w:color="auto" w:fill="FFFFFF"/>
        </w:rPr>
      </w:pPr>
    </w:p>
    <w:p w14:paraId="7BD91268" w14:textId="77777777" w:rsidR="0012087C" w:rsidRPr="005D5C97" w:rsidRDefault="0012087C" w:rsidP="0012087C">
      <w:pPr>
        <w:spacing w:line="360" w:lineRule="auto"/>
        <w:jc w:val="both"/>
        <w:rPr>
          <w:rFonts w:ascii="Arial" w:hAnsi="Arial" w:cs="Arial"/>
          <w:color w:val="000000" w:themeColor="text1"/>
          <w:sz w:val="22"/>
          <w:szCs w:val="22"/>
          <w:shd w:val="clear" w:color="auto" w:fill="FFFFFF"/>
        </w:rPr>
      </w:pPr>
      <w:r w:rsidRPr="005D5C97">
        <w:rPr>
          <w:rFonts w:ascii="Arial" w:hAnsi="Arial" w:cs="Arial"/>
          <w:color w:val="000000" w:themeColor="text1"/>
          <w:sz w:val="22"/>
          <w:szCs w:val="22"/>
          <w:shd w:val="clear" w:color="auto" w:fill="FFFFFF"/>
        </w:rPr>
        <w:t>Bronfenbrenner, U. (1996)</w:t>
      </w:r>
      <w:r w:rsidRPr="005D5C97">
        <w:rPr>
          <w:rStyle w:val="apple-converted-space"/>
          <w:rFonts w:ascii="Arial" w:eastAsiaTheme="majorEastAsia" w:hAnsi="Arial" w:cs="Arial"/>
          <w:color w:val="000000" w:themeColor="text1"/>
          <w:sz w:val="22"/>
          <w:szCs w:val="22"/>
          <w:shd w:val="clear" w:color="auto" w:fill="FFFFFF"/>
        </w:rPr>
        <w:t> </w:t>
      </w:r>
      <w:r w:rsidRPr="005D5C97">
        <w:rPr>
          <w:rFonts w:ascii="Arial" w:hAnsi="Arial" w:cs="Arial"/>
          <w:i/>
          <w:iCs/>
          <w:color w:val="000000" w:themeColor="text1"/>
          <w:sz w:val="22"/>
          <w:szCs w:val="22"/>
        </w:rPr>
        <w:t>The ecology of human development: experiments by nature and design</w:t>
      </w:r>
      <w:r w:rsidRPr="005D5C97">
        <w:rPr>
          <w:rFonts w:ascii="Arial" w:hAnsi="Arial" w:cs="Arial"/>
          <w:color w:val="000000" w:themeColor="text1"/>
          <w:sz w:val="22"/>
          <w:szCs w:val="22"/>
          <w:shd w:val="clear" w:color="auto" w:fill="FFFFFF"/>
        </w:rPr>
        <w:t>. Cambridge, MA: Harvard University Press.</w:t>
      </w:r>
    </w:p>
    <w:p w14:paraId="51A42501" w14:textId="77777777" w:rsidR="0012087C" w:rsidRPr="005D5C97" w:rsidRDefault="0012087C" w:rsidP="0012087C">
      <w:pPr>
        <w:spacing w:line="360" w:lineRule="auto"/>
        <w:jc w:val="both"/>
        <w:rPr>
          <w:rFonts w:ascii="Arial" w:hAnsi="Arial" w:cs="Arial"/>
          <w:color w:val="000000" w:themeColor="text1"/>
          <w:sz w:val="22"/>
          <w:szCs w:val="22"/>
          <w:shd w:val="clear" w:color="auto" w:fill="FFFFFF"/>
        </w:rPr>
      </w:pPr>
    </w:p>
    <w:p w14:paraId="212C6F8E" w14:textId="77777777" w:rsidR="0012087C" w:rsidRPr="005D5C97" w:rsidRDefault="0012087C" w:rsidP="0012087C">
      <w:pPr>
        <w:spacing w:line="360" w:lineRule="auto"/>
        <w:jc w:val="both"/>
        <w:rPr>
          <w:rFonts w:ascii="Arial" w:hAnsi="Arial" w:cs="Arial"/>
          <w:color w:val="000000"/>
          <w:sz w:val="22"/>
          <w:szCs w:val="22"/>
        </w:rPr>
      </w:pPr>
      <w:r w:rsidRPr="005D5C97">
        <w:rPr>
          <w:rFonts w:ascii="Arial" w:hAnsi="Arial" w:cs="Arial"/>
          <w:color w:val="3A3A3A"/>
          <w:sz w:val="22"/>
          <w:szCs w:val="22"/>
          <w:shd w:val="clear" w:color="auto" w:fill="FFFFFF"/>
        </w:rPr>
        <w:t xml:space="preserve">DeCostanza Eagle, C., Francis, G. L., Conn-Reda, K., Haynor, K., Espanol, S. H., Duke, J., Hunt, J. A., Majetich, E., </w:t>
      </w:r>
      <w:r>
        <w:rPr>
          <w:rFonts w:ascii="Arial" w:hAnsi="Arial" w:cs="Arial"/>
          <w:color w:val="3A3A3A"/>
          <w:sz w:val="22"/>
          <w:szCs w:val="22"/>
          <w:shd w:val="clear" w:color="auto" w:fill="FFFFFF"/>
        </w:rPr>
        <w:t>and</w:t>
      </w:r>
      <w:r w:rsidRPr="005D5C97">
        <w:rPr>
          <w:rFonts w:ascii="Arial" w:hAnsi="Arial" w:cs="Arial"/>
          <w:color w:val="3A3A3A"/>
          <w:sz w:val="22"/>
          <w:szCs w:val="22"/>
          <w:shd w:val="clear" w:color="auto" w:fill="FFFFFF"/>
        </w:rPr>
        <w:t xml:space="preserve"> Eagle, T. J. (2026) ‘A Scoping Review of the Barriers to Self-Advocacy for People with Intellectual Disability in Bronfenbrenner’s Process–Person–Context–Time (PPCT) Model’, </w:t>
      </w:r>
      <w:r w:rsidRPr="005D5C97">
        <w:rPr>
          <w:rFonts w:ascii="Arial" w:hAnsi="Arial" w:cs="Arial"/>
          <w:i/>
          <w:iCs/>
          <w:color w:val="3A3A3A"/>
          <w:sz w:val="22"/>
          <w:szCs w:val="22"/>
        </w:rPr>
        <w:t>Education Sciences</w:t>
      </w:r>
      <w:r w:rsidRPr="005D5C97">
        <w:rPr>
          <w:rFonts w:ascii="Arial" w:hAnsi="Arial" w:cs="Arial"/>
          <w:color w:val="3A3A3A"/>
          <w:sz w:val="22"/>
          <w:szCs w:val="22"/>
          <w:shd w:val="clear" w:color="auto" w:fill="FFFFFF"/>
        </w:rPr>
        <w:t>,</w:t>
      </w:r>
      <w:r w:rsidRPr="005D5C97">
        <w:rPr>
          <w:rStyle w:val="apple-converted-space"/>
          <w:rFonts w:ascii="Arial" w:eastAsiaTheme="majorEastAsia" w:hAnsi="Arial" w:cs="Arial"/>
          <w:color w:val="3A3A3A"/>
          <w:sz w:val="22"/>
          <w:szCs w:val="22"/>
          <w:shd w:val="clear" w:color="auto" w:fill="FFFFFF"/>
        </w:rPr>
        <w:t> </w:t>
      </w:r>
      <w:r w:rsidRPr="005D5C97">
        <w:rPr>
          <w:rFonts w:ascii="Arial" w:hAnsi="Arial" w:cs="Arial"/>
          <w:i/>
          <w:iCs/>
          <w:color w:val="3A3A3A"/>
          <w:sz w:val="22"/>
          <w:szCs w:val="22"/>
        </w:rPr>
        <w:t>16</w:t>
      </w:r>
      <w:r w:rsidRPr="005D5C97">
        <w:rPr>
          <w:rFonts w:ascii="Arial" w:hAnsi="Arial" w:cs="Arial"/>
          <w:color w:val="3A3A3A"/>
          <w:sz w:val="22"/>
          <w:szCs w:val="22"/>
          <w:shd w:val="clear" w:color="auto" w:fill="FFFFFF"/>
        </w:rPr>
        <w:t xml:space="preserve">(1), 97. Available at: </w:t>
      </w:r>
      <w:hyperlink r:id="rId10" w:history="1">
        <w:r w:rsidRPr="005D5C97">
          <w:rPr>
            <w:rStyle w:val="Hyperlink"/>
            <w:rFonts w:ascii="Arial" w:eastAsiaTheme="majorEastAsia" w:hAnsi="Arial" w:cs="Arial"/>
            <w:sz w:val="22"/>
            <w:szCs w:val="22"/>
            <w:shd w:val="clear" w:color="auto" w:fill="FFFFFF"/>
          </w:rPr>
          <w:t>https://doi.org/10.3390/educsci16010097</w:t>
        </w:r>
      </w:hyperlink>
      <w:r w:rsidRPr="005D5C97">
        <w:rPr>
          <w:rFonts w:ascii="Arial" w:hAnsi="Arial" w:cs="Arial"/>
          <w:color w:val="3A3A3A"/>
          <w:sz w:val="22"/>
          <w:szCs w:val="22"/>
          <w:shd w:val="clear" w:color="auto" w:fill="FFFFFF"/>
          <w:lang w:val="uk-UA"/>
        </w:rPr>
        <w:t xml:space="preserve"> </w:t>
      </w:r>
      <w:r w:rsidRPr="005D5C97">
        <w:rPr>
          <w:rFonts w:ascii="Arial" w:hAnsi="Arial" w:cs="Arial"/>
          <w:color w:val="000000"/>
          <w:sz w:val="22"/>
          <w:szCs w:val="22"/>
        </w:rPr>
        <w:t>(Accessed: 25</w:t>
      </w:r>
      <w:r w:rsidRPr="005D5C97">
        <w:rPr>
          <w:rFonts w:ascii="Arial" w:hAnsi="Arial" w:cs="Arial"/>
          <w:color w:val="000000"/>
          <w:sz w:val="22"/>
          <w:szCs w:val="22"/>
          <w:lang w:val="uk-UA"/>
        </w:rPr>
        <w:t xml:space="preserve"> </w:t>
      </w:r>
      <w:r w:rsidRPr="005D5C97">
        <w:rPr>
          <w:rFonts w:ascii="Arial" w:hAnsi="Arial" w:cs="Arial"/>
          <w:color w:val="000000"/>
          <w:sz w:val="22"/>
          <w:szCs w:val="22"/>
        </w:rPr>
        <w:t>April 2026).</w:t>
      </w:r>
    </w:p>
    <w:p w14:paraId="40C06C68" w14:textId="77777777" w:rsidR="0012087C" w:rsidRPr="005D5C97" w:rsidRDefault="0012087C" w:rsidP="0012087C">
      <w:pPr>
        <w:spacing w:line="360" w:lineRule="auto"/>
        <w:jc w:val="both"/>
        <w:rPr>
          <w:rFonts w:ascii="Arial" w:hAnsi="Arial" w:cs="Arial"/>
          <w:color w:val="000000"/>
          <w:sz w:val="22"/>
          <w:szCs w:val="22"/>
        </w:rPr>
      </w:pPr>
    </w:p>
    <w:p w14:paraId="310BB91C" w14:textId="77777777" w:rsidR="0012087C" w:rsidRPr="005D5C97" w:rsidRDefault="0012087C" w:rsidP="0012087C">
      <w:pPr>
        <w:spacing w:line="360" w:lineRule="auto"/>
        <w:jc w:val="both"/>
        <w:rPr>
          <w:rFonts w:ascii="Arial" w:hAnsi="Arial" w:cs="Arial"/>
          <w:color w:val="000000"/>
          <w:sz w:val="22"/>
          <w:szCs w:val="22"/>
        </w:rPr>
      </w:pPr>
      <w:r w:rsidRPr="005D5C97">
        <w:rPr>
          <w:rFonts w:ascii="Arial" w:hAnsi="Arial" w:cs="Arial"/>
          <w:color w:val="3A3A3A"/>
          <w:sz w:val="22"/>
          <w:szCs w:val="22"/>
          <w:shd w:val="clear" w:color="auto" w:fill="FFFFFF"/>
        </w:rPr>
        <w:t xml:space="preserve">Eriksson, M., </w:t>
      </w:r>
      <w:proofErr w:type="spellStart"/>
      <w:r w:rsidRPr="005D5C97">
        <w:rPr>
          <w:rFonts w:ascii="Arial" w:hAnsi="Arial" w:cs="Arial"/>
          <w:color w:val="3A3A3A"/>
          <w:sz w:val="22"/>
          <w:szCs w:val="22"/>
          <w:shd w:val="clear" w:color="auto" w:fill="FFFFFF"/>
        </w:rPr>
        <w:t>Ghazinour</w:t>
      </w:r>
      <w:proofErr w:type="spellEnd"/>
      <w:r w:rsidRPr="005D5C97">
        <w:rPr>
          <w:rFonts w:ascii="Arial" w:hAnsi="Arial" w:cs="Arial"/>
          <w:color w:val="3A3A3A"/>
          <w:sz w:val="22"/>
          <w:szCs w:val="22"/>
          <w:shd w:val="clear" w:color="auto" w:fill="FFFFFF"/>
        </w:rPr>
        <w:t xml:space="preserve">, M. and </w:t>
      </w:r>
      <w:proofErr w:type="spellStart"/>
      <w:r w:rsidRPr="005D5C97">
        <w:rPr>
          <w:rFonts w:ascii="Arial" w:hAnsi="Arial" w:cs="Arial"/>
          <w:color w:val="3A3A3A"/>
          <w:sz w:val="22"/>
          <w:szCs w:val="22"/>
          <w:shd w:val="clear" w:color="auto" w:fill="FFFFFF"/>
        </w:rPr>
        <w:t>Hammarström</w:t>
      </w:r>
      <w:proofErr w:type="spellEnd"/>
      <w:r w:rsidRPr="005D5C97">
        <w:rPr>
          <w:rFonts w:ascii="Arial" w:hAnsi="Arial" w:cs="Arial"/>
          <w:color w:val="3A3A3A"/>
          <w:sz w:val="22"/>
          <w:szCs w:val="22"/>
          <w:shd w:val="clear" w:color="auto" w:fill="FFFFFF"/>
        </w:rPr>
        <w:t xml:space="preserve">, A. (2018) ‘Different uses of Bronfenbrenner’s ecological theory in public mental health research: what is their value for guiding public mental health policy and practice?’, </w:t>
      </w:r>
      <w:r w:rsidRPr="005D5C97">
        <w:rPr>
          <w:rFonts w:ascii="Arial" w:hAnsi="Arial" w:cs="Arial"/>
          <w:i/>
          <w:iCs/>
          <w:color w:val="3A3A3A"/>
          <w:sz w:val="22"/>
          <w:szCs w:val="22"/>
        </w:rPr>
        <w:t xml:space="preserve">Social theory </w:t>
      </w:r>
      <w:r>
        <w:rPr>
          <w:rFonts w:ascii="Arial" w:hAnsi="Arial" w:cs="Arial"/>
          <w:i/>
          <w:iCs/>
          <w:color w:val="3A3A3A"/>
          <w:sz w:val="22"/>
          <w:szCs w:val="22"/>
        </w:rPr>
        <w:t>and</w:t>
      </w:r>
      <w:r w:rsidRPr="005D5C97">
        <w:rPr>
          <w:rFonts w:ascii="Arial" w:hAnsi="Arial" w:cs="Arial"/>
          <w:i/>
          <w:iCs/>
          <w:color w:val="3A3A3A"/>
          <w:sz w:val="22"/>
          <w:szCs w:val="22"/>
        </w:rPr>
        <w:t xml:space="preserve"> health</w:t>
      </w:r>
      <w:r w:rsidRPr="005D5C97">
        <w:rPr>
          <w:rFonts w:ascii="Arial" w:hAnsi="Arial" w:cs="Arial"/>
          <w:color w:val="3A3A3A"/>
          <w:sz w:val="22"/>
          <w:szCs w:val="22"/>
          <w:shd w:val="clear" w:color="auto" w:fill="FFFFFF"/>
        </w:rPr>
        <w:t xml:space="preserve">, 16(4), pp. 414–433. Available at: </w:t>
      </w:r>
      <w:hyperlink r:id="rId11" w:history="1">
        <w:r w:rsidRPr="005D5C97">
          <w:rPr>
            <w:rStyle w:val="Hyperlink"/>
            <w:rFonts w:ascii="Arial" w:eastAsiaTheme="majorEastAsia" w:hAnsi="Arial" w:cs="Arial"/>
            <w:sz w:val="22"/>
            <w:szCs w:val="22"/>
            <w:shd w:val="clear" w:color="auto" w:fill="FFFFFF"/>
          </w:rPr>
          <w:t>https://doi.org/10.1057/s41285-018-0065-6</w:t>
        </w:r>
      </w:hyperlink>
      <w:r w:rsidRPr="005D5C97">
        <w:rPr>
          <w:rFonts w:ascii="Arial" w:hAnsi="Arial" w:cs="Arial"/>
          <w:color w:val="3A3A3A"/>
          <w:sz w:val="22"/>
          <w:szCs w:val="22"/>
          <w:shd w:val="clear" w:color="auto" w:fill="FFFFFF"/>
        </w:rPr>
        <w:t>.</w:t>
      </w:r>
      <w:r w:rsidRPr="005D5C97">
        <w:rPr>
          <w:rFonts w:ascii="Arial" w:hAnsi="Arial" w:cs="Arial"/>
          <w:color w:val="3A3A3A"/>
          <w:sz w:val="22"/>
          <w:szCs w:val="22"/>
          <w:shd w:val="clear" w:color="auto" w:fill="FFFFFF"/>
          <w:lang w:val="uk-UA"/>
        </w:rPr>
        <w:t xml:space="preserve"> </w:t>
      </w:r>
      <w:r w:rsidRPr="005D5C97">
        <w:rPr>
          <w:rFonts w:ascii="Arial" w:hAnsi="Arial" w:cs="Arial"/>
          <w:color w:val="000000"/>
          <w:sz w:val="22"/>
          <w:szCs w:val="22"/>
        </w:rPr>
        <w:t>(Accessed: 20</w:t>
      </w:r>
      <w:r w:rsidRPr="005D5C97">
        <w:rPr>
          <w:rFonts w:ascii="Arial" w:hAnsi="Arial" w:cs="Arial"/>
          <w:color w:val="000000"/>
          <w:sz w:val="22"/>
          <w:szCs w:val="22"/>
          <w:lang w:val="uk-UA"/>
        </w:rPr>
        <w:t xml:space="preserve"> </w:t>
      </w:r>
      <w:r w:rsidRPr="005D5C97">
        <w:rPr>
          <w:rFonts w:ascii="Arial" w:hAnsi="Arial" w:cs="Arial"/>
          <w:color w:val="000000"/>
          <w:sz w:val="22"/>
          <w:szCs w:val="22"/>
        </w:rPr>
        <w:t>April 2026).</w:t>
      </w:r>
    </w:p>
    <w:p w14:paraId="29C92D28" w14:textId="77777777" w:rsidR="0012087C" w:rsidRPr="005D5C97" w:rsidRDefault="0012087C" w:rsidP="0012087C">
      <w:pPr>
        <w:spacing w:line="360" w:lineRule="auto"/>
        <w:jc w:val="both"/>
        <w:rPr>
          <w:rFonts w:ascii="Arial" w:hAnsi="Arial" w:cs="Arial"/>
          <w:color w:val="000000"/>
          <w:sz w:val="22"/>
          <w:szCs w:val="22"/>
        </w:rPr>
      </w:pPr>
    </w:p>
    <w:p w14:paraId="25D62409" w14:textId="77777777" w:rsidR="0012087C" w:rsidRPr="005D5C97" w:rsidRDefault="0012087C" w:rsidP="0012087C">
      <w:pPr>
        <w:spacing w:line="360" w:lineRule="auto"/>
        <w:jc w:val="both"/>
        <w:rPr>
          <w:rFonts w:ascii="Arial" w:hAnsi="Arial" w:cs="Arial"/>
          <w:color w:val="000000"/>
          <w:sz w:val="22"/>
          <w:szCs w:val="22"/>
        </w:rPr>
      </w:pPr>
      <w:r w:rsidRPr="005D5C97">
        <w:rPr>
          <w:rFonts w:ascii="Arial" w:hAnsi="Arial" w:cs="Arial"/>
          <w:color w:val="3A3A3A"/>
          <w:sz w:val="22"/>
          <w:szCs w:val="22"/>
          <w:shd w:val="clear" w:color="auto" w:fill="FFFFFF"/>
        </w:rPr>
        <w:t xml:space="preserve">Hamwey, M., Allen, L., Hay, M., </w:t>
      </w:r>
      <w:r>
        <w:rPr>
          <w:rFonts w:ascii="Arial" w:hAnsi="Arial" w:cs="Arial"/>
          <w:color w:val="3A3A3A"/>
          <w:sz w:val="22"/>
          <w:szCs w:val="22"/>
          <w:shd w:val="clear" w:color="auto" w:fill="FFFFFF"/>
        </w:rPr>
        <w:t>and</w:t>
      </w:r>
      <w:r w:rsidRPr="005D5C97">
        <w:rPr>
          <w:rFonts w:ascii="Arial" w:hAnsi="Arial" w:cs="Arial"/>
          <w:color w:val="3A3A3A"/>
          <w:sz w:val="22"/>
          <w:szCs w:val="22"/>
          <w:shd w:val="clear" w:color="auto" w:fill="FFFFFF"/>
        </w:rPr>
        <w:t xml:space="preserve"> </w:t>
      </w:r>
      <w:proofErr w:type="spellStart"/>
      <w:r w:rsidRPr="005D5C97">
        <w:rPr>
          <w:rFonts w:ascii="Arial" w:hAnsi="Arial" w:cs="Arial"/>
          <w:color w:val="3A3A3A"/>
          <w:sz w:val="22"/>
          <w:szCs w:val="22"/>
          <w:shd w:val="clear" w:color="auto" w:fill="FFFFFF"/>
        </w:rPr>
        <w:t>Varpio</w:t>
      </w:r>
      <w:proofErr w:type="spellEnd"/>
      <w:r w:rsidRPr="005D5C97">
        <w:rPr>
          <w:rFonts w:ascii="Arial" w:hAnsi="Arial" w:cs="Arial"/>
          <w:color w:val="3A3A3A"/>
          <w:sz w:val="22"/>
          <w:szCs w:val="22"/>
          <w:shd w:val="clear" w:color="auto" w:fill="FFFFFF"/>
        </w:rPr>
        <w:t xml:space="preserve">, L. (2019) ‘Bronfenbrenner’s Bioecological Model of Human Development: Applications for Health Professions Education’, </w:t>
      </w:r>
      <w:r w:rsidRPr="005D5C97">
        <w:rPr>
          <w:rFonts w:ascii="Arial" w:hAnsi="Arial" w:cs="Arial"/>
          <w:i/>
          <w:iCs/>
          <w:color w:val="3A3A3A"/>
          <w:sz w:val="22"/>
          <w:szCs w:val="22"/>
        </w:rPr>
        <w:t>Academic Medicine</w:t>
      </w:r>
      <w:r w:rsidRPr="005D5C97">
        <w:rPr>
          <w:rFonts w:ascii="Arial" w:hAnsi="Arial" w:cs="Arial"/>
          <w:color w:val="3A3A3A"/>
          <w:sz w:val="22"/>
          <w:szCs w:val="22"/>
          <w:shd w:val="clear" w:color="auto" w:fill="FFFFFF"/>
        </w:rPr>
        <w:t>,</w:t>
      </w:r>
      <w:r w:rsidRPr="005D5C97">
        <w:rPr>
          <w:rStyle w:val="apple-converted-space"/>
          <w:rFonts w:ascii="Arial" w:eastAsiaTheme="majorEastAsia" w:hAnsi="Arial" w:cs="Arial"/>
          <w:color w:val="3A3A3A"/>
          <w:sz w:val="22"/>
          <w:szCs w:val="22"/>
          <w:shd w:val="clear" w:color="auto" w:fill="FFFFFF"/>
        </w:rPr>
        <w:t> </w:t>
      </w:r>
      <w:r w:rsidRPr="005D5C97">
        <w:rPr>
          <w:rFonts w:ascii="Arial" w:hAnsi="Arial" w:cs="Arial"/>
          <w:i/>
          <w:iCs/>
          <w:color w:val="3A3A3A"/>
          <w:sz w:val="22"/>
          <w:szCs w:val="22"/>
        </w:rPr>
        <w:t>94</w:t>
      </w:r>
      <w:r w:rsidRPr="005D5C97">
        <w:rPr>
          <w:rFonts w:ascii="Arial" w:hAnsi="Arial" w:cs="Arial"/>
          <w:color w:val="3A3A3A"/>
          <w:sz w:val="22"/>
          <w:szCs w:val="22"/>
          <w:shd w:val="clear" w:color="auto" w:fill="FFFFFF"/>
        </w:rPr>
        <w:t xml:space="preserve">(10), 1621–1621. Available at: </w:t>
      </w:r>
      <w:hyperlink r:id="rId12" w:history="1">
        <w:r w:rsidRPr="005D5C97">
          <w:rPr>
            <w:rStyle w:val="Hyperlink"/>
            <w:rFonts w:ascii="Arial" w:eastAsiaTheme="majorEastAsia" w:hAnsi="Arial" w:cs="Arial"/>
            <w:sz w:val="22"/>
            <w:szCs w:val="22"/>
            <w:shd w:val="clear" w:color="auto" w:fill="FFFFFF"/>
          </w:rPr>
          <w:t>https://doi.org/10.1097/ACM.0000000000002822</w:t>
        </w:r>
      </w:hyperlink>
      <w:r w:rsidRPr="005D5C97">
        <w:rPr>
          <w:rFonts w:ascii="Arial" w:hAnsi="Arial" w:cs="Arial"/>
          <w:color w:val="3A3A3A"/>
          <w:sz w:val="22"/>
          <w:szCs w:val="22"/>
          <w:shd w:val="clear" w:color="auto" w:fill="FFFFFF"/>
          <w:lang w:val="uk-UA"/>
        </w:rPr>
        <w:t xml:space="preserve"> </w:t>
      </w:r>
      <w:r w:rsidRPr="005D5C97">
        <w:rPr>
          <w:rFonts w:ascii="Arial" w:hAnsi="Arial" w:cs="Arial"/>
          <w:color w:val="000000"/>
          <w:sz w:val="22"/>
          <w:szCs w:val="22"/>
        </w:rPr>
        <w:t>(Accessed: 23</w:t>
      </w:r>
      <w:r w:rsidRPr="005D5C97">
        <w:rPr>
          <w:rFonts w:ascii="Arial" w:hAnsi="Arial" w:cs="Arial"/>
          <w:color w:val="000000"/>
          <w:sz w:val="22"/>
          <w:szCs w:val="22"/>
          <w:lang w:val="uk-UA"/>
        </w:rPr>
        <w:t xml:space="preserve"> </w:t>
      </w:r>
      <w:r w:rsidRPr="005D5C97">
        <w:rPr>
          <w:rFonts w:ascii="Arial" w:hAnsi="Arial" w:cs="Arial"/>
          <w:color w:val="000000"/>
          <w:sz w:val="22"/>
          <w:szCs w:val="22"/>
        </w:rPr>
        <w:t>April 2026).</w:t>
      </w:r>
    </w:p>
    <w:p w14:paraId="23313235" w14:textId="77777777" w:rsidR="0012087C" w:rsidRPr="005D5C97" w:rsidRDefault="0012087C" w:rsidP="0012087C">
      <w:pPr>
        <w:spacing w:line="360" w:lineRule="auto"/>
        <w:jc w:val="both"/>
        <w:rPr>
          <w:rFonts w:ascii="Arial" w:hAnsi="Arial" w:cs="Arial"/>
          <w:color w:val="000000"/>
          <w:sz w:val="22"/>
          <w:szCs w:val="22"/>
        </w:rPr>
      </w:pPr>
    </w:p>
    <w:p w14:paraId="315FD2ED" w14:textId="77777777" w:rsidR="0012087C" w:rsidRPr="005D5C97" w:rsidRDefault="0012087C" w:rsidP="0012087C">
      <w:pPr>
        <w:spacing w:line="360" w:lineRule="auto"/>
        <w:jc w:val="both"/>
        <w:rPr>
          <w:rFonts w:ascii="Arial" w:hAnsi="Arial" w:cs="Arial"/>
          <w:color w:val="3A3A3A"/>
          <w:sz w:val="22"/>
          <w:szCs w:val="22"/>
          <w:shd w:val="clear" w:color="auto" w:fill="FFFFFF"/>
        </w:rPr>
      </w:pPr>
      <w:r w:rsidRPr="005D5C97">
        <w:rPr>
          <w:rFonts w:ascii="Arial" w:hAnsi="Arial" w:cs="Arial"/>
          <w:color w:val="3A3A3A"/>
          <w:sz w:val="22"/>
          <w:szCs w:val="22"/>
          <w:shd w:val="clear" w:color="auto" w:fill="FFFFFF"/>
        </w:rPr>
        <w:t>Hayes, N., O’Toole, L. and Halpenny, A.M. (2017)</w:t>
      </w:r>
      <w:r w:rsidRPr="005D5C97">
        <w:rPr>
          <w:rStyle w:val="apple-converted-space"/>
          <w:rFonts w:ascii="Arial" w:eastAsiaTheme="majorEastAsia" w:hAnsi="Arial" w:cs="Arial"/>
          <w:color w:val="3A3A3A"/>
          <w:sz w:val="22"/>
          <w:szCs w:val="22"/>
          <w:shd w:val="clear" w:color="auto" w:fill="FFFFFF"/>
        </w:rPr>
        <w:t> </w:t>
      </w:r>
      <w:r w:rsidRPr="005D5C97">
        <w:rPr>
          <w:rFonts w:ascii="Arial" w:hAnsi="Arial" w:cs="Arial"/>
          <w:i/>
          <w:iCs/>
          <w:color w:val="3A3A3A"/>
          <w:sz w:val="22"/>
          <w:szCs w:val="22"/>
        </w:rPr>
        <w:t>Introducing Bronfenbrenner: a guide for practitioners and students in early years education</w:t>
      </w:r>
      <w:r w:rsidRPr="005D5C97">
        <w:rPr>
          <w:rFonts w:ascii="Arial" w:hAnsi="Arial" w:cs="Arial"/>
          <w:color w:val="3A3A3A"/>
          <w:sz w:val="22"/>
          <w:szCs w:val="22"/>
          <w:shd w:val="clear" w:color="auto" w:fill="FFFFFF"/>
        </w:rPr>
        <w:t>. London; Routledge.</w:t>
      </w:r>
    </w:p>
    <w:p w14:paraId="442BA65D" w14:textId="77777777" w:rsidR="0012087C" w:rsidRPr="005D5C97" w:rsidRDefault="0012087C" w:rsidP="0012087C">
      <w:pPr>
        <w:spacing w:line="360" w:lineRule="auto"/>
        <w:jc w:val="both"/>
        <w:rPr>
          <w:rFonts w:ascii="Arial" w:hAnsi="Arial" w:cs="Arial"/>
          <w:color w:val="3A3A3A"/>
          <w:sz w:val="22"/>
          <w:szCs w:val="22"/>
          <w:shd w:val="clear" w:color="auto" w:fill="FFFFFF"/>
        </w:rPr>
      </w:pPr>
    </w:p>
    <w:p w14:paraId="599A1693" w14:textId="77777777" w:rsidR="0012087C" w:rsidRPr="005D5C97" w:rsidRDefault="0012087C" w:rsidP="0012087C">
      <w:pPr>
        <w:shd w:val="clear" w:color="auto" w:fill="FFFFFF"/>
        <w:spacing w:line="360" w:lineRule="auto"/>
        <w:jc w:val="both"/>
        <w:rPr>
          <w:rFonts w:ascii="Arial" w:hAnsi="Arial" w:cs="Arial"/>
          <w:color w:val="000000"/>
          <w:sz w:val="22"/>
          <w:szCs w:val="22"/>
        </w:rPr>
      </w:pPr>
      <w:r w:rsidRPr="005D5C97">
        <w:rPr>
          <w:rFonts w:ascii="Arial" w:hAnsi="Arial" w:cs="Arial"/>
          <w:color w:val="3A3A3A"/>
          <w:sz w:val="22"/>
          <w:szCs w:val="22"/>
        </w:rPr>
        <w:t xml:space="preserve">Hong, J. S., Hunter, S. C., Kim, J., Piquero, A. R., </w:t>
      </w:r>
      <w:r>
        <w:rPr>
          <w:rFonts w:ascii="Arial" w:hAnsi="Arial" w:cs="Arial"/>
          <w:color w:val="3A3A3A"/>
          <w:sz w:val="22"/>
          <w:szCs w:val="22"/>
        </w:rPr>
        <w:t>and</w:t>
      </w:r>
      <w:r w:rsidRPr="005D5C97">
        <w:rPr>
          <w:rFonts w:ascii="Arial" w:hAnsi="Arial" w:cs="Arial"/>
          <w:color w:val="3A3A3A"/>
          <w:sz w:val="22"/>
          <w:szCs w:val="22"/>
        </w:rPr>
        <w:t xml:space="preserve"> </w:t>
      </w:r>
      <w:proofErr w:type="spellStart"/>
      <w:r w:rsidRPr="005D5C97">
        <w:rPr>
          <w:rFonts w:ascii="Arial" w:hAnsi="Arial" w:cs="Arial"/>
          <w:color w:val="3A3A3A"/>
          <w:sz w:val="22"/>
          <w:szCs w:val="22"/>
        </w:rPr>
        <w:t>Narvey</w:t>
      </w:r>
      <w:proofErr w:type="spellEnd"/>
      <w:r w:rsidRPr="005D5C97">
        <w:rPr>
          <w:rFonts w:ascii="Arial" w:hAnsi="Arial" w:cs="Arial"/>
          <w:color w:val="3A3A3A"/>
          <w:sz w:val="22"/>
          <w:szCs w:val="22"/>
        </w:rPr>
        <w:t xml:space="preserve">, C. (2021) ‘Racial Differences in the Applicability of Bronfenbrenner’s Ecological Model for Adolescent Bullying Involvement’, </w:t>
      </w:r>
      <w:r w:rsidRPr="005D5C97">
        <w:rPr>
          <w:rFonts w:ascii="Arial" w:hAnsi="Arial" w:cs="Arial"/>
          <w:i/>
          <w:iCs/>
          <w:color w:val="3A3A3A"/>
          <w:sz w:val="22"/>
          <w:szCs w:val="22"/>
        </w:rPr>
        <w:t xml:space="preserve">Deviant </w:t>
      </w:r>
      <w:proofErr w:type="spellStart"/>
      <w:r w:rsidRPr="005D5C97">
        <w:rPr>
          <w:rFonts w:ascii="Arial" w:hAnsi="Arial" w:cs="Arial"/>
          <w:i/>
          <w:iCs/>
          <w:color w:val="3A3A3A"/>
          <w:sz w:val="22"/>
          <w:szCs w:val="22"/>
        </w:rPr>
        <w:t>Behavior</w:t>
      </w:r>
      <w:proofErr w:type="spellEnd"/>
      <w:r w:rsidRPr="005D5C97">
        <w:rPr>
          <w:rFonts w:ascii="Arial" w:hAnsi="Arial" w:cs="Arial"/>
          <w:color w:val="3A3A3A"/>
          <w:sz w:val="22"/>
          <w:szCs w:val="22"/>
        </w:rPr>
        <w:t>,</w:t>
      </w:r>
      <w:r w:rsidRPr="005D5C97">
        <w:rPr>
          <w:rStyle w:val="apple-converted-space"/>
          <w:rFonts w:ascii="Arial" w:eastAsiaTheme="majorEastAsia" w:hAnsi="Arial" w:cs="Arial"/>
          <w:color w:val="3A3A3A"/>
          <w:sz w:val="22"/>
          <w:szCs w:val="22"/>
        </w:rPr>
        <w:t> </w:t>
      </w:r>
      <w:r w:rsidRPr="005D5C97">
        <w:rPr>
          <w:rFonts w:ascii="Arial" w:hAnsi="Arial" w:cs="Arial"/>
          <w:i/>
          <w:iCs/>
          <w:color w:val="3A3A3A"/>
          <w:sz w:val="22"/>
          <w:szCs w:val="22"/>
        </w:rPr>
        <w:t>42</w:t>
      </w:r>
      <w:r w:rsidRPr="005D5C97">
        <w:rPr>
          <w:rFonts w:ascii="Arial" w:hAnsi="Arial" w:cs="Arial"/>
          <w:color w:val="3A3A3A"/>
          <w:sz w:val="22"/>
          <w:szCs w:val="22"/>
        </w:rPr>
        <w:t xml:space="preserve">(3), 404–424. </w:t>
      </w:r>
      <w:r w:rsidRPr="005D5C97">
        <w:rPr>
          <w:rFonts w:ascii="Arial" w:hAnsi="Arial" w:cs="Arial"/>
          <w:color w:val="3A3A3A"/>
          <w:sz w:val="22"/>
          <w:szCs w:val="22"/>
          <w:shd w:val="clear" w:color="auto" w:fill="FFFFFF"/>
        </w:rPr>
        <w:t xml:space="preserve">Available at: </w:t>
      </w:r>
      <w:hyperlink r:id="rId13" w:history="1">
        <w:r w:rsidRPr="005D5C97">
          <w:rPr>
            <w:rStyle w:val="Hyperlink"/>
            <w:rFonts w:ascii="Arial" w:eastAsiaTheme="majorEastAsia" w:hAnsi="Arial" w:cs="Arial"/>
            <w:sz w:val="22"/>
            <w:szCs w:val="22"/>
          </w:rPr>
          <w:t>https://doi.org/10.1080/01639625.2019.1680086</w:t>
        </w:r>
      </w:hyperlink>
      <w:r w:rsidRPr="005D5C97">
        <w:rPr>
          <w:rFonts w:ascii="Arial" w:hAnsi="Arial" w:cs="Arial"/>
          <w:color w:val="3A3A3A"/>
          <w:sz w:val="22"/>
          <w:szCs w:val="22"/>
          <w:lang w:val="uk-UA"/>
        </w:rPr>
        <w:t xml:space="preserve"> </w:t>
      </w:r>
      <w:r w:rsidRPr="005D5C97">
        <w:rPr>
          <w:rFonts w:ascii="Arial" w:hAnsi="Arial" w:cs="Arial"/>
          <w:color w:val="000000"/>
          <w:sz w:val="22"/>
          <w:szCs w:val="22"/>
        </w:rPr>
        <w:t>(Accessed: 24</w:t>
      </w:r>
      <w:r w:rsidRPr="005D5C97">
        <w:rPr>
          <w:rFonts w:ascii="Arial" w:hAnsi="Arial" w:cs="Arial"/>
          <w:color w:val="000000"/>
          <w:sz w:val="22"/>
          <w:szCs w:val="22"/>
          <w:lang w:val="uk-UA"/>
        </w:rPr>
        <w:t xml:space="preserve"> </w:t>
      </w:r>
      <w:r w:rsidRPr="005D5C97">
        <w:rPr>
          <w:rFonts w:ascii="Arial" w:hAnsi="Arial" w:cs="Arial"/>
          <w:color w:val="000000"/>
          <w:sz w:val="22"/>
          <w:szCs w:val="22"/>
        </w:rPr>
        <w:t>April 2026).</w:t>
      </w:r>
    </w:p>
    <w:p w14:paraId="0760E89C" w14:textId="77777777" w:rsidR="0012087C" w:rsidRPr="005D5C97" w:rsidRDefault="0012087C" w:rsidP="0012087C">
      <w:pPr>
        <w:shd w:val="clear" w:color="auto" w:fill="FFFFFF"/>
        <w:spacing w:line="360" w:lineRule="auto"/>
        <w:jc w:val="both"/>
        <w:rPr>
          <w:rFonts w:ascii="Arial" w:hAnsi="Arial" w:cs="Arial"/>
          <w:color w:val="000000"/>
          <w:sz w:val="22"/>
          <w:szCs w:val="22"/>
        </w:rPr>
      </w:pPr>
    </w:p>
    <w:p w14:paraId="2BC86F08" w14:textId="77777777" w:rsidR="0012087C" w:rsidRPr="005D5C97" w:rsidRDefault="0012087C" w:rsidP="0012087C">
      <w:pPr>
        <w:spacing w:line="360" w:lineRule="auto"/>
        <w:jc w:val="both"/>
        <w:rPr>
          <w:rFonts w:ascii="Arial" w:hAnsi="Arial" w:cs="Arial"/>
          <w:color w:val="000000"/>
          <w:sz w:val="22"/>
          <w:szCs w:val="22"/>
        </w:rPr>
      </w:pPr>
      <w:r w:rsidRPr="005D5C97">
        <w:rPr>
          <w:rFonts w:ascii="Arial" w:hAnsi="Arial" w:cs="Arial"/>
          <w:color w:val="3A3A3A"/>
          <w:sz w:val="22"/>
          <w:szCs w:val="22"/>
          <w:shd w:val="clear" w:color="auto" w:fill="FFFFFF"/>
        </w:rPr>
        <w:t xml:space="preserve">Hu, Y.-L., Shi, Y., Qiao, G.-Z., </w:t>
      </w:r>
      <w:r>
        <w:rPr>
          <w:rFonts w:ascii="Arial" w:hAnsi="Arial" w:cs="Arial"/>
          <w:color w:val="3A3A3A"/>
          <w:sz w:val="22"/>
          <w:szCs w:val="22"/>
          <w:shd w:val="clear" w:color="auto" w:fill="FFFFFF"/>
        </w:rPr>
        <w:t>and</w:t>
      </w:r>
      <w:r w:rsidRPr="005D5C97">
        <w:rPr>
          <w:rFonts w:ascii="Arial" w:hAnsi="Arial" w:cs="Arial"/>
          <w:color w:val="3A3A3A"/>
          <w:sz w:val="22"/>
          <w:szCs w:val="22"/>
          <w:shd w:val="clear" w:color="auto" w:fill="FFFFFF"/>
        </w:rPr>
        <w:t xml:space="preserve"> Sun, Y. (2025) ‘Psychological experiences of parents of adolescent patients with non-suicidal self-injury: a qualitative study based on </w:t>
      </w:r>
      <w:r w:rsidRPr="005D5C97">
        <w:rPr>
          <w:rFonts w:ascii="Arial" w:hAnsi="Arial" w:cs="Arial"/>
          <w:color w:val="3A3A3A"/>
          <w:sz w:val="22"/>
          <w:szCs w:val="22"/>
          <w:shd w:val="clear" w:color="auto" w:fill="FFFFFF"/>
        </w:rPr>
        <w:lastRenderedPageBreak/>
        <w:t xml:space="preserve">Bronfenbrenner’s ecological systems theory’, </w:t>
      </w:r>
      <w:r w:rsidRPr="005D5C97">
        <w:rPr>
          <w:rFonts w:ascii="Arial" w:hAnsi="Arial" w:cs="Arial"/>
          <w:i/>
          <w:iCs/>
          <w:color w:val="3A3A3A"/>
          <w:sz w:val="22"/>
          <w:szCs w:val="22"/>
        </w:rPr>
        <w:t>BMC Psychiatry</w:t>
      </w:r>
      <w:r w:rsidRPr="005D5C97">
        <w:rPr>
          <w:rFonts w:ascii="Arial" w:hAnsi="Arial" w:cs="Arial"/>
          <w:color w:val="3A3A3A"/>
          <w:sz w:val="22"/>
          <w:szCs w:val="22"/>
          <w:shd w:val="clear" w:color="auto" w:fill="FFFFFF"/>
        </w:rPr>
        <w:t>,</w:t>
      </w:r>
      <w:r w:rsidRPr="005D5C97">
        <w:rPr>
          <w:rStyle w:val="apple-converted-space"/>
          <w:rFonts w:ascii="Arial" w:eastAsiaTheme="majorEastAsia" w:hAnsi="Arial" w:cs="Arial"/>
          <w:color w:val="3A3A3A"/>
          <w:sz w:val="22"/>
          <w:szCs w:val="22"/>
          <w:shd w:val="clear" w:color="auto" w:fill="FFFFFF"/>
        </w:rPr>
        <w:t> </w:t>
      </w:r>
      <w:r w:rsidRPr="005D5C97">
        <w:rPr>
          <w:rFonts w:ascii="Arial" w:hAnsi="Arial" w:cs="Arial"/>
          <w:i/>
          <w:iCs/>
          <w:color w:val="3A3A3A"/>
          <w:sz w:val="22"/>
          <w:szCs w:val="22"/>
        </w:rPr>
        <w:t>25</w:t>
      </w:r>
      <w:r w:rsidRPr="005D5C97">
        <w:rPr>
          <w:rFonts w:ascii="Arial" w:hAnsi="Arial" w:cs="Arial"/>
          <w:color w:val="3A3A3A"/>
          <w:sz w:val="22"/>
          <w:szCs w:val="22"/>
          <w:shd w:val="clear" w:color="auto" w:fill="FFFFFF"/>
        </w:rPr>
        <w:t xml:space="preserve">(1), Article 366. Available at: </w:t>
      </w:r>
      <w:hyperlink r:id="rId14" w:history="1">
        <w:r w:rsidRPr="005D5C97">
          <w:rPr>
            <w:rStyle w:val="Hyperlink"/>
            <w:rFonts w:ascii="Arial" w:eastAsiaTheme="majorEastAsia" w:hAnsi="Arial" w:cs="Arial"/>
            <w:sz w:val="22"/>
            <w:szCs w:val="22"/>
            <w:shd w:val="clear" w:color="auto" w:fill="FFFFFF"/>
          </w:rPr>
          <w:t>https://doi.org/10.1186/s12888-025-06812-5</w:t>
        </w:r>
      </w:hyperlink>
      <w:r w:rsidRPr="005D5C97">
        <w:rPr>
          <w:rFonts w:ascii="Arial" w:hAnsi="Arial" w:cs="Arial"/>
          <w:color w:val="3A3A3A"/>
          <w:sz w:val="22"/>
          <w:szCs w:val="22"/>
          <w:shd w:val="clear" w:color="auto" w:fill="FFFFFF"/>
          <w:lang w:val="uk-UA"/>
        </w:rPr>
        <w:t xml:space="preserve"> </w:t>
      </w:r>
      <w:r w:rsidRPr="005D5C97">
        <w:rPr>
          <w:rFonts w:ascii="Arial" w:hAnsi="Arial" w:cs="Arial"/>
          <w:color w:val="000000"/>
          <w:sz w:val="22"/>
          <w:szCs w:val="22"/>
        </w:rPr>
        <w:t>(Accessed: 24</w:t>
      </w:r>
      <w:r w:rsidRPr="005D5C97">
        <w:rPr>
          <w:rFonts w:ascii="Arial" w:hAnsi="Arial" w:cs="Arial"/>
          <w:color w:val="000000"/>
          <w:sz w:val="22"/>
          <w:szCs w:val="22"/>
          <w:lang w:val="uk-UA"/>
        </w:rPr>
        <w:t xml:space="preserve"> </w:t>
      </w:r>
      <w:r w:rsidRPr="005D5C97">
        <w:rPr>
          <w:rFonts w:ascii="Arial" w:hAnsi="Arial" w:cs="Arial"/>
          <w:color w:val="000000"/>
          <w:sz w:val="22"/>
          <w:szCs w:val="22"/>
        </w:rPr>
        <w:t>April 2026).</w:t>
      </w:r>
    </w:p>
    <w:p w14:paraId="43584EE3" w14:textId="77777777" w:rsidR="0012087C" w:rsidRPr="005D5C97" w:rsidRDefault="0012087C" w:rsidP="0012087C">
      <w:pPr>
        <w:spacing w:line="360" w:lineRule="auto"/>
        <w:jc w:val="both"/>
        <w:rPr>
          <w:rFonts w:ascii="Arial" w:hAnsi="Arial" w:cs="Arial"/>
          <w:color w:val="000000"/>
          <w:sz w:val="22"/>
          <w:szCs w:val="22"/>
        </w:rPr>
      </w:pPr>
    </w:p>
    <w:p w14:paraId="2DD73129" w14:textId="77777777" w:rsidR="0012087C" w:rsidRPr="005D5C97" w:rsidRDefault="0012087C" w:rsidP="0012087C">
      <w:pPr>
        <w:shd w:val="clear" w:color="auto" w:fill="FFFFFF"/>
        <w:spacing w:line="360" w:lineRule="auto"/>
        <w:jc w:val="both"/>
        <w:rPr>
          <w:rFonts w:ascii="Arial" w:hAnsi="Arial" w:cs="Arial"/>
          <w:color w:val="222222"/>
          <w:sz w:val="22"/>
          <w:szCs w:val="22"/>
          <w:shd w:val="clear" w:color="auto" w:fill="FFFFFF"/>
        </w:rPr>
      </w:pPr>
      <w:r w:rsidRPr="005D5C97">
        <w:rPr>
          <w:rFonts w:ascii="Arial" w:hAnsi="Arial" w:cs="Arial"/>
          <w:color w:val="222222"/>
          <w:sz w:val="22"/>
          <w:szCs w:val="22"/>
          <w:shd w:val="clear" w:color="auto" w:fill="FFFFFF"/>
        </w:rPr>
        <w:t>McCormack, B. and McCance, T. eds., 2016.</w:t>
      </w:r>
      <w:r w:rsidRPr="005D5C97">
        <w:rPr>
          <w:rStyle w:val="apple-converted-space"/>
          <w:rFonts w:ascii="Arial" w:eastAsiaTheme="majorEastAsia" w:hAnsi="Arial" w:cs="Arial"/>
          <w:color w:val="222222"/>
          <w:sz w:val="22"/>
          <w:szCs w:val="22"/>
          <w:shd w:val="clear" w:color="auto" w:fill="FFFFFF"/>
        </w:rPr>
        <w:t> </w:t>
      </w:r>
      <w:r w:rsidRPr="005D5C97">
        <w:rPr>
          <w:rFonts w:ascii="Arial" w:hAnsi="Arial" w:cs="Arial"/>
          <w:i/>
          <w:iCs/>
          <w:color w:val="222222"/>
          <w:sz w:val="22"/>
          <w:szCs w:val="22"/>
        </w:rPr>
        <w:t>Person-centred practice in nursing and health care: theory and practice</w:t>
      </w:r>
      <w:r w:rsidRPr="005D5C97">
        <w:rPr>
          <w:rFonts w:ascii="Arial" w:hAnsi="Arial" w:cs="Arial"/>
          <w:color w:val="222222"/>
          <w:sz w:val="22"/>
          <w:szCs w:val="22"/>
          <w:shd w:val="clear" w:color="auto" w:fill="FFFFFF"/>
        </w:rPr>
        <w:t xml:space="preserve">. John Wiley </w:t>
      </w:r>
      <w:r>
        <w:rPr>
          <w:rFonts w:ascii="Arial" w:hAnsi="Arial" w:cs="Arial"/>
          <w:color w:val="222222"/>
          <w:sz w:val="22"/>
          <w:szCs w:val="22"/>
          <w:shd w:val="clear" w:color="auto" w:fill="FFFFFF"/>
        </w:rPr>
        <w:t>and</w:t>
      </w:r>
      <w:r w:rsidRPr="005D5C97">
        <w:rPr>
          <w:rFonts w:ascii="Arial" w:hAnsi="Arial" w:cs="Arial"/>
          <w:color w:val="222222"/>
          <w:sz w:val="22"/>
          <w:szCs w:val="22"/>
          <w:shd w:val="clear" w:color="auto" w:fill="FFFFFF"/>
        </w:rPr>
        <w:t xml:space="preserve"> Sons.</w:t>
      </w:r>
    </w:p>
    <w:p w14:paraId="3385AB71" w14:textId="77777777" w:rsidR="0012087C" w:rsidRPr="005D5C97" w:rsidRDefault="0012087C" w:rsidP="0012087C">
      <w:pPr>
        <w:shd w:val="clear" w:color="auto" w:fill="FFFFFF"/>
        <w:spacing w:line="360" w:lineRule="auto"/>
        <w:jc w:val="both"/>
        <w:rPr>
          <w:rStyle w:val="Strong"/>
          <w:rFonts w:ascii="Arial" w:eastAsiaTheme="majorEastAsia" w:hAnsi="Arial" w:cs="Arial"/>
          <w:b w:val="0"/>
          <w:bCs w:val="0"/>
          <w:color w:val="000000"/>
          <w:sz w:val="22"/>
          <w:szCs w:val="22"/>
        </w:rPr>
      </w:pPr>
    </w:p>
    <w:p w14:paraId="2A0ED4B6" w14:textId="77777777" w:rsidR="0012087C" w:rsidRPr="005D5C97" w:rsidRDefault="0012087C" w:rsidP="0012087C">
      <w:pPr>
        <w:shd w:val="clear" w:color="auto" w:fill="FFFFFF"/>
        <w:spacing w:line="360" w:lineRule="auto"/>
        <w:jc w:val="both"/>
        <w:rPr>
          <w:rFonts w:ascii="Arial" w:hAnsi="Arial" w:cs="Arial"/>
          <w:color w:val="000000"/>
          <w:sz w:val="22"/>
          <w:szCs w:val="22"/>
        </w:rPr>
      </w:pPr>
      <w:r w:rsidRPr="005D5C97">
        <w:rPr>
          <w:rStyle w:val="Strong"/>
          <w:rFonts w:ascii="Arial" w:eastAsiaTheme="majorEastAsia" w:hAnsi="Arial" w:cs="Arial"/>
          <w:b w:val="0"/>
          <w:bCs w:val="0"/>
          <w:color w:val="000000"/>
          <w:sz w:val="22"/>
          <w:szCs w:val="22"/>
        </w:rPr>
        <w:t>National Institute for Health and Care Excellence (NICE) (2021)</w:t>
      </w:r>
      <w:r w:rsidRPr="005D5C97">
        <w:rPr>
          <w:rStyle w:val="apple-converted-space"/>
          <w:rFonts w:ascii="Arial" w:eastAsiaTheme="majorEastAsia" w:hAnsi="Arial" w:cs="Arial"/>
          <w:color w:val="000000"/>
          <w:sz w:val="22"/>
          <w:szCs w:val="22"/>
        </w:rPr>
        <w:t> </w:t>
      </w:r>
      <w:r w:rsidRPr="005D5C97">
        <w:rPr>
          <w:rStyle w:val="Emphasis"/>
          <w:rFonts w:ascii="Arial" w:eastAsiaTheme="majorEastAsia" w:hAnsi="Arial" w:cs="Arial"/>
          <w:color w:val="000000"/>
          <w:sz w:val="22"/>
          <w:szCs w:val="22"/>
        </w:rPr>
        <w:t>Patient experience in adult NHS services: improving the experience of care for people using adult NHS services (CG138).</w:t>
      </w:r>
      <w:r w:rsidRPr="005D5C97">
        <w:rPr>
          <w:rStyle w:val="apple-converted-space"/>
          <w:rFonts w:ascii="Arial" w:eastAsiaTheme="majorEastAsia" w:hAnsi="Arial" w:cs="Arial"/>
          <w:color w:val="000000"/>
          <w:sz w:val="22"/>
          <w:szCs w:val="22"/>
        </w:rPr>
        <w:t> </w:t>
      </w:r>
      <w:r w:rsidRPr="005D5C97">
        <w:rPr>
          <w:rFonts w:ascii="Arial" w:hAnsi="Arial" w:cs="Arial"/>
          <w:color w:val="000000"/>
          <w:sz w:val="22"/>
          <w:szCs w:val="22"/>
        </w:rPr>
        <w:t>Available at:</w:t>
      </w:r>
      <w:r w:rsidRPr="005D5C97">
        <w:rPr>
          <w:rFonts w:ascii="Arial" w:hAnsi="Arial" w:cs="Arial"/>
          <w:color w:val="000000"/>
          <w:sz w:val="22"/>
          <w:szCs w:val="22"/>
          <w:lang w:val="uk-UA"/>
        </w:rPr>
        <w:t xml:space="preserve"> </w:t>
      </w:r>
      <w:hyperlink r:id="rId15" w:history="1">
        <w:r w:rsidRPr="005D5C97">
          <w:rPr>
            <w:rStyle w:val="Hyperlink"/>
            <w:rFonts w:ascii="Arial" w:eastAsiaTheme="majorEastAsia" w:hAnsi="Arial" w:cs="Arial"/>
            <w:sz w:val="22"/>
            <w:szCs w:val="22"/>
            <w:lang w:val="uk-UA"/>
          </w:rPr>
          <w:t>https://www.nice.org.uk/guidance/cg138</w:t>
        </w:r>
      </w:hyperlink>
      <w:r w:rsidRPr="005D5C97">
        <w:rPr>
          <w:rFonts w:ascii="Arial" w:hAnsi="Arial" w:cs="Arial"/>
          <w:color w:val="000000"/>
          <w:sz w:val="22"/>
          <w:szCs w:val="22"/>
          <w:lang w:val="uk-UA"/>
        </w:rPr>
        <w:t xml:space="preserve"> </w:t>
      </w:r>
      <w:r w:rsidRPr="005D5C97">
        <w:rPr>
          <w:rFonts w:ascii="Arial" w:hAnsi="Arial" w:cs="Arial"/>
          <w:color w:val="000000"/>
          <w:sz w:val="22"/>
          <w:szCs w:val="22"/>
        </w:rPr>
        <w:t>(Accessed: 13</w:t>
      </w:r>
      <w:r w:rsidRPr="005D5C97">
        <w:rPr>
          <w:rFonts w:ascii="Arial" w:hAnsi="Arial" w:cs="Arial"/>
          <w:color w:val="000000"/>
          <w:sz w:val="22"/>
          <w:szCs w:val="22"/>
          <w:lang w:val="uk-UA"/>
        </w:rPr>
        <w:t xml:space="preserve"> </w:t>
      </w:r>
      <w:r w:rsidRPr="005D5C97">
        <w:rPr>
          <w:rFonts w:ascii="Arial" w:hAnsi="Arial" w:cs="Arial"/>
          <w:color w:val="000000"/>
          <w:sz w:val="22"/>
          <w:szCs w:val="22"/>
        </w:rPr>
        <w:t>April 2026).</w:t>
      </w:r>
    </w:p>
    <w:p w14:paraId="1603089C" w14:textId="77777777" w:rsidR="0012087C" w:rsidRDefault="0012087C" w:rsidP="0012087C">
      <w:pPr>
        <w:spacing w:line="360" w:lineRule="auto"/>
        <w:jc w:val="both"/>
        <w:rPr>
          <w:rFonts w:ascii="Arial" w:hAnsi="Arial" w:cs="Arial"/>
          <w:color w:val="3A3A3A"/>
          <w:sz w:val="22"/>
          <w:szCs w:val="22"/>
        </w:rPr>
      </w:pPr>
    </w:p>
    <w:p w14:paraId="0D6E0EE2" w14:textId="77777777" w:rsidR="0012087C" w:rsidRPr="005D5C97" w:rsidRDefault="0012087C" w:rsidP="0012087C">
      <w:pPr>
        <w:spacing w:line="360" w:lineRule="auto"/>
        <w:jc w:val="both"/>
        <w:rPr>
          <w:rFonts w:ascii="Arial" w:hAnsi="Arial" w:cs="Arial"/>
          <w:color w:val="000000"/>
          <w:sz w:val="22"/>
          <w:szCs w:val="22"/>
        </w:rPr>
      </w:pPr>
      <w:r w:rsidRPr="005D5C97">
        <w:rPr>
          <w:rFonts w:ascii="Arial" w:hAnsi="Arial" w:cs="Arial"/>
          <w:color w:val="3A3A3A"/>
          <w:sz w:val="22"/>
          <w:szCs w:val="22"/>
          <w:shd w:val="clear" w:color="auto" w:fill="FFFFFF"/>
        </w:rPr>
        <w:t xml:space="preserve">Navarro, J.L. and Tudge, J.R.H. (2023) ‘Technologizing Bronfenbrenner: Neo-ecological Theory’, </w:t>
      </w:r>
      <w:r w:rsidRPr="005D5C97">
        <w:rPr>
          <w:rFonts w:ascii="Arial" w:hAnsi="Arial" w:cs="Arial"/>
          <w:i/>
          <w:iCs/>
          <w:color w:val="3A3A3A"/>
          <w:sz w:val="22"/>
          <w:szCs w:val="22"/>
        </w:rPr>
        <w:t>Current psychology (New Brunswick, N.J.)</w:t>
      </w:r>
      <w:r w:rsidRPr="005D5C97">
        <w:rPr>
          <w:rFonts w:ascii="Arial" w:hAnsi="Arial" w:cs="Arial"/>
          <w:color w:val="3A3A3A"/>
          <w:sz w:val="22"/>
          <w:szCs w:val="22"/>
          <w:shd w:val="clear" w:color="auto" w:fill="FFFFFF"/>
        </w:rPr>
        <w:t xml:space="preserve">, 42(22), pp. 19338–19354. Available at: </w:t>
      </w:r>
      <w:hyperlink r:id="rId16" w:history="1">
        <w:r w:rsidRPr="005D5C97">
          <w:rPr>
            <w:rStyle w:val="Hyperlink"/>
            <w:rFonts w:ascii="Arial" w:eastAsiaTheme="majorEastAsia" w:hAnsi="Arial" w:cs="Arial"/>
            <w:sz w:val="22"/>
            <w:szCs w:val="22"/>
            <w:shd w:val="clear" w:color="auto" w:fill="FFFFFF"/>
          </w:rPr>
          <w:t>https://doi.org/10.1007/s12144-022-02738-3</w:t>
        </w:r>
      </w:hyperlink>
      <w:r w:rsidRPr="005D5C97">
        <w:rPr>
          <w:rFonts w:ascii="Arial" w:hAnsi="Arial" w:cs="Arial"/>
          <w:color w:val="3A3A3A"/>
          <w:sz w:val="22"/>
          <w:szCs w:val="22"/>
          <w:shd w:val="clear" w:color="auto" w:fill="FFFFFF"/>
        </w:rPr>
        <w:t>.</w:t>
      </w:r>
      <w:r w:rsidRPr="005D5C97">
        <w:rPr>
          <w:rFonts w:ascii="Arial" w:hAnsi="Arial" w:cs="Arial"/>
          <w:color w:val="3A3A3A"/>
          <w:sz w:val="22"/>
          <w:szCs w:val="22"/>
          <w:shd w:val="clear" w:color="auto" w:fill="FFFFFF"/>
          <w:lang w:val="uk-UA"/>
        </w:rPr>
        <w:t xml:space="preserve"> </w:t>
      </w:r>
      <w:r w:rsidRPr="005D5C97">
        <w:rPr>
          <w:rFonts w:ascii="Arial" w:hAnsi="Arial" w:cs="Arial"/>
          <w:color w:val="000000"/>
          <w:sz w:val="22"/>
          <w:szCs w:val="22"/>
        </w:rPr>
        <w:t xml:space="preserve">(Accessed: </w:t>
      </w:r>
      <w:r w:rsidRPr="005D5C97">
        <w:rPr>
          <w:rFonts w:ascii="Arial" w:hAnsi="Arial" w:cs="Arial"/>
          <w:color w:val="000000"/>
          <w:sz w:val="22"/>
          <w:szCs w:val="22"/>
          <w:lang w:val="uk-UA"/>
        </w:rPr>
        <w:t>1</w:t>
      </w:r>
      <w:r w:rsidRPr="005D5C97">
        <w:rPr>
          <w:rFonts w:ascii="Arial" w:hAnsi="Arial" w:cs="Arial"/>
          <w:color w:val="000000"/>
          <w:sz w:val="22"/>
          <w:szCs w:val="22"/>
        </w:rPr>
        <w:t>9</w:t>
      </w:r>
      <w:r w:rsidRPr="005D5C97">
        <w:rPr>
          <w:rFonts w:ascii="Arial" w:hAnsi="Arial" w:cs="Arial"/>
          <w:color w:val="000000"/>
          <w:sz w:val="22"/>
          <w:szCs w:val="22"/>
          <w:lang w:val="uk-UA"/>
        </w:rPr>
        <w:t xml:space="preserve"> </w:t>
      </w:r>
      <w:r w:rsidRPr="005D5C97">
        <w:rPr>
          <w:rFonts w:ascii="Arial" w:hAnsi="Arial" w:cs="Arial"/>
          <w:color w:val="000000"/>
          <w:sz w:val="22"/>
          <w:szCs w:val="22"/>
        </w:rPr>
        <w:t>April 2026).</w:t>
      </w:r>
    </w:p>
    <w:p w14:paraId="523DAF25" w14:textId="77777777" w:rsidR="0012087C" w:rsidRDefault="0012087C" w:rsidP="0012087C">
      <w:pPr>
        <w:spacing w:line="360" w:lineRule="auto"/>
        <w:jc w:val="both"/>
        <w:rPr>
          <w:rFonts w:ascii="Arial" w:hAnsi="Arial" w:cs="Arial"/>
          <w:color w:val="000000"/>
          <w:sz w:val="22"/>
          <w:szCs w:val="22"/>
        </w:rPr>
      </w:pPr>
    </w:p>
    <w:p w14:paraId="2374FD61" w14:textId="77777777" w:rsidR="0012087C" w:rsidRPr="005D5C97" w:rsidRDefault="0012087C" w:rsidP="0012087C">
      <w:pPr>
        <w:spacing w:line="360" w:lineRule="auto"/>
        <w:jc w:val="both"/>
        <w:rPr>
          <w:rFonts w:ascii="Arial" w:hAnsi="Arial" w:cs="Arial"/>
          <w:color w:val="3A3A3A"/>
          <w:sz w:val="22"/>
          <w:szCs w:val="22"/>
          <w:shd w:val="clear" w:color="auto" w:fill="FFFFFF"/>
          <w:lang w:val="uk-UA"/>
        </w:rPr>
      </w:pPr>
      <w:r w:rsidRPr="005D5C97">
        <w:rPr>
          <w:rFonts w:ascii="Arial" w:hAnsi="Arial" w:cs="Arial"/>
          <w:color w:val="3A3A3A"/>
          <w:sz w:val="22"/>
          <w:szCs w:val="22"/>
          <w:shd w:val="clear" w:color="auto" w:fill="FFFFFF"/>
        </w:rPr>
        <w:t xml:space="preserve">Nolan, H.A. and Owen, K. (2024) ‘Medical student experiences of equality, diversity, and inclusion: content analysis of student feedback using Bronfenbrenner’s ecological systems theory’, </w:t>
      </w:r>
      <w:r w:rsidRPr="005D5C97">
        <w:rPr>
          <w:rFonts w:ascii="Arial" w:hAnsi="Arial" w:cs="Arial"/>
          <w:i/>
          <w:iCs/>
          <w:color w:val="3A3A3A"/>
          <w:sz w:val="22"/>
          <w:szCs w:val="22"/>
        </w:rPr>
        <w:t>BMC medical education</w:t>
      </w:r>
      <w:r w:rsidRPr="005D5C97">
        <w:rPr>
          <w:rFonts w:ascii="Arial" w:hAnsi="Arial" w:cs="Arial"/>
          <w:color w:val="3A3A3A"/>
          <w:sz w:val="22"/>
          <w:szCs w:val="22"/>
          <w:shd w:val="clear" w:color="auto" w:fill="FFFFFF"/>
        </w:rPr>
        <w:t xml:space="preserve">, 24(1). Available at: </w:t>
      </w:r>
      <w:hyperlink r:id="rId17" w:history="1">
        <w:r w:rsidRPr="005D5C97">
          <w:rPr>
            <w:rStyle w:val="Hyperlink"/>
            <w:rFonts w:ascii="Arial" w:eastAsiaTheme="majorEastAsia" w:hAnsi="Arial" w:cs="Arial"/>
            <w:sz w:val="22"/>
            <w:szCs w:val="22"/>
            <w:shd w:val="clear" w:color="auto" w:fill="FFFFFF"/>
          </w:rPr>
          <w:t>https://doi.org/10.1186/s12909-023-04986-8</w:t>
        </w:r>
      </w:hyperlink>
      <w:r w:rsidRPr="005D5C97">
        <w:rPr>
          <w:rFonts w:ascii="Arial" w:hAnsi="Arial" w:cs="Arial"/>
          <w:color w:val="3A3A3A"/>
          <w:sz w:val="22"/>
          <w:szCs w:val="22"/>
          <w:shd w:val="clear" w:color="auto" w:fill="FFFFFF"/>
        </w:rPr>
        <w:t>.</w:t>
      </w:r>
      <w:r w:rsidRPr="005D5C97">
        <w:rPr>
          <w:rFonts w:ascii="Arial" w:hAnsi="Arial" w:cs="Arial"/>
          <w:color w:val="3A3A3A"/>
          <w:sz w:val="22"/>
          <w:szCs w:val="22"/>
          <w:shd w:val="clear" w:color="auto" w:fill="FFFFFF"/>
          <w:lang w:val="uk-UA"/>
        </w:rPr>
        <w:t xml:space="preserve"> </w:t>
      </w:r>
      <w:r w:rsidRPr="005D5C97">
        <w:rPr>
          <w:rFonts w:ascii="Arial" w:hAnsi="Arial" w:cs="Arial"/>
          <w:color w:val="000000"/>
          <w:sz w:val="22"/>
          <w:szCs w:val="22"/>
        </w:rPr>
        <w:t>(Accessed: 23</w:t>
      </w:r>
      <w:r w:rsidRPr="005D5C97">
        <w:rPr>
          <w:rFonts w:ascii="Arial" w:hAnsi="Arial" w:cs="Arial"/>
          <w:color w:val="000000"/>
          <w:sz w:val="22"/>
          <w:szCs w:val="22"/>
          <w:lang w:val="uk-UA"/>
        </w:rPr>
        <w:t xml:space="preserve"> </w:t>
      </w:r>
      <w:r w:rsidRPr="005D5C97">
        <w:rPr>
          <w:rFonts w:ascii="Arial" w:hAnsi="Arial" w:cs="Arial"/>
          <w:color w:val="000000"/>
          <w:sz w:val="22"/>
          <w:szCs w:val="22"/>
        </w:rPr>
        <w:t>April 2026).</w:t>
      </w:r>
    </w:p>
    <w:p w14:paraId="5A292B08" w14:textId="77777777" w:rsidR="0012087C" w:rsidRPr="005D5C97" w:rsidRDefault="0012087C" w:rsidP="0012087C">
      <w:pPr>
        <w:spacing w:line="360" w:lineRule="auto"/>
        <w:jc w:val="both"/>
        <w:rPr>
          <w:rFonts w:ascii="Arial" w:hAnsi="Arial" w:cs="Arial"/>
          <w:color w:val="3A3A3A"/>
          <w:sz w:val="22"/>
          <w:szCs w:val="22"/>
          <w:shd w:val="clear" w:color="auto" w:fill="FFFFFF"/>
          <w:lang w:val="uk-UA"/>
        </w:rPr>
      </w:pPr>
    </w:p>
    <w:p w14:paraId="7864C5F8" w14:textId="77777777" w:rsidR="0012087C" w:rsidRPr="005D5C97" w:rsidRDefault="0012087C" w:rsidP="0012087C">
      <w:pPr>
        <w:spacing w:line="360" w:lineRule="auto"/>
        <w:jc w:val="both"/>
        <w:rPr>
          <w:rFonts w:ascii="Arial" w:hAnsi="Arial" w:cs="Arial"/>
          <w:color w:val="3A3A3A"/>
          <w:sz w:val="22"/>
          <w:szCs w:val="22"/>
          <w:shd w:val="clear" w:color="auto" w:fill="FFFFFF"/>
          <w:lang w:val="uk-UA"/>
        </w:rPr>
      </w:pPr>
      <w:r w:rsidRPr="005D5C97">
        <w:rPr>
          <w:rFonts w:ascii="Arial" w:hAnsi="Arial" w:cs="Arial"/>
          <w:color w:val="3A3A3A"/>
          <w:sz w:val="22"/>
          <w:szCs w:val="22"/>
          <w:shd w:val="clear" w:color="auto" w:fill="FFFFFF"/>
        </w:rPr>
        <w:t xml:space="preserve">Rosa, E.M. and Tudge, J. (2013) ‘Urie Bronfenbrenner’s Theory of Human Development: Its Evolution </w:t>
      </w:r>
      <w:proofErr w:type="gramStart"/>
      <w:r w:rsidRPr="005D5C97">
        <w:rPr>
          <w:rFonts w:ascii="Arial" w:hAnsi="Arial" w:cs="Arial"/>
          <w:color w:val="3A3A3A"/>
          <w:sz w:val="22"/>
          <w:szCs w:val="22"/>
          <w:shd w:val="clear" w:color="auto" w:fill="FFFFFF"/>
        </w:rPr>
        <w:t>From</w:t>
      </w:r>
      <w:proofErr w:type="gramEnd"/>
      <w:r w:rsidRPr="005D5C97">
        <w:rPr>
          <w:rFonts w:ascii="Arial" w:hAnsi="Arial" w:cs="Arial"/>
          <w:color w:val="3A3A3A"/>
          <w:sz w:val="22"/>
          <w:szCs w:val="22"/>
          <w:shd w:val="clear" w:color="auto" w:fill="FFFFFF"/>
        </w:rPr>
        <w:t xml:space="preserve"> Ecology to Bioecology’, </w:t>
      </w:r>
      <w:r w:rsidRPr="005D5C97">
        <w:rPr>
          <w:rFonts w:ascii="Arial" w:hAnsi="Arial" w:cs="Arial"/>
          <w:i/>
          <w:iCs/>
          <w:color w:val="3A3A3A"/>
          <w:sz w:val="22"/>
          <w:szCs w:val="22"/>
        </w:rPr>
        <w:t>Journal of family theory &amp; review</w:t>
      </w:r>
      <w:r w:rsidRPr="005D5C97">
        <w:rPr>
          <w:rFonts w:ascii="Arial" w:hAnsi="Arial" w:cs="Arial"/>
          <w:color w:val="3A3A3A"/>
          <w:sz w:val="22"/>
          <w:szCs w:val="22"/>
          <w:shd w:val="clear" w:color="auto" w:fill="FFFFFF"/>
        </w:rPr>
        <w:t xml:space="preserve">, 5(4), pp. 243–258. Available at: </w:t>
      </w:r>
      <w:hyperlink r:id="rId18" w:history="1">
        <w:r w:rsidRPr="005D5C97">
          <w:rPr>
            <w:rStyle w:val="Hyperlink"/>
            <w:rFonts w:ascii="Arial" w:eastAsiaTheme="majorEastAsia" w:hAnsi="Arial" w:cs="Arial"/>
            <w:sz w:val="22"/>
            <w:szCs w:val="22"/>
            <w:shd w:val="clear" w:color="auto" w:fill="FFFFFF"/>
          </w:rPr>
          <w:t>https://doi.org/10.1111/jftr.12022</w:t>
        </w:r>
      </w:hyperlink>
      <w:r w:rsidRPr="005D5C97">
        <w:rPr>
          <w:rFonts w:ascii="Arial" w:hAnsi="Arial" w:cs="Arial"/>
          <w:color w:val="3A3A3A"/>
          <w:sz w:val="22"/>
          <w:szCs w:val="22"/>
          <w:shd w:val="clear" w:color="auto" w:fill="FFFFFF"/>
        </w:rPr>
        <w:t>.</w:t>
      </w:r>
      <w:r w:rsidRPr="005D5C97">
        <w:rPr>
          <w:rFonts w:ascii="Arial" w:hAnsi="Arial" w:cs="Arial"/>
          <w:color w:val="3A3A3A"/>
          <w:sz w:val="22"/>
          <w:szCs w:val="22"/>
          <w:shd w:val="clear" w:color="auto" w:fill="FFFFFF"/>
          <w:lang w:val="uk-UA"/>
        </w:rPr>
        <w:t xml:space="preserve"> </w:t>
      </w:r>
      <w:r w:rsidRPr="005D5C97">
        <w:rPr>
          <w:rFonts w:ascii="Arial" w:hAnsi="Arial" w:cs="Arial"/>
          <w:color w:val="000000"/>
          <w:sz w:val="22"/>
          <w:szCs w:val="22"/>
        </w:rPr>
        <w:t>(Accessed: 14</w:t>
      </w:r>
      <w:r w:rsidRPr="005D5C97">
        <w:rPr>
          <w:rFonts w:ascii="Arial" w:hAnsi="Arial" w:cs="Arial"/>
          <w:color w:val="000000"/>
          <w:sz w:val="22"/>
          <w:szCs w:val="22"/>
          <w:lang w:val="uk-UA"/>
        </w:rPr>
        <w:t xml:space="preserve"> </w:t>
      </w:r>
      <w:r w:rsidRPr="005D5C97">
        <w:rPr>
          <w:rFonts w:ascii="Arial" w:hAnsi="Arial" w:cs="Arial"/>
          <w:color w:val="000000"/>
          <w:sz w:val="22"/>
          <w:szCs w:val="22"/>
        </w:rPr>
        <w:t>April 2026).</w:t>
      </w:r>
    </w:p>
    <w:p w14:paraId="4D0BA2CB" w14:textId="77777777" w:rsidR="0012087C" w:rsidRPr="005D5C97" w:rsidRDefault="0012087C" w:rsidP="0012087C">
      <w:pPr>
        <w:spacing w:line="360" w:lineRule="auto"/>
        <w:ind w:left="360"/>
        <w:jc w:val="both"/>
        <w:rPr>
          <w:rFonts w:ascii="Arial" w:hAnsi="Arial" w:cs="Arial"/>
          <w:color w:val="3A3A3A"/>
          <w:sz w:val="22"/>
          <w:szCs w:val="22"/>
          <w:shd w:val="clear" w:color="auto" w:fill="FFFFFF"/>
        </w:rPr>
      </w:pPr>
    </w:p>
    <w:p w14:paraId="52712E92" w14:textId="77777777" w:rsidR="0012087C" w:rsidRPr="005D5C97" w:rsidRDefault="0012087C" w:rsidP="0012087C">
      <w:pPr>
        <w:spacing w:line="360" w:lineRule="auto"/>
        <w:jc w:val="both"/>
        <w:rPr>
          <w:rFonts w:ascii="Arial" w:hAnsi="Arial" w:cs="Arial"/>
          <w:color w:val="000000"/>
          <w:sz w:val="22"/>
          <w:szCs w:val="22"/>
        </w:rPr>
      </w:pPr>
      <w:r w:rsidRPr="005D5C97">
        <w:rPr>
          <w:rFonts w:ascii="Arial" w:hAnsi="Arial" w:cs="Arial"/>
          <w:color w:val="3A3A3A"/>
          <w:sz w:val="22"/>
          <w:szCs w:val="22"/>
          <w:shd w:val="clear" w:color="auto" w:fill="FFFFFF"/>
        </w:rPr>
        <w:t xml:space="preserve">Tudge, J. R. H., Mokrova, I., Hatfield, B. E., </w:t>
      </w:r>
      <w:r>
        <w:rPr>
          <w:rFonts w:ascii="Arial" w:hAnsi="Arial" w:cs="Arial"/>
          <w:color w:val="3A3A3A"/>
          <w:sz w:val="22"/>
          <w:szCs w:val="22"/>
          <w:shd w:val="clear" w:color="auto" w:fill="FFFFFF"/>
        </w:rPr>
        <w:t>and</w:t>
      </w:r>
      <w:r w:rsidRPr="005D5C97">
        <w:rPr>
          <w:rFonts w:ascii="Arial" w:hAnsi="Arial" w:cs="Arial"/>
          <w:color w:val="3A3A3A"/>
          <w:sz w:val="22"/>
          <w:szCs w:val="22"/>
          <w:shd w:val="clear" w:color="auto" w:fill="FFFFFF"/>
        </w:rPr>
        <w:t xml:space="preserve"> Karnik, R. B. (2009) ‘Uses and Misuses of Bronfenbrenner’s Bioecological Theory of Human Development’, </w:t>
      </w:r>
      <w:r w:rsidRPr="005D5C97">
        <w:rPr>
          <w:rFonts w:ascii="Arial" w:hAnsi="Arial" w:cs="Arial"/>
          <w:i/>
          <w:iCs/>
          <w:color w:val="3A3A3A"/>
          <w:sz w:val="22"/>
          <w:szCs w:val="22"/>
        </w:rPr>
        <w:t>Journal of Family Theory &amp; Review</w:t>
      </w:r>
      <w:r w:rsidRPr="005D5C97">
        <w:rPr>
          <w:rFonts w:ascii="Arial" w:hAnsi="Arial" w:cs="Arial"/>
          <w:color w:val="3A3A3A"/>
          <w:sz w:val="22"/>
          <w:szCs w:val="22"/>
          <w:shd w:val="clear" w:color="auto" w:fill="FFFFFF"/>
        </w:rPr>
        <w:t>,</w:t>
      </w:r>
      <w:r w:rsidRPr="005D5C97">
        <w:rPr>
          <w:rStyle w:val="apple-converted-space"/>
          <w:rFonts w:ascii="Arial" w:eastAsiaTheme="majorEastAsia" w:hAnsi="Arial" w:cs="Arial"/>
          <w:color w:val="3A3A3A"/>
          <w:sz w:val="22"/>
          <w:szCs w:val="22"/>
          <w:shd w:val="clear" w:color="auto" w:fill="FFFFFF"/>
        </w:rPr>
        <w:t> </w:t>
      </w:r>
      <w:r w:rsidRPr="005D5C97">
        <w:rPr>
          <w:rFonts w:ascii="Arial" w:hAnsi="Arial" w:cs="Arial"/>
          <w:i/>
          <w:iCs/>
          <w:color w:val="3A3A3A"/>
          <w:sz w:val="22"/>
          <w:szCs w:val="22"/>
        </w:rPr>
        <w:t>1</w:t>
      </w:r>
      <w:r w:rsidRPr="005D5C97">
        <w:rPr>
          <w:rFonts w:ascii="Arial" w:hAnsi="Arial" w:cs="Arial"/>
          <w:color w:val="3A3A3A"/>
          <w:sz w:val="22"/>
          <w:szCs w:val="22"/>
          <w:shd w:val="clear" w:color="auto" w:fill="FFFFFF"/>
        </w:rPr>
        <w:t xml:space="preserve">(4), 198–210. Available at:  </w:t>
      </w:r>
      <w:hyperlink r:id="rId19" w:history="1">
        <w:r w:rsidRPr="005D5C97">
          <w:rPr>
            <w:rStyle w:val="Hyperlink"/>
            <w:rFonts w:ascii="Arial" w:eastAsiaTheme="majorEastAsia" w:hAnsi="Arial" w:cs="Arial"/>
            <w:sz w:val="22"/>
            <w:szCs w:val="22"/>
            <w:shd w:val="clear" w:color="auto" w:fill="FFFFFF"/>
          </w:rPr>
          <w:t>https://doi.org/10.1111/j.1756-2589.2009.00026.x</w:t>
        </w:r>
      </w:hyperlink>
      <w:r w:rsidRPr="005D5C97">
        <w:rPr>
          <w:rFonts w:ascii="Arial" w:hAnsi="Arial" w:cs="Arial"/>
          <w:color w:val="3A3A3A"/>
          <w:sz w:val="22"/>
          <w:szCs w:val="22"/>
          <w:shd w:val="clear" w:color="auto" w:fill="FFFFFF"/>
          <w:lang w:val="uk-UA"/>
        </w:rPr>
        <w:t xml:space="preserve"> </w:t>
      </w:r>
      <w:r w:rsidRPr="005D5C97">
        <w:rPr>
          <w:rFonts w:ascii="Arial" w:hAnsi="Arial" w:cs="Arial"/>
          <w:color w:val="000000"/>
          <w:sz w:val="22"/>
          <w:szCs w:val="22"/>
        </w:rPr>
        <w:t>(Accessed: 18</w:t>
      </w:r>
      <w:r w:rsidRPr="005D5C97">
        <w:rPr>
          <w:rFonts w:ascii="Arial" w:hAnsi="Arial" w:cs="Arial"/>
          <w:color w:val="000000"/>
          <w:sz w:val="22"/>
          <w:szCs w:val="22"/>
          <w:lang w:val="uk-UA"/>
        </w:rPr>
        <w:t xml:space="preserve"> </w:t>
      </w:r>
      <w:r w:rsidRPr="005D5C97">
        <w:rPr>
          <w:rFonts w:ascii="Arial" w:hAnsi="Arial" w:cs="Arial"/>
          <w:color w:val="000000"/>
          <w:sz w:val="22"/>
          <w:szCs w:val="22"/>
        </w:rPr>
        <w:t>April 2026).</w:t>
      </w:r>
    </w:p>
    <w:p w14:paraId="5B14754C" w14:textId="77777777" w:rsidR="0012087C" w:rsidRPr="005D5C97" w:rsidRDefault="0012087C" w:rsidP="0012087C">
      <w:pPr>
        <w:spacing w:line="360" w:lineRule="auto"/>
        <w:ind w:left="360"/>
        <w:jc w:val="both"/>
        <w:rPr>
          <w:rFonts w:ascii="Arial" w:hAnsi="Arial" w:cs="Arial"/>
          <w:color w:val="000000"/>
          <w:sz w:val="22"/>
          <w:szCs w:val="22"/>
        </w:rPr>
      </w:pPr>
    </w:p>
    <w:p w14:paraId="3AE4D1C8" w14:textId="77777777" w:rsidR="0012087C" w:rsidRPr="005D5C97" w:rsidRDefault="0012087C" w:rsidP="0012087C">
      <w:pPr>
        <w:spacing w:line="360" w:lineRule="auto"/>
        <w:jc w:val="both"/>
        <w:rPr>
          <w:rFonts w:ascii="Arial" w:hAnsi="Arial" w:cs="Arial"/>
          <w:color w:val="3A3A3A"/>
          <w:sz w:val="22"/>
          <w:szCs w:val="22"/>
          <w:shd w:val="clear" w:color="auto" w:fill="FFFFFF"/>
          <w:lang w:val="uk-UA"/>
        </w:rPr>
      </w:pPr>
      <w:r w:rsidRPr="005D5C97">
        <w:rPr>
          <w:rFonts w:ascii="Arial" w:hAnsi="Arial" w:cs="Arial"/>
          <w:color w:val="3A3A3A"/>
          <w:sz w:val="22"/>
          <w:szCs w:val="22"/>
          <w:shd w:val="clear" w:color="auto" w:fill="FFFFFF"/>
        </w:rPr>
        <w:t xml:space="preserve">Vélez-Agosto, N. M., Soto-Crespo, J. G., Vizcarrondo-Oppenheimer, M., Vega-Molina, S., </w:t>
      </w:r>
      <w:r>
        <w:rPr>
          <w:rFonts w:ascii="Arial" w:hAnsi="Arial" w:cs="Arial"/>
          <w:color w:val="3A3A3A"/>
          <w:sz w:val="22"/>
          <w:szCs w:val="22"/>
          <w:shd w:val="clear" w:color="auto" w:fill="FFFFFF"/>
        </w:rPr>
        <w:t>and</w:t>
      </w:r>
      <w:r w:rsidRPr="005D5C97">
        <w:rPr>
          <w:rFonts w:ascii="Arial" w:hAnsi="Arial" w:cs="Arial"/>
          <w:color w:val="3A3A3A"/>
          <w:sz w:val="22"/>
          <w:szCs w:val="22"/>
          <w:shd w:val="clear" w:color="auto" w:fill="FFFFFF"/>
        </w:rPr>
        <w:t xml:space="preserve"> Coll, C. G. (2017) ‘Bronfenbrenner’s Bioecological Theory Revision: Moving Culture </w:t>
      </w:r>
      <w:proofErr w:type="gramStart"/>
      <w:r w:rsidRPr="005D5C97">
        <w:rPr>
          <w:rFonts w:ascii="Arial" w:hAnsi="Arial" w:cs="Arial"/>
          <w:color w:val="3A3A3A"/>
          <w:sz w:val="22"/>
          <w:szCs w:val="22"/>
          <w:shd w:val="clear" w:color="auto" w:fill="FFFFFF"/>
        </w:rPr>
        <w:t>From</w:t>
      </w:r>
      <w:proofErr w:type="gramEnd"/>
      <w:r w:rsidRPr="005D5C97">
        <w:rPr>
          <w:rFonts w:ascii="Arial" w:hAnsi="Arial" w:cs="Arial"/>
          <w:color w:val="3A3A3A"/>
          <w:sz w:val="22"/>
          <w:szCs w:val="22"/>
          <w:shd w:val="clear" w:color="auto" w:fill="FFFFFF"/>
        </w:rPr>
        <w:t xml:space="preserve"> the Macro </w:t>
      </w:r>
      <w:proofErr w:type="gramStart"/>
      <w:r w:rsidRPr="005D5C97">
        <w:rPr>
          <w:rFonts w:ascii="Arial" w:hAnsi="Arial" w:cs="Arial"/>
          <w:color w:val="3A3A3A"/>
          <w:sz w:val="22"/>
          <w:szCs w:val="22"/>
          <w:shd w:val="clear" w:color="auto" w:fill="FFFFFF"/>
        </w:rPr>
        <w:t>Into</w:t>
      </w:r>
      <w:proofErr w:type="gramEnd"/>
      <w:r w:rsidRPr="005D5C97">
        <w:rPr>
          <w:rFonts w:ascii="Arial" w:hAnsi="Arial" w:cs="Arial"/>
          <w:color w:val="3A3A3A"/>
          <w:sz w:val="22"/>
          <w:szCs w:val="22"/>
          <w:shd w:val="clear" w:color="auto" w:fill="FFFFFF"/>
        </w:rPr>
        <w:t xml:space="preserve"> the Micro’, </w:t>
      </w:r>
      <w:r w:rsidRPr="005D5C97">
        <w:rPr>
          <w:rFonts w:ascii="Arial" w:hAnsi="Arial" w:cs="Arial"/>
          <w:i/>
          <w:iCs/>
          <w:color w:val="3A3A3A"/>
          <w:sz w:val="22"/>
          <w:szCs w:val="22"/>
        </w:rPr>
        <w:t>Perspectives on Psychological Science</w:t>
      </w:r>
      <w:r w:rsidRPr="005D5C97">
        <w:rPr>
          <w:rFonts w:ascii="Arial" w:hAnsi="Arial" w:cs="Arial"/>
          <w:color w:val="3A3A3A"/>
          <w:sz w:val="22"/>
          <w:szCs w:val="22"/>
          <w:shd w:val="clear" w:color="auto" w:fill="FFFFFF"/>
        </w:rPr>
        <w:t>,</w:t>
      </w:r>
      <w:r w:rsidRPr="005D5C97">
        <w:rPr>
          <w:rStyle w:val="apple-converted-space"/>
          <w:rFonts w:ascii="Arial" w:eastAsiaTheme="majorEastAsia" w:hAnsi="Arial" w:cs="Arial"/>
          <w:color w:val="3A3A3A"/>
          <w:sz w:val="22"/>
          <w:szCs w:val="22"/>
          <w:shd w:val="clear" w:color="auto" w:fill="FFFFFF"/>
        </w:rPr>
        <w:t> </w:t>
      </w:r>
      <w:r w:rsidRPr="005D5C97">
        <w:rPr>
          <w:rFonts w:ascii="Arial" w:hAnsi="Arial" w:cs="Arial"/>
          <w:i/>
          <w:iCs/>
          <w:color w:val="3A3A3A"/>
          <w:sz w:val="22"/>
          <w:szCs w:val="22"/>
        </w:rPr>
        <w:t>12</w:t>
      </w:r>
      <w:r w:rsidRPr="005D5C97">
        <w:rPr>
          <w:rFonts w:ascii="Arial" w:hAnsi="Arial" w:cs="Arial"/>
          <w:color w:val="3A3A3A"/>
          <w:sz w:val="22"/>
          <w:szCs w:val="22"/>
          <w:shd w:val="clear" w:color="auto" w:fill="FFFFFF"/>
        </w:rPr>
        <w:t xml:space="preserve">(5), 900–910. Available at: </w:t>
      </w:r>
      <w:hyperlink r:id="rId20" w:history="1">
        <w:r w:rsidRPr="005D5C97">
          <w:rPr>
            <w:rStyle w:val="Hyperlink"/>
            <w:rFonts w:ascii="Arial" w:eastAsiaTheme="majorEastAsia" w:hAnsi="Arial" w:cs="Arial"/>
            <w:sz w:val="22"/>
            <w:szCs w:val="22"/>
            <w:shd w:val="clear" w:color="auto" w:fill="FFFFFF"/>
          </w:rPr>
          <w:t>https://doi.org/10.1177/1745691617704397</w:t>
        </w:r>
      </w:hyperlink>
      <w:r w:rsidRPr="005D5C97">
        <w:rPr>
          <w:rFonts w:ascii="Arial" w:hAnsi="Arial" w:cs="Arial"/>
          <w:color w:val="3A3A3A"/>
          <w:sz w:val="22"/>
          <w:szCs w:val="22"/>
          <w:shd w:val="clear" w:color="auto" w:fill="FFFFFF"/>
          <w:lang w:val="uk-UA"/>
        </w:rPr>
        <w:t xml:space="preserve"> </w:t>
      </w:r>
      <w:r w:rsidRPr="005D5C97">
        <w:rPr>
          <w:rFonts w:ascii="Arial" w:hAnsi="Arial" w:cs="Arial"/>
          <w:color w:val="000000"/>
          <w:sz w:val="22"/>
          <w:szCs w:val="22"/>
        </w:rPr>
        <w:t xml:space="preserve">(Accessed: </w:t>
      </w:r>
      <w:r w:rsidRPr="005D5C97">
        <w:rPr>
          <w:rFonts w:ascii="Arial" w:hAnsi="Arial" w:cs="Arial"/>
          <w:color w:val="000000"/>
          <w:sz w:val="22"/>
          <w:szCs w:val="22"/>
          <w:lang w:val="uk-UA"/>
        </w:rPr>
        <w:t>1</w:t>
      </w:r>
      <w:r w:rsidRPr="005D5C97">
        <w:rPr>
          <w:rFonts w:ascii="Arial" w:hAnsi="Arial" w:cs="Arial"/>
          <w:color w:val="000000"/>
          <w:sz w:val="22"/>
          <w:szCs w:val="22"/>
        </w:rPr>
        <w:t>8</w:t>
      </w:r>
      <w:r w:rsidRPr="005D5C97">
        <w:rPr>
          <w:rFonts w:ascii="Arial" w:hAnsi="Arial" w:cs="Arial"/>
          <w:color w:val="000000"/>
          <w:sz w:val="22"/>
          <w:szCs w:val="22"/>
          <w:lang w:val="uk-UA"/>
        </w:rPr>
        <w:t xml:space="preserve"> </w:t>
      </w:r>
      <w:r w:rsidRPr="005D5C97">
        <w:rPr>
          <w:rFonts w:ascii="Arial" w:hAnsi="Arial" w:cs="Arial"/>
          <w:color w:val="000000"/>
          <w:sz w:val="22"/>
          <w:szCs w:val="22"/>
        </w:rPr>
        <w:t>April 2026).</w:t>
      </w:r>
    </w:p>
    <w:p w14:paraId="7750B214" w14:textId="77777777" w:rsidR="0012087C" w:rsidRPr="005D5C97" w:rsidRDefault="0012087C" w:rsidP="0012087C">
      <w:pPr>
        <w:spacing w:line="360" w:lineRule="auto"/>
        <w:ind w:left="360"/>
        <w:jc w:val="both"/>
        <w:rPr>
          <w:rFonts w:ascii="Arial" w:hAnsi="Arial" w:cs="Arial"/>
          <w:color w:val="3A3A3A"/>
          <w:sz w:val="22"/>
          <w:szCs w:val="22"/>
          <w:shd w:val="clear" w:color="auto" w:fill="FFFFFF"/>
        </w:rPr>
      </w:pPr>
    </w:p>
    <w:p w14:paraId="6DCCB3F5" w14:textId="77777777" w:rsidR="0012087C" w:rsidRPr="005D5C97" w:rsidRDefault="0012087C" w:rsidP="0012087C">
      <w:pPr>
        <w:spacing w:line="360" w:lineRule="auto"/>
        <w:jc w:val="both"/>
        <w:rPr>
          <w:rFonts w:ascii="Arial" w:hAnsi="Arial" w:cs="Arial"/>
          <w:color w:val="3A3A3A"/>
          <w:sz w:val="22"/>
          <w:szCs w:val="22"/>
          <w:shd w:val="clear" w:color="auto" w:fill="FFFFFF"/>
          <w:lang w:val="uk-UA"/>
        </w:rPr>
      </w:pPr>
      <w:r w:rsidRPr="005D5C97">
        <w:rPr>
          <w:rFonts w:ascii="Arial" w:hAnsi="Arial" w:cs="Arial"/>
          <w:color w:val="3A3A3A"/>
          <w:sz w:val="22"/>
          <w:szCs w:val="22"/>
          <w:shd w:val="clear" w:color="auto" w:fill="FFFFFF"/>
        </w:rPr>
        <w:t xml:space="preserve">Woodland, S., Kahler, M., Blue Star, J., </w:t>
      </w:r>
      <w:r>
        <w:rPr>
          <w:rFonts w:ascii="Arial" w:hAnsi="Arial" w:cs="Arial"/>
          <w:color w:val="3A3A3A"/>
          <w:sz w:val="22"/>
          <w:szCs w:val="22"/>
          <w:shd w:val="clear" w:color="auto" w:fill="FFFFFF"/>
        </w:rPr>
        <w:t>and</w:t>
      </w:r>
      <w:r w:rsidRPr="005D5C97">
        <w:rPr>
          <w:rFonts w:ascii="Arial" w:hAnsi="Arial" w:cs="Arial"/>
          <w:color w:val="3A3A3A"/>
          <w:sz w:val="22"/>
          <w:szCs w:val="22"/>
          <w:shd w:val="clear" w:color="auto" w:fill="FFFFFF"/>
        </w:rPr>
        <w:t xml:space="preserve"> Fielding, B. (2024) ‘Borrowing Bronfenbrenner: An Argument for Increasing the Intersection of Diverse Theoretical and Applied Models’, </w:t>
      </w:r>
      <w:r w:rsidRPr="005D5C97">
        <w:rPr>
          <w:rFonts w:ascii="Arial" w:hAnsi="Arial" w:cs="Arial"/>
          <w:i/>
          <w:iCs/>
          <w:color w:val="3A3A3A"/>
          <w:sz w:val="22"/>
          <w:szCs w:val="22"/>
        </w:rPr>
        <w:t>Child Care in Practice: Northern Ireland Journal of Multi-Disciplinary Child Care Practice</w:t>
      </w:r>
      <w:r w:rsidRPr="005D5C97">
        <w:rPr>
          <w:rFonts w:ascii="Arial" w:hAnsi="Arial" w:cs="Arial"/>
          <w:color w:val="3A3A3A"/>
          <w:sz w:val="22"/>
          <w:szCs w:val="22"/>
          <w:shd w:val="clear" w:color="auto" w:fill="FFFFFF"/>
        </w:rPr>
        <w:t>,</w:t>
      </w:r>
      <w:r w:rsidRPr="005D5C97">
        <w:rPr>
          <w:rStyle w:val="apple-converted-space"/>
          <w:rFonts w:ascii="Arial" w:eastAsiaTheme="majorEastAsia" w:hAnsi="Arial" w:cs="Arial"/>
          <w:color w:val="3A3A3A"/>
          <w:sz w:val="22"/>
          <w:szCs w:val="22"/>
          <w:shd w:val="clear" w:color="auto" w:fill="FFFFFF"/>
        </w:rPr>
        <w:t> </w:t>
      </w:r>
      <w:r w:rsidRPr="005D5C97">
        <w:rPr>
          <w:rFonts w:ascii="Arial" w:hAnsi="Arial" w:cs="Arial"/>
          <w:i/>
          <w:iCs/>
          <w:color w:val="3A3A3A"/>
          <w:sz w:val="22"/>
          <w:szCs w:val="22"/>
        </w:rPr>
        <w:t>30</w:t>
      </w:r>
      <w:r w:rsidRPr="005D5C97">
        <w:rPr>
          <w:rFonts w:ascii="Arial" w:hAnsi="Arial" w:cs="Arial"/>
          <w:color w:val="3A3A3A"/>
          <w:sz w:val="22"/>
          <w:szCs w:val="22"/>
          <w:shd w:val="clear" w:color="auto" w:fill="FFFFFF"/>
        </w:rPr>
        <w:t xml:space="preserve">(2), </w:t>
      </w:r>
      <w:r w:rsidRPr="005D5C97">
        <w:rPr>
          <w:rFonts w:ascii="Arial" w:hAnsi="Arial" w:cs="Arial"/>
          <w:color w:val="3A3A3A"/>
          <w:sz w:val="22"/>
          <w:szCs w:val="22"/>
          <w:shd w:val="clear" w:color="auto" w:fill="FFFFFF"/>
        </w:rPr>
        <w:lastRenderedPageBreak/>
        <w:t xml:space="preserve">156–170. Available at: </w:t>
      </w:r>
      <w:hyperlink r:id="rId21" w:history="1">
        <w:r w:rsidRPr="005D5C97">
          <w:rPr>
            <w:rStyle w:val="Hyperlink"/>
            <w:rFonts w:ascii="Arial" w:eastAsiaTheme="majorEastAsia" w:hAnsi="Arial" w:cs="Arial"/>
            <w:sz w:val="22"/>
            <w:szCs w:val="22"/>
            <w:shd w:val="clear" w:color="auto" w:fill="FFFFFF"/>
          </w:rPr>
          <w:t>https://doi.org/10.1080/13575279.2021.1924120</w:t>
        </w:r>
      </w:hyperlink>
      <w:r w:rsidRPr="005D5C97">
        <w:rPr>
          <w:rFonts w:ascii="Arial" w:hAnsi="Arial" w:cs="Arial"/>
          <w:color w:val="3A3A3A"/>
          <w:sz w:val="22"/>
          <w:szCs w:val="22"/>
          <w:shd w:val="clear" w:color="auto" w:fill="FFFFFF"/>
          <w:lang w:val="uk-UA"/>
        </w:rPr>
        <w:t xml:space="preserve"> </w:t>
      </w:r>
      <w:r w:rsidRPr="005D5C97">
        <w:rPr>
          <w:rFonts w:ascii="Arial" w:hAnsi="Arial" w:cs="Arial"/>
          <w:color w:val="000000"/>
          <w:sz w:val="22"/>
          <w:szCs w:val="22"/>
        </w:rPr>
        <w:t>(Accessed: 19</w:t>
      </w:r>
      <w:r w:rsidRPr="005D5C97">
        <w:rPr>
          <w:rFonts w:ascii="Arial" w:hAnsi="Arial" w:cs="Arial"/>
          <w:color w:val="000000"/>
          <w:sz w:val="22"/>
          <w:szCs w:val="22"/>
          <w:lang w:val="uk-UA"/>
        </w:rPr>
        <w:t xml:space="preserve"> </w:t>
      </w:r>
      <w:r w:rsidRPr="005D5C97">
        <w:rPr>
          <w:rFonts w:ascii="Arial" w:hAnsi="Arial" w:cs="Arial"/>
          <w:color w:val="000000"/>
          <w:sz w:val="22"/>
          <w:szCs w:val="22"/>
        </w:rPr>
        <w:t>April 2026).</w:t>
      </w:r>
    </w:p>
    <w:p w14:paraId="12E0D27D" w14:textId="77777777" w:rsidR="0012087C" w:rsidRPr="0012087C" w:rsidRDefault="0012087C">
      <w:pPr>
        <w:rPr>
          <w:lang w:val="uk-UA"/>
        </w:rPr>
      </w:pPr>
    </w:p>
    <w:sectPr w:rsidR="0012087C" w:rsidRPr="0012087C">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B0F5C" w14:textId="77777777" w:rsidR="001E697D" w:rsidRDefault="001E697D" w:rsidP="009906A7">
      <w:r>
        <w:separator/>
      </w:r>
    </w:p>
  </w:endnote>
  <w:endnote w:type="continuationSeparator" w:id="0">
    <w:p w14:paraId="43205444" w14:textId="77777777" w:rsidR="001E697D" w:rsidRDefault="001E697D" w:rsidP="00990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33269020"/>
      <w:docPartObj>
        <w:docPartGallery w:val="Page Numbers (Bottom of Page)"/>
        <w:docPartUnique/>
      </w:docPartObj>
    </w:sdtPr>
    <w:sdtContent>
      <w:p w14:paraId="66E1A86D" w14:textId="04A3F5CF" w:rsidR="009906A7" w:rsidRDefault="009906A7" w:rsidP="003750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AC6D15" w14:textId="77777777" w:rsidR="009906A7" w:rsidRDefault="009906A7" w:rsidP="009906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6006535"/>
      <w:docPartObj>
        <w:docPartGallery w:val="Page Numbers (Bottom of Page)"/>
        <w:docPartUnique/>
      </w:docPartObj>
    </w:sdtPr>
    <w:sdtContent>
      <w:p w14:paraId="0D15655C" w14:textId="69B9ABB0" w:rsidR="009906A7" w:rsidRDefault="009906A7" w:rsidP="003750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E43E0D6" w14:textId="77777777" w:rsidR="009906A7" w:rsidRDefault="009906A7" w:rsidP="009906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23B7E" w14:textId="77777777" w:rsidR="001E697D" w:rsidRDefault="001E697D" w:rsidP="009906A7">
      <w:r>
        <w:separator/>
      </w:r>
    </w:p>
  </w:footnote>
  <w:footnote w:type="continuationSeparator" w:id="0">
    <w:p w14:paraId="40AB7671" w14:textId="77777777" w:rsidR="001E697D" w:rsidRDefault="001E697D" w:rsidP="009906A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87C"/>
    <w:rsid w:val="00017BB4"/>
    <w:rsid w:val="0012087C"/>
    <w:rsid w:val="001E697D"/>
    <w:rsid w:val="001F1FD7"/>
    <w:rsid w:val="00306CB1"/>
    <w:rsid w:val="00340159"/>
    <w:rsid w:val="00620A2C"/>
    <w:rsid w:val="008D7656"/>
    <w:rsid w:val="009332F4"/>
    <w:rsid w:val="009906A7"/>
    <w:rsid w:val="00A21F27"/>
    <w:rsid w:val="00B27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2AC521"/>
  <w15:chartTrackingRefBased/>
  <w15:docId w15:val="{B3343F4B-5BD2-4145-8BF1-B8883C13C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87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208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08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08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08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08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087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87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87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87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8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08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08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8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8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8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8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8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87C"/>
    <w:rPr>
      <w:rFonts w:eastAsiaTheme="majorEastAsia" w:cstheme="majorBidi"/>
      <w:color w:val="272727" w:themeColor="text1" w:themeTint="D8"/>
    </w:rPr>
  </w:style>
  <w:style w:type="paragraph" w:styleId="Title">
    <w:name w:val="Title"/>
    <w:basedOn w:val="Normal"/>
    <w:next w:val="Normal"/>
    <w:link w:val="TitleChar"/>
    <w:uiPriority w:val="10"/>
    <w:qFormat/>
    <w:rsid w:val="001208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8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8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8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87C"/>
    <w:pPr>
      <w:spacing w:before="160"/>
      <w:jc w:val="center"/>
    </w:pPr>
    <w:rPr>
      <w:i/>
      <w:iCs/>
      <w:color w:val="404040" w:themeColor="text1" w:themeTint="BF"/>
    </w:rPr>
  </w:style>
  <w:style w:type="character" w:customStyle="1" w:styleId="QuoteChar">
    <w:name w:val="Quote Char"/>
    <w:basedOn w:val="DefaultParagraphFont"/>
    <w:link w:val="Quote"/>
    <w:uiPriority w:val="29"/>
    <w:rsid w:val="0012087C"/>
    <w:rPr>
      <w:i/>
      <w:iCs/>
      <w:color w:val="404040" w:themeColor="text1" w:themeTint="BF"/>
    </w:rPr>
  </w:style>
  <w:style w:type="paragraph" w:styleId="ListParagraph">
    <w:name w:val="List Paragraph"/>
    <w:basedOn w:val="Normal"/>
    <w:uiPriority w:val="34"/>
    <w:qFormat/>
    <w:rsid w:val="0012087C"/>
    <w:pPr>
      <w:ind w:left="720"/>
      <w:contextualSpacing/>
    </w:pPr>
  </w:style>
  <w:style w:type="character" w:styleId="IntenseEmphasis">
    <w:name w:val="Intense Emphasis"/>
    <w:basedOn w:val="DefaultParagraphFont"/>
    <w:uiPriority w:val="21"/>
    <w:qFormat/>
    <w:rsid w:val="0012087C"/>
    <w:rPr>
      <w:i/>
      <w:iCs/>
      <w:color w:val="0F4761" w:themeColor="accent1" w:themeShade="BF"/>
    </w:rPr>
  </w:style>
  <w:style w:type="paragraph" w:styleId="IntenseQuote">
    <w:name w:val="Intense Quote"/>
    <w:basedOn w:val="Normal"/>
    <w:next w:val="Normal"/>
    <w:link w:val="IntenseQuoteChar"/>
    <w:uiPriority w:val="30"/>
    <w:qFormat/>
    <w:rsid w:val="00120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87C"/>
    <w:rPr>
      <w:i/>
      <w:iCs/>
      <w:color w:val="0F4761" w:themeColor="accent1" w:themeShade="BF"/>
    </w:rPr>
  </w:style>
  <w:style w:type="character" w:styleId="IntenseReference">
    <w:name w:val="Intense Reference"/>
    <w:basedOn w:val="DefaultParagraphFont"/>
    <w:uiPriority w:val="32"/>
    <w:qFormat/>
    <w:rsid w:val="0012087C"/>
    <w:rPr>
      <w:b/>
      <w:bCs/>
      <w:smallCaps/>
      <w:color w:val="0F4761" w:themeColor="accent1" w:themeShade="BF"/>
      <w:spacing w:val="5"/>
    </w:rPr>
  </w:style>
  <w:style w:type="paragraph" w:styleId="NormalWeb">
    <w:name w:val="Normal (Web)"/>
    <w:basedOn w:val="Normal"/>
    <w:uiPriority w:val="99"/>
    <w:unhideWhenUsed/>
    <w:rsid w:val="0012087C"/>
    <w:pPr>
      <w:spacing w:before="100" w:beforeAutospacing="1" w:after="100" w:afterAutospacing="1"/>
    </w:pPr>
  </w:style>
  <w:style w:type="character" w:customStyle="1" w:styleId="apple-converted-space">
    <w:name w:val="apple-converted-space"/>
    <w:basedOn w:val="DefaultParagraphFont"/>
    <w:rsid w:val="0012087C"/>
  </w:style>
  <w:style w:type="character" w:styleId="Strong">
    <w:name w:val="Strong"/>
    <w:basedOn w:val="DefaultParagraphFont"/>
    <w:uiPriority w:val="22"/>
    <w:qFormat/>
    <w:rsid w:val="0012087C"/>
    <w:rPr>
      <w:b/>
      <w:bCs/>
    </w:rPr>
  </w:style>
  <w:style w:type="character" w:customStyle="1" w:styleId="whitespace-normal">
    <w:name w:val="whitespace-normal"/>
    <w:basedOn w:val="DefaultParagraphFont"/>
    <w:rsid w:val="0012087C"/>
  </w:style>
  <w:style w:type="paragraph" w:customStyle="1" w:styleId="p1">
    <w:name w:val="p1"/>
    <w:basedOn w:val="Normal"/>
    <w:rsid w:val="0012087C"/>
    <w:rPr>
      <w:rFonts w:ascii="Helvetica" w:hAnsi="Helvetica"/>
      <w:color w:val="000000"/>
      <w:sz w:val="18"/>
      <w:szCs w:val="18"/>
    </w:rPr>
  </w:style>
  <w:style w:type="character" w:styleId="Hyperlink">
    <w:name w:val="Hyperlink"/>
    <w:basedOn w:val="DefaultParagraphFont"/>
    <w:uiPriority w:val="99"/>
    <w:unhideWhenUsed/>
    <w:rsid w:val="0012087C"/>
    <w:rPr>
      <w:color w:val="0000FF"/>
      <w:u w:val="single"/>
    </w:rPr>
  </w:style>
  <w:style w:type="character" w:styleId="Emphasis">
    <w:name w:val="Emphasis"/>
    <w:basedOn w:val="DefaultParagraphFont"/>
    <w:uiPriority w:val="20"/>
    <w:qFormat/>
    <w:rsid w:val="0012087C"/>
    <w:rPr>
      <w:i/>
      <w:iCs/>
    </w:rPr>
  </w:style>
  <w:style w:type="paragraph" w:styleId="Footer">
    <w:name w:val="footer"/>
    <w:basedOn w:val="Normal"/>
    <w:link w:val="FooterChar"/>
    <w:uiPriority w:val="99"/>
    <w:unhideWhenUsed/>
    <w:rsid w:val="009906A7"/>
    <w:pPr>
      <w:tabs>
        <w:tab w:val="center" w:pos="4513"/>
        <w:tab w:val="right" w:pos="9026"/>
      </w:tabs>
    </w:pPr>
  </w:style>
  <w:style w:type="character" w:customStyle="1" w:styleId="FooterChar">
    <w:name w:val="Footer Char"/>
    <w:basedOn w:val="DefaultParagraphFont"/>
    <w:link w:val="Footer"/>
    <w:uiPriority w:val="99"/>
    <w:rsid w:val="009906A7"/>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9906A7"/>
  </w:style>
  <w:style w:type="paragraph" w:styleId="TOCHeading">
    <w:name w:val="TOC Heading"/>
    <w:basedOn w:val="Heading1"/>
    <w:next w:val="Normal"/>
    <w:uiPriority w:val="39"/>
    <w:unhideWhenUsed/>
    <w:qFormat/>
    <w:rsid w:val="00A21F27"/>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A21F27"/>
    <w:pPr>
      <w:spacing w:before="120"/>
    </w:pPr>
    <w:rPr>
      <w:rFonts w:asciiTheme="minorHAnsi" w:hAnsiTheme="minorHAnsi"/>
      <w:b/>
      <w:bCs/>
      <w:i/>
      <w:iCs/>
    </w:rPr>
  </w:style>
  <w:style w:type="paragraph" w:styleId="TOC3">
    <w:name w:val="toc 3"/>
    <w:basedOn w:val="Normal"/>
    <w:next w:val="Normal"/>
    <w:autoRedefine/>
    <w:uiPriority w:val="39"/>
    <w:unhideWhenUsed/>
    <w:rsid w:val="00A21F27"/>
    <w:pPr>
      <w:ind w:left="480"/>
    </w:pPr>
    <w:rPr>
      <w:rFonts w:asciiTheme="minorHAnsi" w:hAnsiTheme="minorHAnsi"/>
      <w:sz w:val="20"/>
      <w:szCs w:val="20"/>
    </w:rPr>
  </w:style>
  <w:style w:type="paragraph" w:styleId="TOC2">
    <w:name w:val="toc 2"/>
    <w:basedOn w:val="Normal"/>
    <w:next w:val="Normal"/>
    <w:autoRedefine/>
    <w:uiPriority w:val="39"/>
    <w:semiHidden/>
    <w:unhideWhenUsed/>
    <w:rsid w:val="00A21F27"/>
    <w:pPr>
      <w:spacing w:before="120"/>
      <w:ind w:left="240"/>
    </w:pPr>
    <w:rPr>
      <w:rFonts w:asciiTheme="minorHAnsi" w:hAnsiTheme="minorHAnsi"/>
      <w:b/>
      <w:bCs/>
      <w:sz w:val="22"/>
      <w:szCs w:val="22"/>
    </w:rPr>
  </w:style>
  <w:style w:type="paragraph" w:styleId="TOC4">
    <w:name w:val="toc 4"/>
    <w:basedOn w:val="Normal"/>
    <w:next w:val="Normal"/>
    <w:autoRedefine/>
    <w:uiPriority w:val="39"/>
    <w:semiHidden/>
    <w:unhideWhenUsed/>
    <w:rsid w:val="00A21F27"/>
    <w:pPr>
      <w:ind w:left="720"/>
    </w:pPr>
    <w:rPr>
      <w:rFonts w:asciiTheme="minorHAnsi" w:hAnsiTheme="minorHAnsi"/>
      <w:sz w:val="20"/>
      <w:szCs w:val="20"/>
    </w:rPr>
  </w:style>
  <w:style w:type="paragraph" w:styleId="TOC5">
    <w:name w:val="toc 5"/>
    <w:basedOn w:val="Normal"/>
    <w:next w:val="Normal"/>
    <w:autoRedefine/>
    <w:uiPriority w:val="39"/>
    <w:semiHidden/>
    <w:unhideWhenUsed/>
    <w:rsid w:val="00A21F27"/>
    <w:pPr>
      <w:ind w:left="960"/>
    </w:pPr>
    <w:rPr>
      <w:rFonts w:asciiTheme="minorHAnsi" w:hAnsiTheme="minorHAnsi"/>
      <w:sz w:val="20"/>
      <w:szCs w:val="20"/>
    </w:rPr>
  </w:style>
  <w:style w:type="paragraph" w:styleId="TOC6">
    <w:name w:val="toc 6"/>
    <w:basedOn w:val="Normal"/>
    <w:next w:val="Normal"/>
    <w:autoRedefine/>
    <w:uiPriority w:val="39"/>
    <w:semiHidden/>
    <w:unhideWhenUsed/>
    <w:rsid w:val="00A21F27"/>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A21F27"/>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A21F27"/>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A21F27"/>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080/01639625.2019.1680086" TargetMode="External"/><Relationship Id="rId18" Type="http://schemas.openxmlformats.org/officeDocument/2006/relationships/hyperlink" Target="https://doi.org/10.1111/jftr.12022" TargetMode="External"/><Relationship Id="rId3" Type="http://schemas.openxmlformats.org/officeDocument/2006/relationships/settings" Target="settings.xml"/><Relationship Id="rId21" Type="http://schemas.openxmlformats.org/officeDocument/2006/relationships/hyperlink" Target="https://doi.org/10.1080/13575279.2021.1924120" TargetMode="External"/><Relationship Id="rId7" Type="http://schemas.openxmlformats.org/officeDocument/2006/relationships/image" Target="media/image1.png"/><Relationship Id="rId12" Type="http://schemas.openxmlformats.org/officeDocument/2006/relationships/hyperlink" Target="https://doi.org/10.1097/ACM.0000000000002822" TargetMode="External"/><Relationship Id="rId17" Type="http://schemas.openxmlformats.org/officeDocument/2006/relationships/hyperlink" Target="https://doi.org/10.1186/s12909-023-04986-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07/s12144-022-02738-3" TargetMode="External"/><Relationship Id="rId20" Type="http://schemas.openxmlformats.org/officeDocument/2006/relationships/hyperlink" Target="https://doi.org/10.1177/174569161770439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57/s41285-018-0065-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ice.org.uk/guidance/cg138" TargetMode="External"/><Relationship Id="rId23" Type="http://schemas.openxmlformats.org/officeDocument/2006/relationships/footer" Target="footer2.xml"/><Relationship Id="rId10" Type="http://schemas.openxmlformats.org/officeDocument/2006/relationships/hyperlink" Target="https://doi.org/10.3390/educsci16010097" TargetMode="External"/><Relationship Id="rId19" Type="http://schemas.openxmlformats.org/officeDocument/2006/relationships/hyperlink" Target="https://doi.org/10.1111/j.1756-2589.2009.00026.x" TargetMode="External"/><Relationship Id="rId4" Type="http://schemas.openxmlformats.org/officeDocument/2006/relationships/webSettings" Target="webSettings.xml"/><Relationship Id="rId9" Type="http://schemas.openxmlformats.org/officeDocument/2006/relationships/hyperlink" Target="https://doi.org/10.1037/0003-066X.32.7.513" TargetMode="External"/><Relationship Id="rId14" Type="http://schemas.openxmlformats.org/officeDocument/2006/relationships/hyperlink" Target="https://doi.org/10.1186/s12888-025-06812-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AB81E-5CAA-F84B-8CD4-D10271EF4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11</Pages>
  <Words>3213</Words>
  <Characters>18318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Yuliia Silman (2431446)</dc:creator>
  <cp:keywords/>
  <dc:description/>
  <cp:lastModifiedBy>Yuliia Silman (2431446)</cp:lastModifiedBy>
  <cp:revision>4</cp:revision>
  <dcterms:created xsi:type="dcterms:W3CDTF">2026-04-28T20:00:00Z</dcterms:created>
  <dcterms:modified xsi:type="dcterms:W3CDTF">2026-04-28T21:11:00Z</dcterms:modified>
</cp:coreProperties>
</file>