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FD147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56F93">
              <w:rPr>
                <w:rFonts w:ascii="Times New Roman" w:hAnsi="Times New Roman" w:cs="Times New Roman"/>
                <w:b/>
                <w:color w:val="auto"/>
                <w:sz w:val="48"/>
              </w:rPr>
              <w:t>Leanne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87E04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4368A">
              <w:rPr>
                <w:rFonts w:ascii="Times New Roman" w:hAnsi="Times New Roman" w:cs="Times New Roman"/>
                <w:b/>
                <w:color w:val="auto"/>
                <w:sz w:val="48"/>
              </w:rPr>
              <w:t xml:space="preserve"> </w:t>
            </w:r>
            <w:r w:rsidR="00A56F93">
              <w:rPr>
                <w:rFonts w:ascii="Times New Roman" w:hAnsi="Times New Roman" w:cs="Times New Roman"/>
                <w:b/>
                <w:color w:val="auto"/>
                <w:sz w:val="48"/>
              </w:rPr>
              <w:t>Leanne.evans@</w:t>
            </w:r>
            <w:r w:rsidR="00A068DF">
              <w:rPr>
                <w:rFonts w:ascii="Times New Roman" w:hAnsi="Times New Roman" w:cs="Times New Roman"/>
                <w:b/>
                <w:color w:val="auto"/>
                <w:sz w:val="48"/>
              </w:rPr>
              <w:t>zoho.com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26883E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4368A">
              <w:rPr>
                <w:rFonts w:ascii="Times New Roman" w:hAnsi="Times New Roman" w:cs="Times New Roman"/>
                <w:b/>
                <w:color w:val="auto"/>
                <w:sz w:val="48"/>
              </w:rPr>
              <w:t xml:space="preserve"> </w:t>
            </w:r>
            <w:r w:rsidR="0004368A" w:rsidRPr="003546F3">
              <w:rPr>
                <w:rFonts w:ascii="Times New Roman" w:hAnsi="Times New Roman" w:cs="Times New Roman"/>
                <w:b/>
                <w:sz w:val="48"/>
              </w:rPr>
              <w:t>2417691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B4645CD" w14:textId="1B13DBDF" w:rsidR="00A854F7" w:rsidRDefault="00A854F7" w:rsidP="00410EA0">
            <w:pPr>
              <w:spacing w:line="360" w:lineRule="auto"/>
              <w:jc w:val="both"/>
              <w:rPr>
                <w:sz w:val="24"/>
                <w:szCs w:val="24"/>
              </w:rPr>
            </w:pPr>
            <w:r w:rsidRPr="00A854F7">
              <w:rPr>
                <w:sz w:val="24"/>
                <w:szCs w:val="24"/>
              </w:rPr>
              <w:t>In Wales, adult safeguarding is predominantly regulated by the Social Services and Well-being (Wales) Act 201</w:t>
            </w:r>
            <w:r w:rsidR="00C3257A">
              <w:rPr>
                <w:sz w:val="24"/>
                <w:szCs w:val="24"/>
              </w:rPr>
              <w:t>4</w:t>
            </w:r>
            <w:r w:rsidRPr="00A854F7">
              <w:rPr>
                <w:sz w:val="24"/>
                <w:szCs w:val="24"/>
              </w:rPr>
              <w:t>. This legislation characterises a</w:t>
            </w:r>
            <w:r w:rsidR="00C3257A">
              <w:rPr>
                <w:sz w:val="24"/>
                <w:szCs w:val="24"/>
              </w:rPr>
              <w:t>n</w:t>
            </w:r>
            <w:r w:rsidRPr="00A854F7">
              <w:rPr>
                <w:sz w:val="24"/>
                <w:szCs w:val="24"/>
              </w:rPr>
              <w:t xml:space="preserve"> 'adult at risk' as a person who is either undergoing or susceptible to abuse and who is incapable of protecting themselves from such harm (Social Care Wales, 2024). This definition can be found in Part 7 of the Act, which classifies abuse into various categories: physical, sexual, mental, emotional, and financial. Moreover, the Act specifies that abuse may occur in any setting. It requires professionals to report any apprehensions regarding the potential risk of abuse or neglect encountered by an adult</w:t>
            </w:r>
            <w:r w:rsidR="00124699">
              <w:rPr>
                <w:sz w:val="24"/>
                <w:szCs w:val="24"/>
              </w:rPr>
              <w:t xml:space="preserve">. </w:t>
            </w:r>
          </w:p>
          <w:p w14:paraId="23C58425" w14:textId="77777777" w:rsidR="00124699" w:rsidRDefault="00124699" w:rsidP="00410EA0">
            <w:pPr>
              <w:spacing w:line="360" w:lineRule="auto"/>
              <w:jc w:val="both"/>
              <w:rPr>
                <w:sz w:val="24"/>
                <w:szCs w:val="24"/>
              </w:rPr>
            </w:pPr>
          </w:p>
          <w:p w14:paraId="681D6DB5" w14:textId="526EE456" w:rsidR="00124699" w:rsidRDefault="00124699" w:rsidP="00410EA0">
            <w:pPr>
              <w:spacing w:line="360" w:lineRule="auto"/>
              <w:jc w:val="both"/>
              <w:rPr>
                <w:sz w:val="24"/>
                <w:szCs w:val="24"/>
              </w:rPr>
            </w:pPr>
            <w:r w:rsidRPr="00124699">
              <w:rPr>
                <w:sz w:val="24"/>
                <w:szCs w:val="24"/>
              </w:rPr>
              <w:t>The Social Service Well-being (Wales) Act 2014 defines an adult at risk as an individual who experiences or is susceptible to neglect or abuse, has care and support needs (regardless of whether the authority addresses those needs), and consequently is incapable of safeguarding themselves from such abuse or neglect or the associated risks. A practitioner can proactively protect an at-risk adult by early intervention, without waiting for actual abuse to occur</w:t>
            </w:r>
            <w:r w:rsidR="00B36669">
              <w:rPr>
                <w:sz w:val="24"/>
                <w:szCs w:val="24"/>
              </w:rPr>
              <w:t xml:space="preserve"> (SSWBWA, 2014).</w:t>
            </w:r>
          </w:p>
          <w:p w14:paraId="23CC1ADF" w14:textId="77777777" w:rsidR="007E2C0F" w:rsidRDefault="007E2C0F" w:rsidP="00410EA0">
            <w:pPr>
              <w:spacing w:line="360" w:lineRule="auto"/>
              <w:jc w:val="both"/>
              <w:rPr>
                <w:sz w:val="24"/>
                <w:szCs w:val="24"/>
              </w:rPr>
            </w:pPr>
          </w:p>
          <w:p w14:paraId="7CB697F0" w14:textId="388784AC" w:rsidR="00B36669" w:rsidRPr="00B7044B" w:rsidRDefault="00B7044B" w:rsidP="00410EA0">
            <w:pPr>
              <w:spacing w:line="360" w:lineRule="auto"/>
              <w:jc w:val="both"/>
              <w:rPr>
                <w:sz w:val="24"/>
                <w:szCs w:val="24"/>
              </w:rPr>
            </w:pPr>
            <w:r w:rsidRPr="00B7044B">
              <w:rPr>
                <w:sz w:val="24"/>
                <w:szCs w:val="24"/>
              </w:rPr>
              <w:t xml:space="preserve">The Social Services and Wellbeing Act 2014 was released to the public on April 6th, 2016. Section 7 of this legislation covers the responsibilities and obligations associated with ensuring the safety of both children and adults. In Volume 6 of Working Together to Safeguard People, </w:t>
            </w:r>
            <w:r w:rsidRPr="00B7044B">
              <w:rPr>
                <w:sz w:val="24"/>
                <w:szCs w:val="24"/>
              </w:rPr>
              <w:lastRenderedPageBreak/>
              <w:t>which is titled "Handling Individual Cases to Protect Adults at Risk," the author outlines the measures that must be taken and the obligations that must be fulfilled in order to ensure the safety of people who are at danger. This list, which is known as the Social Care Legislation in Wales Information and Learning Hub (2021), has just been updated to include the Wales Safeguarding Procedures.</w:t>
            </w:r>
          </w:p>
          <w:p w14:paraId="4DFCD4CC" w14:textId="77777777" w:rsidR="00B7044B" w:rsidRDefault="00B7044B" w:rsidP="00410EA0">
            <w:pPr>
              <w:spacing w:line="360" w:lineRule="auto"/>
              <w:jc w:val="both"/>
              <w:rPr>
                <w:sz w:val="36"/>
                <w:szCs w:val="36"/>
              </w:rPr>
            </w:pPr>
          </w:p>
          <w:p w14:paraId="0CB7FA16" w14:textId="1F3F6C2F" w:rsidR="00124699" w:rsidRDefault="006C428D" w:rsidP="00410EA0">
            <w:pPr>
              <w:spacing w:line="360" w:lineRule="auto"/>
              <w:jc w:val="both"/>
              <w:rPr>
                <w:sz w:val="24"/>
                <w:szCs w:val="24"/>
              </w:rPr>
            </w:pPr>
            <w:r w:rsidRPr="006C428D">
              <w:rPr>
                <w:sz w:val="24"/>
                <w:szCs w:val="24"/>
              </w:rPr>
              <w:t>Part 7 of the Social Services and Well-being (Wales) Act 2014 includes Safeguarding, establishing measures to protect vulnerable adults from abuse or neglect. Essential components encompass a mandate for local authorities to examine potential abuse, the capacity to get protection orders for premises accessibility and an obligation for statutory partners and service providers to disclose concerns regarding at-risk individuals. This Part additionally established National Independent Safeguarding Boards to provide support and counsel regarding the efficacy of safeguarding practices.</w:t>
            </w:r>
          </w:p>
          <w:p w14:paraId="0318E819" w14:textId="77777777" w:rsidR="00FC0334" w:rsidRDefault="00FC0334" w:rsidP="00410EA0">
            <w:pPr>
              <w:spacing w:line="360" w:lineRule="auto"/>
              <w:jc w:val="both"/>
              <w:rPr>
                <w:sz w:val="24"/>
                <w:szCs w:val="24"/>
              </w:rPr>
            </w:pPr>
          </w:p>
          <w:p w14:paraId="6D8CB8AF" w14:textId="49728198" w:rsidR="00FC0334" w:rsidRDefault="000C4BD0" w:rsidP="00410EA0">
            <w:pPr>
              <w:spacing w:line="360" w:lineRule="auto"/>
              <w:jc w:val="both"/>
              <w:rPr>
                <w:sz w:val="24"/>
                <w:szCs w:val="24"/>
              </w:rPr>
            </w:pPr>
            <w:r w:rsidRPr="000C4BD0">
              <w:rPr>
                <w:sz w:val="24"/>
                <w:szCs w:val="24"/>
              </w:rPr>
              <w:t>Local Authorities must investigate and determine if action is necessary if there is reasonable suspicion that an adult in their care is at risk, according to Section 126(2) of the Social Services and Wellbeing Act 2014 (National Independent Safeguarding Board Wales, 2021). The National Safeguarding Board was set up to do three main things: help and guide Safeguarding Boards, and make sure they function efficiently. They primarily assess whether the steps taken to protect children and adults in Wales are adequate and successful. They then provide the Minister suggestions on how to improve (National Independent Safeguarding Board Wales, 2021).</w:t>
            </w:r>
          </w:p>
          <w:p w14:paraId="4A95F4DB" w14:textId="77777777" w:rsidR="00FC0334" w:rsidRDefault="00FC0334" w:rsidP="00410EA0">
            <w:pPr>
              <w:spacing w:line="360" w:lineRule="auto"/>
              <w:jc w:val="both"/>
              <w:rPr>
                <w:sz w:val="24"/>
                <w:szCs w:val="24"/>
              </w:rPr>
            </w:pPr>
          </w:p>
          <w:p w14:paraId="75DF59E2" w14:textId="77777777" w:rsidR="00FC0334" w:rsidRDefault="00FC0334" w:rsidP="00410EA0">
            <w:pPr>
              <w:spacing w:line="360" w:lineRule="auto"/>
              <w:jc w:val="both"/>
              <w:rPr>
                <w:sz w:val="24"/>
                <w:szCs w:val="24"/>
              </w:rPr>
            </w:pPr>
          </w:p>
          <w:p w14:paraId="14883BA0" w14:textId="77777777" w:rsidR="00FC0334" w:rsidRDefault="00FC0334" w:rsidP="00410EA0">
            <w:pPr>
              <w:spacing w:line="360" w:lineRule="auto"/>
              <w:jc w:val="both"/>
              <w:rPr>
                <w:sz w:val="24"/>
                <w:szCs w:val="24"/>
              </w:rPr>
            </w:pPr>
          </w:p>
          <w:p w14:paraId="49641ACD" w14:textId="1CCFA534" w:rsidR="00FC0334" w:rsidRPr="00CA4633" w:rsidRDefault="00CA4633" w:rsidP="00FF7EBB">
            <w:pPr>
              <w:jc w:val="both"/>
              <w:rPr>
                <w:b/>
                <w:bCs/>
                <w:sz w:val="24"/>
                <w:szCs w:val="24"/>
              </w:rPr>
            </w:pPr>
            <w:r w:rsidRPr="00CA4633">
              <w:rPr>
                <w:b/>
                <w:bCs/>
                <w:sz w:val="24"/>
                <w:szCs w:val="24"/>
              </w:rPr>
              <w:t>Word count 462</w:t>
            </w: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4359136B" w:rsidR="00FC0334" w:rsidRPr="003971E9" w:rsidRDefault="003971E9" w:rsidP="00410EA0">
            <w:pPr>
              <w:spacing w:line="360" w:lineRule="auto"/>
              <w:jc w:val="both"/>
              <w:rPr>
                <w:sz w:val="36"/>
                <w:szCs w:val="36"/>
              </w:rPr>
            </w:pPr>
            <w:r w:rsidRPr="003971E9">
              <w:rPr>
                <w:sz w:val="24"/>
                <w:szCs w:val="24"/>
              </w:rPr>
              <w:t>Although there are similarities in safeguarding practices for children and adults, such as the fundamental principles of the SSWBA 2014 including voice and control, prevention and early intervention, well-being, co-production, and multi-agency collaboration, there are also important differences in the approaches to safeguarding adults and children</w:t>
            </w:r>
            <w:r w:rsidR="00410EA0">
              <w:rPr>
                <w:sz w:val="24"/>
                <w:szCs w:val="24"/>
              </w:rPr>
              <w:t xml:space="preserve"> (SSWBA(W), 2014)</w:t>
            </w:r>
            <w:r w:rsidRPr="003971E9">
              <w:rPr>
                <w:sz w:val="24"/>
                <w:szCs w:val="24"/>
              </w:rPr>
              <w:t>.</w:t>
            </w:r>
          </w:p>
          <w:p w14:paraId="6EFD9322" w14:textId="77777777" w:rsidR="000856EB" w:rsidRDefault="000856EB" w:rsidP="00410EA0">
            <w:pPr>
              <w:spacing w:line="360" w:lineRule="auto"/>
              <w:jc w:val="both"/>
              <w:rPr>
                <w:sz w:val="24"/>
                <w:szCs w:val="24"/>
              </w:rPr>
            </w:pPr>
          </w:p>
          <w:p w14:paraId="0F1FF39B" w14:textId="0D94D421" w:rsidR="00664455" w:rsidRDefault="000856EB" w:rsidP="00410EA0">
            <w:pPr>
              <w:spacing w:line="360" w:lineRule="auto"/>
              <w:jc w:val="both"/>
              <w:rPr>
                <w:sz w:val="24"/>
                <w:szCs w:val="24"/>
              </w:rPr>
            </w:pPr>
            <w:r w:rsidRPr="000856EB">
              <w:rPr>
                <w:sz w:val="24"/>
                <w:szCs w:val="24"/>
              </w:rPr>
              <w:t>First and foremost, adults have a right to autonomy, primarily in compliance with the Human Rights Act 1998 (SCIE, 2015). This may be overcome in particular situations where an adult is considered to lack capacity or has been restricted under the Mental Health Act 2005. Despite the situations mentioned above, adults are often capable of making their own choices, even when such decisions may be perceived as unwise by others.</w:t>
            </w:r>
          </w:p>
          <w:p w14:paraId="463C3079" w14:textId="77777777" w:rsidR="00494640" w:rsidRDefault="00494640" w:rsidP="00410EA0">
            <w:pPr>
              <w:spacing w:line="360" w:lineRule="auto"/>
              <w:jc w:val="both"/>
              <w:rPr>
                <w:sz w:val="24"/>
                <w:szCs w:val="24"/>
              </w:rPr>
            </w:pPr>
          </w:p>
          <w:p w14:paraId="4F09D022" w14:textId="21CD5373" w:rsidR="00664455" w:rsidRDefault="003E308D" w:rsidP="00410EA0">
            <w:pPr>
              <w:spacing w:line="360" w:lineRule="auto"/>
              <w:jc w:val="both"/>
              <w:rPr>
                <w:sz w:val="24"/>
                <w:szCs w:val="24"/>
              </w:rPr>
            </w:pPr>
            <w:r>
              <w:rPr>
                <w:sz w:val="24"/>
                <w:szCs w:val="24"/>
              </w:rPr>
              <w:t>W</w:t>
            </w:r>
            <w:r w:rsidR="002B0F71" w:rsidRPr="002B0F71">
              <w:rPr>
                <w:sz w:val="24"/>
                <w:szCs w:val="24"/>
              </w:rPr>
              <w:t xml:space="preserve">hen considering a child, it is evident that a child may not always exhibit the capacity to make informed choices regarding risk and implications of those actions. For instance, a young child lacks the capacity to make educated decisions regarding their safety and is entirely dependent on their parents or carers to fulfil their basic needs and ensure protection from danger and abuse. </w:t>
            </w:r>
            <w:r w:rsidR="00057F12">
              <w:rPr>
                <w:sz w:val="24"/>
                <w:szCs w:val="24"/>
              </w:rPr>
              <w:t>Fuethermo</w:t>
            </w:r>
            <w:r w:rsidR="002B0F71" w:rsidRPr="002B0F71">
              <w:rPr>
                <w:sz w:val="24"/>
                <w:szCs w:val="24"/>
              </w:rPr>
              <w:t>r</w:t>
            </w:r>
            <w:r w:rsidR="00057F12">
              <w:rPr>
                <w:sz w:val="24"/>
                <w:szCs w:val="24"/>
              </w:rPr>
              <w:t>e</w:t>
            </w:r>
            <w:r w:rsidR="002B0F71" w:rsidRPr="002B0F71">
              <w:rPr>
                <w:sz w:val="24"/>
                <w:szCs w:val="24"/>
              </w:rPr>
              <w:t>, social workers are obligated under the Children Act 1989 to intervene, usually through a Section 47, if there are concerns that a child is experiencing or is at risk of significant harm. According to Section 3 of the SSWBA, each anyone under the age of 18 is classified as a child (NSPCC, 2024)</w:t>
            </w:r>
            <w:r w:rsidR="00494640">
              <w:rPr>
                <w:sz w:val="24"/>
                <w:szCs w:val="24"/>
              </w:rPr>
              <w:t>.</w:t>
            </w:r>
          </w:p>
          <w:p w14:paraId="3EDED074" w14:textId="77777777" w:rsidR="000856EB" w:rsidRDefault="000856EB" w:rsidP="00410EA0">
            <w:pPr>
              <w:spacing w:line="360" w:lineRule="auto"/>
              <w:jc w:val="both"/>
              <w:rPr>
                <w:sz w:val="24"/>
                <w:szCs w:val="24"/>
              </w:rPr>
            </w:pPr>
          </w:p>
          <w:p w14:paraId="0B56C0FF" w14:textId="4C64B1DE" w:rsidR="007F2550" w:rsidRPr="007F2550" w:rsidRDefault="007F2550" w:rsidP="00410EA0">
            <w:pPr>
              <w:spacing w:line="360" w:lineRule="auto"/>
              <w:jc w:val="both"/>
              <w:rPr>
                <w:sz w:val="36"/>
                <w:szCs w:val="36"/>
              </w:rPr>
            </w:pPr>
            <w:r w:rsidRPr="007F2550">
              <w:rPr>
                <w:sz w:val="24"/>
                <w:szCs w:val="24"/>
              </w:rPr>
              <w:t xml:space="preserve">The Social Services Wellbeing (Wales) Act 2014 establishes a required obligation to investigate individuals deemed adults who are suspected to be at risk. It does not require a rapid reaction, in contrast to Section 47 of the Children Act 1989, which mandates that children deemed at risk be spoken to privately and that prompt safeguarding measures be implemented. The Children Act 1989 and the United Nations Convention on the Rights of the Child guarantee that children possess the right to protection. According to Article 8 of the </w:t>
            </w:r>
            <w:r w:rsidRPr="007F2550">
              <w:rPr>
                <w:sz w:val="24"/>
                <w:szCs w:val="24"/>
              </w:rPr>
              <w:lastRenderedPageBreak/>
              <w:t>Human Rights Act 1988, adults possess the right to a private and family life. The Children Act 1989 and the United Nations Convention on the Rights of the Child are paramount.</w:t>
            </w:r>
          </w:p>
          <w:p w14:paraId="478D2F84" w14:textId="77777777" w:rsidR="00FC0334" w:rsidRDefault="00FC0334" w:rsidP="00410EA0">
            <w:pPr>
              <w:spacing w:line="360" w:lineRule="auto"/>
              <w:jc w:val="both"/>
              <w:rPr>
                <w:sz w:val="24"/>
                <w:szCs w:val="24"/>
              </w:rPr>
            </w:pPr>
          </w:p>
          <w:p w14:paraId="0E64B386" w14:textId="0102AF2A" w:rsidR="00FC0334" w:rsidRPr="00F35319" w:rsidRDefault="00F35319" w:rsidP="00410EA0">
            <w:pPr>
              <w:spacing w:line="360" w:lineRule="auto"/>
              <w:jc w:val="both"/>
              <w:rPr>
                <w:sz w:val="36"/>
                <w:szCs w:val="36"/>
              </w:rPr>
            </w:pPr>
            <w:r>
              <w:rPr>
                <w:sz w:val="24"/>
                <w:szCs w:val="24"/>
              </w:rPr>
              <w:t>T</w:t>
            </w:r>
            <w:r w:rsidRPr="00F35319">
              <w:rPr>
                <w:sz w:val="24"/>
                <w:szCs w:val="24"/>
              </w:rPr>
              <w:t>he laws governing child and adult protection are distinct from one another. For adults, the Mental Capacity Act (2005) establishes the legal basis for state intervention, while for children, the Children's Act 1989 and the Social Services and Well-being (Wales) Act establish the legal basis for state intervention in cases where children are at risk.</w:t>
            </w:r>
            <w:r w:rsidR="00410EA0">
              <w:rPr>
                <w:sz w:val="24"/>
                <w:szCs w:val="24"/>
              </w:rPr>
              <w:t xml:space="preserve"> </w:t>
            </w:r>
          </w:p>
          <w:p w14:paraId="4847C39E" w14:textId="77777777" w:rsidR="00FC0334" w:rsidRDefault="00FC0334" w:rsidP="00410EA0">
            <w:pPr>
              <w:spacing w:line="360" w:lineRule="auto"/>
              <w:jc w:val="both"/>
              <w:rPr>
                <w:sz w:val="24"/>
                <w:szCs w:val="24"/>
              </w:rPr>
            </w:pPr>
          </w:p>
          <w:p w14:paraId="04285720" w14:textId="77777777" w:rsidR="00FC0334" w:rsidRDefault="00FC0334" w:rsidP="00FC0334">
            <w:pPr>
              <w:jc w:val="both"/>
              <w:rPr>
                <w:sz w:val="24"/>
                <w:szCs w:val="24"/>
              </w:rPr>
            </w:pPr>
          </w:p>
          <w:p w14:paraId="38AE6156" w14:textId="06205870" w:rsidR="00410EA0" w:rsidRPr="00410EA0" w:rsidRDefault="00127F35" w:rsidP="00410EA0">
            <w:pPr>
              <w:jc w:val="both"/>
              <w:rPr>
                <w:b/>
                <w:bCs/>
                <w:sz w:val="24"/>
                <w:szCs w:val="24"/>
              </w:rPr>
            </w:pPr>
            <w:r w:rsidRPr="00127F35">
              <w:rPr>
                <w:b/>
                <w:bCs/>
                <w:sz w:val="24"/>
                <w:szCs w:val="24"/>
              </w:rPr>
              <w:t>Word count 40</w:t>
            </w:r>
            <w:r w:rsidR="00410EA0">
              <w:rPr>
                <w:b/>
                <w:bCs/>
                <w:sz w:val="24"/>
                <w:szCs w:val="24"/>
              </w:rPr>
              <w:t>8</w:t>
            </w:r>
          </w:p>
          <w:p w14:paraId="181EBE17" w14:textId="77777777" w:rsidR="00410EA0" w:rsidRDefault="00410EA0"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62029309" w14:textId="77777777" w:rsidR="00410EA0" w:rsidRDefault="00410EA0" w:rsidP="00FC0334">
      <w:pPr>
        <w:rPr>
          <w:sz w:val="24"/>
          <w:szCs w:val="24"/>
        </w:rPr>
      </w:pPr>
    </w:p>
    <w:p w14:paraId="127D542A" w14:textId="77777777" w:rsidR="00410EA0" w:rsidRDefault="00410EA0" w:rsidP="00FC0334">
      <w:pPr>
        <w:rPr>
          <w:sz w:val="24"/>
          <w:szCs w:val="24"/>
        </w:rPr>
      </w:pPr>
    </w:p>
    <w:p w14:paraId="7D9530C8" w14:textId="77777777" w:rsidR="00410EA0" w:rsidRDefault="00410EA0" w:rsidP="00FC0334">
      <w:pPr>
        <w:rPr>
          <w:sz w:val="24"/>
          <w:szCs w:val="24"/>
        </w:rPr>
      </w:pPr>
    </w:p>
    <w:p w14:paraId="65F676A7" w14:textId="77777777" w:rsidR="00410EA0" w:rsidRDefault="00410EA0" w:rsidP="00FC0334">
      <w:pPr>
        <w:rPr>
          <w:sz w:val="24"/>
          <w:szCs w:val="24"/>
        </w:rPr>
      </w:pPr>
    </w:p>
    <w:sectPr w:rsidR="00410EA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A5A82" w14:textId="77777777" w:rsidR="0044304A" w:rsidRDefault="0044304A">
      <w:r>
        <w:separator/>
      </w:r>
    </w:p>
  </w:endnote>
  <w:endnote w:type="continuationSeparator" w:id="0">
    <w:p w14:paraId="34F7F62F" w14:textId="77777777" w:rsidR="0044304A" w:rsidRDefault="00443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094A1" w14:textId="77777777" w:rsidR="0044304A" w:rsidRDefault="0044304A">
      <w:r>
        <w:separator/>
      </w:r>
    </w:p>
  </w:footnote>
  <w:footnote w:type="continuationSeparator" w:id="0">
    <w:p w14:paraId="40DDBDF7" w14:textId="77777777" w:rsidR="0044304A" w:rsidRDefault="00443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368A"/>
    <w:rsid w:val="00045B87"/>
    <w:rsid w:val="00045C07"/>
    <w:rsid w:val="00045C40"/>
    <w:rsid w:val="00046861"/>
    <w:rsid w:val="00054A07"/>
    <w:rsid w:val="00055D43"/>
    <w:rsid w:val="00056FAC"/>
    <w:rsid w:val="00057751"/>
    <w:rsid w:val="00057F12"/>
    <w:rsid w:val="00062E39"/>
    <w:rsid w:val="00064063"/>
    <w:rsid w:val="0006581A"/>
    <w:rsid w:val="00074461"/>
    <w:rsid w:val="000766EC"/>
    <w:rsid w:val="00080E58"/>
    <w:rsid w:val="00083D99"/>
    <w:rsid w:val="00084DA6"/>
    <w:rsid w:val="00085699"/>
    <w:rsid w:val="000856EB"/>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BD0"/>
    <w:rsid w:val="000C6892"/>
    <w:rsid w:val="000C6FFE"/>
    <w:rsid w:val="000D0BB6"/>
    <w:rsid w:val="000D2ED2"/>
    <w:rsid w:val="000D6653"/>
    <w:rsid w:val="000E0D51"/>
    <w:rsid w:val="000E26B0"/>
    <w:rsid w:val="000E37C2"/>
    <w:rsid w:val="000E38C3"/>
    <w:rsid w:val="000F1599"/>
    <w:rsid w:val="000F1769"/>
    <w:rsid w:val="000F1A97"/>
    <w:rsid w:val="000F374C"/>
    <w:rsid w:val="000F42AE"/>
    <w:rsid w:val="000F6196"/>
    <w:rsid w:val="000F6BC3"/>
    <w:rsid w:val="0010312C"/>
    <w:rsid w:val="00105026"/>
    <w:rsid w:val="0010662B"/>
    <w:rsid w:val="00106DC7"/>
    <w:rsid w:val="00112391"/>
    <w:rsid w:val="00114F52"/>
    <w:rsid w:val="00124699"/>
    <w:rsid w:val="00127F35"/>
    <w:rsid w:val="00130119"/>
    <w:rsid w:val="00132812"/>
    <w:rsid w:val="001347F8"/>
    <w:rsid w:val="001359EE"/>
    <w:rsid w:val="00137BB5"/>
    <w:rsid w:val="00137E05"/>
    <w:rsid w:val="001447F6"/>
    <w:rsid w:val="00144D77"/>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0F71"/>
    <w:rsid w:val="002B1701"/>
    <w:rsid w:val="002B23C3"/>
    <w:rsid w:val="002B443A"/>
    <w:rsid w:val="002B5B35"/>
    <w:rsid w:val="002B7AEE"/>
    <w:rsid w:val="002C2536"/>
    <w:rsid w:val="002C256A"/>
    <w:rsid w:val="002C3031"/>
    <w:rsid w:val="002C4233"/>
    <w:rsid w:val="002C496D"/>
    <w:rsid w:val="002C4F14"/>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3669"/>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1E9"/>
    <w:rsid w:val="0039762B"/>
    <w:rsid w:val="003A0C37"/>
    <w:rsid w:val="003A1B6B"/>
    <w:rsid w:val="003A46C0"/>
    <w:rsid w:val="003A600E"/>
    <w:rsid w:val="003A6513"/>
    <w:rsid w:val="003A6ABD"/>
    <w:rsid w:val="003B16C7"/>
    <w:rsid w:val="003B3115"/>
    <w:rsid w:val="003C19F1"/>
    <w:rsid w:val="003C3C67"/>
    <w:rsid w:val="003C4186"/>
    <w:rsid w:val="003C6185"/>
    <w:rsid w:val="003D0D2D"/>
    <w:rsid w:val="003D1885"/>
    <w:rsid w:val="003D1BC0"/>
    <w:rsid w:val="003D20F1"/>
    <w:rsid w:val="003D4710"/>
    <w:rsid w:val="003E16D7"/>
    <w:rsid w:val="003E197E"/>
    <w:rsid w:val="003E308D"/>
    <w:rsid w:val="003E4B70"/>
    <w:rsid w:val="003E54CF"/>
    <w:rsid w:val="003E5FBA"/>
    <w:rsid w:val="003F1233"/>
    <w:rsid w:val="003F67A4"/>
    <w:rsid w:val="00400786"/>
    <w:rsid w:val="00401FDA"/>
    <w:rsid w:val="004046F0"/>
    <w:rsid w:val="0040668F"/>
    <w:rsid w:val="00410EA0"/>
    <w:rsid w:val="00411EF7"/>
    <w:rsid w:val="00412677"/>
    <w:rsid w:val="00425160"/>
    <w:rsid w:val="00430DE3"/>
    <w:rsid w:val="004348AE"/>
    <w:rsid w:val="004376C0"/>
    <w:rsid w:val="0044223A"/>
    <w:rsid w:val="0044304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4640"/>
    <w:rsid w:val="004968E2"/>
    <w:rsid w:val="004A2A49"/>
    <w:rsid w:val="004A5A64"/>
    <w:rsid w:val="004B5553"/>
    <w:rsid w:val="004B600B"/>
    <w:rsid w:val="004B6822"/>
    <w:rsid w:val="004B69F6"/>
    <w:rsid w:val="004C1BC3"/>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666"/>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668A"/>
    <w:rsid w:val="00646B3F"/>
    <w:rsid w:val="0065276E"/>
    <w:rsid w:val="00654329"/>
    <w:rsid w:val="00654CEC"/>
    <w:rsid w:val="00655507"/>
    <w:rsid w:val="006579FD"/>
    <w:rsid w:val="006635E3"/>
    <w:rsid w:val="00664455"/>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428D"/>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2C0F"/>
    <w:rsid w:val="007F10BD"/>
    <w:rsid w:val="007F2550"/>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3D76"/>
    <w:rsid w:val="00880539"/>
    <w:rsid w:val="008859E8"/>
    <w:rsid w:val="0088737B"/>
    <w:rsid w:val="00891078"/>
    <w:rsid w:val="00892716"/>
    <w:rsid w:val="00893067"/>
    <w:rsid w:val="008933DE"/>
    <w:rsid w:val="00895FCE"/>
    <w:rsid w:val="00897F3E"/>
    <w:rsid w:val="008A21B4"/>
    <w:rsid w:val="008A738B"/>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0D1"/>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68DF"/>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6F93"/>
    <w:rsid w:val="00A60103"/>
    <w:rsid w:val="00A652F6"/>
    <w:rsid w:val="00A65861"/>
    <w:rsid w:val="00A732EA"/>
    <w:rsid w:val="00A7489E"/>
    <w:rsid w:val="00A8015F"/>
    <w:rsid w:val="00A85039"/>
    <w:rsid w:val="00A854F7"/>
    <w:rsid w:val="00A906AA"/>
    <w:rsid w:val="00A94C5E"/>
    <w:rsid w:val="00AA252C"/>
    <w:rsid w:val="00AA666E"/>
    <w:rsid w:val="00AA7960"/>
    <w:rsid w:val="00AB44CE"/>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669"/>
    <w:rsid w:val="00B3747F"/>
    <w:rsid w:val="00B42E76"/>
    <w:rsid w:val="00B43194"/>
    <w:rsid w:val="00B436BF"/>
    <w:rsid w:val="00B47734"/>
    <w:rsid w:val="00B50FBA"/>
    <w:rsid w:val="00B558EB"/>
    <w:rsid w:val="00B577D3"/>
    <w:rsid w:val="00B60466"/>
    <w:rsid w:val="00B6548F"/>
    <w:rsid w:val="00B7044B"/>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0D9"/>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57A"/>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5BD"/>
    <w:rsid w:val="00C65921"/>
    <w:rsid w:val="00C7108B"/>
    <w:rsid w:val="00C75883"/>
    <w:rsid w:val="00C77FA5"/>
    <w:rsid w:val="00C8089F"/>
    <w:rsid w:val="00C835FE"/>
    <w:rsid w:val="00C836CC"/>
    <w:rsid w:val="00C852D6"/>
    <w:rsid w:val="00C87A74"/>
    <w:rsid w:val="00C92C71"/>
    <w:rsid w:val="00C93F8F"/>
    <w:rsid w:val="00C952F6"/>
    <w:rsid w:val="00CA0894"/>
    <w:rsid w:val="00CA3593"/>
    <w:rsid w:val="00CA463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400A"/>
    <w:rsid w:val="00E75911"/>
    <w:rsid w:val="00E7598F"/>
    <w:rsid w:val="00E76F60"/>
    <w:rsid w:val="00E812B5"/>
    <w:rsid w:val="00E83D90"/>
    <w:rsid w:val="00E83F91"/>
    <w:rsid w:val="00E86299"/>
    <w:rsid w:val="00E90696"/>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5319"/>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1Char">
    <w:name w:val="Heading 1 Char"/>
    <w:basedOn w:val="DefaultParagraphFont"/>
    <w:link w:val="Heading1"/>
    <w:uiPriority w:val="9"/>
    <w:rsid w:val="00410EA0"/>
    <w:rPr>
      <w:rFonts w:ascii="Arial" w:hAnsi="Arial" w:cs="Arial"/>
      <w:b/>
      <w:color w:val="000000"/>
      <w:kern w:val="28"/>
      <w:sz w:val="28"/>
    </w:rPr>
  </w:style>
  <w:style w:type="paragraph" w:styleId="Bibliography">
    <w:name w:val="Bibliography"/>
    <w:basedOn w:val="Normal"/>
    <w:next w:val="Normal"/>
    <w:uiPriority w:val="37"/>
    <w:unhideWhenUsed/>
    <w:rsid w:val="00410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28381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89074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428124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NSP24</b:Tag>
    <b:SourceType>InternetSite</b:SourceType>
    <b:Guid>{58BADD66-8E18-5843-A53D-18D3B56DAFD1}</b:Guid>
    <b:Title>NSPCC</b:Title>
    <b:Year>2024</b:Year>
    <b:Author>
      <b:Author>
        <b:NameList>
          <b:Person>
            <b:Last>NSPCC</b:Last>
          </b:Person>
        </b:NameList>
      </b:Author>
    </b:Author>
    <b:URL>https://www.nspcc.org.uk/</b:URL>
    <b:YearAccessed>2025</b:YearAccessed>
    <b:MonthAccessed>September</b:MonthAccessed>
    <b:DayAccessed>3</b:DayAccessed>
    <b:RefOrder>1</b:RefOrder>
  </b:Source>
  <b:Source>
    <b:Tag>Leg051</b:Tag>
    <b:SourceType>InternetSite</b:SourceType>
    <b:Guid>{C9532D90-E93C-D24F-A374-DD481BDC5266}</b:Guid>
    <b:Author>
      <b:Author>
        <b:NameList>
          <b:Person>
            <b:Last>Legislation.gov.uk</b:Last>
          </b:Person>
        </b:NameList>
      </b:Author>
    </b:Author>
    <b:Title>Mental Capacity Act </b:Title>
    <b:URL>https://www.legislation.gov.uk/ukpga/2005/9/contents</b:URL>
    <b:Year>2005</b:Year>
    <b:YearAccessed>2025</b:YearAccessed>
    <b:MonthAccessed>September</b:MonthAccessed>
    <b:DayAccessed>1</b:DayAccessed>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53A818-5F87-DB44-B094-736D73009011}">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Leanne Evans (Social Worker)</cp:lastModifiedBy>
  <cp:revision>3</cp:revision>
  <cp:lastPrinted>2020-02-11T19:20:00Z</cp:lastPrinted>
  <dcterms:created xsi:type="dcterms:W3CDTF">2025-10-05T22:16:00Z</dcterms:created>
  <dcterms:modified xsi:type="dcterms:W3CDTF">2025-10-08T00:10:00Z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