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B9885E9" w14:textId="79BC6FD7" w:rsidR="00C8066B" w:rsidRDefault="00A57200" w:rsidP="00A57200">
      <w:pPr>
        <w:jc w:val="center"/>
      </w:pPr>
      <w:bookmarkStart w:id="0" w:name="_GoBack"/>
      <w:bookmarkEnd w:id="0"/>
      <w:r>
        <w:rPr>
          <w:b/>
          <w:bCs/>
        </w:rPr>
        <w:t>Minoan Thalassocracy: Evidence of the Wall Paintings</w:t>
      </w:r>
    </w:p>
    <w:p w14:paraId="4D1B7DD2" w14:textId="32B6BEBA" w:rsidR="00A57200" w:rsidRDefault="00A57200" w:rsidP="00A57200">
      <w:pPr>
        <w:jc w:val="center"/>
      </w:pPr>
    </w:p>
    <w:p w14:paraId="2589BBE7" w14:textId="50C67528" w:rsidR="00A57200" w:rsidRDefault="00A57200" w:rsidP="00A57200">
      <w:r>
        <w:t>This workshop is designed to allow you to explore the impact (or otherwise) of Minoan culture throughout the southern Aegean during the Palatial period (MM IIIB-LM IA; 1700-1500 BC). This apparent spread of Minoan culture has been attributed to the establishment of Minoan colonies in the southern Levant</w:t>
      </w:r>
      <w:r w:rsidR="00B823D9">
        <w:t>. Alternatively, this might be attributed to economic interaction, or an international spirit (shared cultural milieu).</w:t>
      </w:r>
    </w:p>
    <w:p w14:paraId="68896582" w14:textId="57744856" w:rsidR="00924D62" w:rsidRPr="00924D62" w:rsidRDefault="00924D62" w:rsidP="00924D62">
      <w:pPr>
        <w:pStyle w:val="ListParagraph"/>
        <w:numPr>
          <w:ilvl w:val="0"/>
          <w:numId w:val="1"/>
        </w:numPr>
      </w:pPr>
      <w:r w:rsidRPr="00924D62">
        <w:rPr>
          <w:b/>
          <w:bCs/>
          <w:i/>
          <w:iCs/>
          <w:szCs w:val="24"/>
        </w:rPr>
        <w:t>Colony</w:t>
      </w:r>
      <w:r>
        <w:rPr>
          <w:szCs w:val="24"/>
        </w:rPr>
        <w:t xml:space="preserve"> (</w:t>
      </w:r>
      <w:proofErr w:type="spellStart"/>
      <w:r w:rsidRPr="0074620C">
        <w:rPr>
          <w:i/>
          <w:szCs w:val="24"/>
        </w:rPr>
        <w:t>apoikia</w:t>
      </w:r>
      <w:proofErr w:type="spellEnd"/>
      <w:r>
        <w:rPr>
          <w:iCs/>
          <w:szCs w:val="24"/>
        </w:rPr>
        <w:t>):</w:t>
      </w:r>
      <w:r w:rsidRPr="0074620C">
        <w:rPr>
          <w:szCs w:val="24"/>
        </w:rPr>
        <w:t xml:space="preserve"> settlement established by a community in alien territory which remains subject to its parent state</w:t>
      </w:r>
      <w:r>
        <w:rPr>
          <w:szCs w:val="24"/>
        </w:rPr>
        <w:t>;</w:t>
      </w:r>
    </w:p>
    <w:p w14:paraId="71B18E4E" w14:textId="2307F8DD" w:rsidR="00924D62" w:rsidRPr="00924D62" w:rsidRDefault="00924D62" w:rsidP="00924D62">
      <w:pPr>
        <w:pStyle w:val="ListParagraph"/>
        <w:numPr>
          <w:ilvl w:val="0"/>
          <w:numId w:val="1"/>
        </w:numPr>
      </w:pPr>
      <w:r w:rsidRPr="00924D62">
        <w:rPr>
          <w:b/>
          <w:bCs/>
          <w:i/>
          <w:iCs/>
          <w:szCs w:val="24"/>
        </w:rPr>
        <w:t>Merchant enclave</w:t>
      </w:r>
      <w:r>
        <w:rPr>
          <w:szCs w:val="24"/>
        </w:rPr>
        <w:t xml:space="preserve"> (</w:t>
      </w:r>
      <w:r w:rsidRPr="00924D62">
        <w:rPr>
          <w:i/>
          <w:szCs w:val="24"/>
        </w:rPr>
        <w:t>emporia</w:t>
      </w:r>
      <w:r>
        <w:rPr>
          <w:szCs w:val="24"/>
        </w:rPr>
        <w:t xml:space="preserve">): </w:t>
      </w:r>
      <w:r w:rsidRPr="0074620C">
        <w:rPr>
          <w:szCs w:val="24"/>
        </w:rPr>
        <w:t>group of merchants settled in an overseas trading station</w:t>
      </w:r>
      <w:r>
        <w:rPr>
          <w:szCs w:val="24"/>
        </w:rPr>
        <w:t>. R</w:t>
      </w:r>
      <w:r w:rsidRPr="0074620C">
        <w:rPr>
          <w:szCs w:val="24"/>
        </w:rPr>
        <w:t>esident within a foreign community and leave little trace of their own material culture</w:t>
      </w:r>
      <w:r>
        <w:rPr>
          <w:szCs w:val="24"/>
        </w:rPr>
        <w:t>;</w:t>
      </w:r>
    </w:p>
    <w:p w14:paraId="7DA6DFC4" w14:textId="634ED28A" w:rsidR="00924D62" w:rsidRPr="00924D62" w:rsidRDefault="00924D62" w:rsidP="00924D62">
      <w:pPr>
        <w:pStyle w:val="ListParagraph"/>
        <w:numPr>
          <w:ilvl w:val="0"/>
          <w:numId w:val="1"/>
        </w:numPr>
      </w:pPr>
      <w:r w:rsidRPr="00924D62">
        <w:rPr>
          <w:rFonts w:eastAsia="Calibri"/>
          <w:b/>
          <w:i/>
          <w:color w:val="000000" w:themeColor="text1"/>
          <w:szCs w:val="24"/>
        </w:rPr>
        <w:t>Ports of trade</w:t>
      </w:r>
      <w:r>
        <w:rPr>
          <w:rFonts w:eastAsia="Calibri"/>
          <w:bCs/>
          <w:iCs/>
          <w:color w:val="000000" w:themeColor="text1"/>
          <w:szCs w:val="24"/>
        </w:rPr>
        <w:t xml:space="preserve">: </w:t>
      </w:r>
      <w:r w:rsidRPr="0074620C">
        <w:rPr>
          <w:rFonts w:eastAsia="Calibri"/>
          <w:color w:val="000000" w:themeColor="text1"/>
          <w:szCs w:val="24"/>
        </w:rPr>
        <w:t xml:space="preserve">a space which represents the middle ground </w:t>
      </w:r>
      <w:r>
        <w:rPr>
          <w:rFonts w:eastAsia="Calibri"/>
          <w:color w:val="000000" w:themeColor="text1"/>
          <w:szCs w:val="24"/>
        </w:rPr>
        <w:t xml:space="preserve">(third space) </w:t>
      </w:r>
      <w:r w:rsidRPr="0074620C">
        <w:rPr>
          <w:rFonts w:eastAsia="Calibri"/>
          <w:color w:val="000000" w:themeColor="text1"/>
          <w:szCs w:val="24"/>
        </w:rPr>
        <w:t>and a place of cross-cultural exchange of goods, ideas, and a way of life</w:t>
      </w:r>
      <w:r>
        <w:rPr>
          <w:rFonts w:eastAsia="Calibri"/>
          <w:color w:val="000000" w:themeColor="text1"/>
          <w:szCs w:val="24"/>
        </w:rPr>
        <w:t>;</w:t>
      </w:r>
    </w:p>
    <w:p w14:paraId="61EFE141" w14:textId="383740D9" w:rsidR="00924D62" w:rsidRPr="00924D62" w:rsidRDefault="00924D62" w:rsidP="00924D62">
      <w:pPr>
        <w:pStyle w:val="ListParagraph"/>
        <w:numPr>
          <w:ilvl w:val="0"/>
          <w:numId w:val="1"/>
        </w:numPr>
      </w:pPr>
      <w:r w:rsidRPr="00924D62">
        <w:rPr>
          <w:b/>
          <w:i/>
          <w:szCs w:val="24"/>
        </w:rPr>
        <w:t>Middle ground</w:t>
      </w:r>
      <w:r>
        <w:rPr>
          <w:szCs w:val="24"/>
        </w:rPr>
        <w:t xml:space="preserve">: </w:t>
      </w:r>
      <w:r w:rsidRPr="0074620C">
        <w:rPr>
          <w:szCs w:val="24"/>
        </w:rPr>
        <w:t>a</w:t>
      </w:r>
      <w:r>
        <w:rPr>
          <w:szCs w:val="24"/>
        </w:rPr>
        <w:t xml:space="preserve"> culturally</w:t>
      </w:r>
      <w:r w:rsidRPr="0074620C">
        <w:rPr>
          <w:szCs w:val="24"/>
        </w:rPr>
        <w:t xml:space="preserve"> creative space in between people and cultures in which no one group is subordinate or predominant</w:t>
      </w:r>
      <w:r>
        <w:rPr>
          <w:szCs w:val="24"/>
        </w:rPr>
        <w:t xml:space="preserve"> (where we see hybridity);</w:t>
      </w:r>
    </w:p>
    <w:p w14:paraId="3ABF8E30" w14:textId="7D5468F8" w:rsidR="00924D62" w:rsidRPr="00924D62" w:rsidRDefault="00924D62" w:rsidP="00924D62">
      <w:pPr>
        <w:pStyle w:val="ListParagraph"/>
        <w:numPr>
          <w:ilvl w:val="0"/>
          <w:numId w:val="1"/>
        </w:numPr>
      </w:pPr>
      <w:r>
        <w:rPr>
          <w:b/>
          <w:i/>
          <w:szCs w:val="24"/>
        </w:rPr>
        <w:t>S</w:t>
      </w:r>
      <w:r w:rsidRPr="0074620C">
        <w:rPr>
          <w:b/>
          <w:i/>
          <w:szCs w:val="24"/>
        </w:rPr>
        <w:t>hared cultural milieu</w:t>
      </w:r>
      <w:r>
        <w:rPr>
          <w:szCs w:val="24"/>
        </w:rPr>
        <w:t>:</w:t>
      </w:r>
      <w:r w:rsidRPr="0074620C">
        <w:rPr>
          <w:szCs w:val="24"/>
        </w:rPr>
        <w:t xml:space="preserve"> contact between peoples with similar cultural values, social practices and material worlds</w:t>
      </w:r>
      <w:r>
        <w:rPr>
          <w:szCs w:val="24"/>
        </w:rPr>
        <w:t xml:space="preserve">; emphasis is on the elites, who </w:t>
      </w:r>
      <w:r w:rsidRPr="0074620C">
        <w:rPr>
          <w:szCs w:val="24"/>
        </w:rPr>
        <w:t xml:space="preserve">exploit </w:t>
      </w:r>
      <w:r>
        <w:rPr>
          <w:szCs w:val="24"/>
        </w:rPr>
        <w:t>this sphere of contact</w:t>
      </w:r>
      <w:r w:rsidRPr="0074620C">
        <w:rPr>
          <w:szCs w:val="24"/>
        </w:rPr>
        <w:t xml:space="preserve"> to acquire exclusive access to new forms of social and cultural </w:t>
      </w:r>
      <w:r>
        <w:rPr>
          <w:szCs w:val="24"/>
        </w:rPr>
        <w:t>capital.</w:t>
      </w:r>
    </w:p>
    <w:p w14:paraId="2A4BF12C" w14:textId="3D602F5A" w:rsidR="00924D62" w:rsidRDefault="00924D62" w:rsidP="00924D62"/>
    <w:p w14:paraId="65F0FC07" w14:textId="690178D3" w:rsidR="00924D62" w:rsidRDefault="00924D62" w:rsidP="00924D62">
      <w:r>
        <w:t xml:space="preserve">We will be focusing on wall paintings as evidence for cultural contact in the southern Aegean in the MBA-LBA. The emphasis will be Knossos, viewed as the centre of painted plaster production on Crete, and </w:t>
      </w:r>
      <w:proofErr w:type="spellStart"/>
      <w:r>
        <w:t>Akrotiri</w:t>
      </w:r>
      <w:proofErr w:type="spellEnd"/>
      <w:r>
        <w:t xml:space="preserve"> on Thera, which has the best preserved of the wall paintings. </w:t>
      </w:r>
    </w:p>
    <w:p w14:paraId="1CA8AC76" w14:textId="25E85C5F" w:rsidR="00DA7DB4" w:rsidRDefault="00DA7DB4" w:rsidP="00DA7DB4">
      <w:pPr>
        <w:pStyle w:val="ListParagraph"/>
        <w:numPr>
          <w:ilvl w:val="0"/>
          <w:numId w:val="2"/>
        </w:numPr>
      </w:pPr>
      <w:r>
        <w:t>Look first at the</w:t>
      </w:r>
      <w:r w:rsidR="00924D62">
        <w:t xml:space="preserve"> </w:t>
      </w:r>
      <w:proofErr w:type="spellStart"/>
      <w:r w:rsidR="00924D62">
        <w:t>Knossian</w:t>
      </w:r>
      <w:proofErr w:type="spellEnd"/>
      <w:r w:rsidR="00924D62">
        <w:t xml:space="preserve"> wall paintings </w:t>
      </w:r>
      <w:r>
        <w:t xml:space="preserve">to identify a basic Minoan wall painting style: think about the </w:t>
      </w:r>
      <w:r w:rsidR="00924D62">
        <w:t xml:space="preserve">use of the colour palette, </w:t>
      </w:r>
      <w:r>
        <w:t xml:space="preserve">the </w:t>
      </w:r>
      <w:r w:rsidR="00924D62">
        <w:t xml:space="preserve">iconography, </w:t>
      </w:r>
      <w:r>
        <w:t xml:space="preserve">and specific details of style. Write these up on your </w:t>
      </w:r>
      <w:proofErr w:type="spellStart"/>
      <w:r>
        <w:t>colourboard</w:t>
      </w:r>
      <w:proofErr w:type="spellEnd"/>
      <w:r>
        <w:t>.</w:t>
      </w:r>
    </w:p>
    <w:p w14:paraId="6E53A848" w14:textId="3C28C11D" w:rsidR="00924D62" w:rsidRDefault="00DA7DB4" w:rsidP="00DA7DB4">
      <w:pPr>
        <w:pStyle w:val="ListParagraph"/>
        <w:numPr>
          <w:ilvl w:val="0"/>
          <w:numId w:val="2"/>
        </w:numPr>
      </w:pPr>
      <w:r>
        <w:t xml:space="preserve">Look at the </w:t>
      </w:r>
      <w:proofErr w:type="spellStart"/>
      <w:r>
        <w:t>Theran</w:t>
      </w:r>
      <w:proofErr w:type="spellEnd"/>
      <w:r>
        <w:t xml:space="preserve"> wall paintings and highlight the key characteristics of this style.</w:t>
      </w:r>
    </w:p>
    <w:p w14:paraId="40393462" w14:textId="3A2A4FB7" w:rsidR="00DA7DB4" w:rsidRDefault="00DA7DB4" w:rsidP="00DA7DB4">
      <w:r>
        <w:t>Consider the following:</w:t>
      </w:r>
    </w:p>
    <w:p w14:paraId="02855A80" w14:textId="04430921" w:rsidR="00DA7DB4" w:rsidRDefault="00DA7DB4" w:rsidP="00DA7DB4">
      <w:pPr>
        <w:pStyle w:val="ListParagraph"/>
        <w:numPr>
          <w:ilvl w:val="0"/>
          <w:numId w:val="3"/>
        </w:numPr>
      </w:pPr>
      <w:r>
        <w:t xml:space="preserve">How do the </w:t>
      </w:r>
      <w:proofErr w:type="spellStart"/>
      <w:r>
        <w:t>Theran</w:t>
      </w:r>
      <w:proofErr w:type="spellEnd"/>
      <w:r>
        <w:t xml:space="preserve"> and </w:t>
      </w:r>
      <w:proofErr w:type="spellStart"/>
      <w:r>
        <w:t>Knossian</w:t>
      </w:r>
      <w:proofErr w:type="spellEnd"/>
      <w:r>
        <w:t xml:space="preserve"> wall paintings compare? Think about style, colour palette and iconography.</w:t>
      </w:r>
    </w:p>
    <w:p w14:paraId="2C9FBB94" w14:textId="3827096F" w:rsidR="00DA7DB4" w:rsidRDefault="00DA7DB4" w:rsidP="00DA7DB4">
      <w:pPr>
        <w:pStyle w:val="ListParagraph"/>
        <w:numPr>
          <w:ilvl w:val="0"/>
          <w:numId w:val="3"/>
        </w:numPr>
      </w:pPr>
      <w:r>
        <w:t>What, if any, do you think is the direction of influence?</w:t>
      </w:r>
    </w:p>
    <w:p w14:paraId="4CA1A943" w14:textId="7D669E5E" w:rsidR="00DA7DB4" w:rsidRDefault="00DA7DB4" w:rsidP="00DA7DB4"/>
    <w:p w14:paraId="64D68052" w14:textId="239D3838" w:rsidR="00DA7DB4" w:rsidRPr="00A57200" w:rsidRDefault="00DA7DB4" w:rsidP="00DA7DB4">
      <w:r>
        <w:t>What do these wall paintings tell us about culture contact in the southern Aegean? Can we fit this specific evidence into any of the models for culture contact outlined above? Which, if any, provides the best fit?</w:t>
      </w:r>
    </w:p>
    <w:sectPr w:rsidR="00DA7DB4" w:rsidRPr="00A572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4323A2"/>
    <w:multiLevelType w:val="hybridMultilevel"/>
    <w:tmpl w:val="F3106D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25574F7"/>
    <w:multiLevelType w:val="hybridMultilevel"/>
    <w:tmpl w:val="B22011D6"/>
    <w:lvl w:ilvl="0" w:tplc="08090019">
      <w:start w:val="1"/>
      <w:numFmt w:val="lowerLetter"/>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A072216"/>
    <w:multiLevelType w:val="hybridMultilevel"/>
    <w:tmpl w:val="C48A6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7200"/>
    <w:rsid w:val="001D2B83"/>
    <w:rsid w:val="00924D62"/>
    <w:rsid w:val="00A57200"/>
    <w:rsid w:val="00B823D9"/>
    <w:rsid w:val="00C8066B"/>
    <w:rsid w:val="00DA7DB4"/>
    <w:rsid w:val="00DC6B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6A008"/>
  <w15:chartTrackingRefBased/>
  <w15:docId w15:val="{FC1FF5FD-1A06-43FF-A469-0B3293244B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imes New Roman"/>
        <w:sz w:val="24"/>
        <w:szCs w:val="22"/>
        <w:lang w:val="en-GB" w:eastAsia="en-US" w:bidi="ar-SA"/>
      </w:rPr>
    </w:rPrDefault>
    <w:pPrDefault>
      <w:pPr>
        <w:spacing w:after="12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4D62"/>
    <w:pPr>
      <w:ind w:left="720"/>
      <w:contextualSpacing/>
    </w:pPr>
  </w:style>
  <w:style w:type="paragraph" w:styleId="BalloonText">
    <w:name w:val="Balloon Text"/>
    <w:basedOn w:val="Normal"/>
    <w:link w:val="BalloonTextChar"/>
    <w:uiPriority w:val="99"/>
    <w:semiHidden/>
    <w:unhideWhenUsed/>
    <w:rsid w:val="00DC6B1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6B1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344</Words>
  <Characters>1965</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Steel</dc:creator>
  <cp:keywords/>
  <dc:description/>
  <cp:lastModifiedBy>Louise Steel</cp:lastModifiedBy>
  <cp:revision>2</cp:revision>
  <cp:lastPrinted>2019-10-28T09:37:00Z</cp:lastPrinted>
  <dcterms:created xsi:type="dcterms:W3CDTF">2019-10-28T09:37:00Z</dcterms:created>
  <dcterms:modified xsi:type="dcterms:W3CDTF">2019-10-28T09:37:00Z</dcterms:modified>
</cp:coreProperties>
</file>