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B24329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82101">
              <w:rPr>
                <w:rFonts w:ascii="Times New Roman" w:hAnsi="Times New Roman" w:cs="Times New Roman"/>
                <w:b/>
                <w:color w:val="auto"/>
                <w:sz w:val="48"/>
              </w:rPr>
              <w:t>Rhian Wright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3E71CC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82101">
              <w:rPr>
                <w:rFonts w:ascii="Times New Roman" w:hAnsi="Times New Roman" w:cs="Times New Roman"/>
                <w:b/>
                <w:color w:val="auto"/>
                <w:sz w:val="48"/>
              </w:rPr>
              <w:t>R.Wright@npt.gov.uk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6070F0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9FADD94" w:rsidR="0085230E" w:rsidRPr="005D3F07" w:rsidRDefault="0074319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2432433</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63C39CE2" w14:textId="77777777" w:rsidR="00882101" w:rsidRDefault="00882101" w:rsidP="00882101">
            <w:pPr>
              <w:jc w:val="both"/>
              <w:rPr>
                <w:sz w:val="24"/>
                <w:szCs w:val="24"/>
              </w:rPr>
            </w:pPr>
            <w:r>
              <w:rPr>
                <w:sz w:val="24"/>
                <w:szCs w:val="24"/>
              </w:rPr>
              <w:t xml:space="preserve">. </w:t>
            </w:r>
          </w:p>
          <w:p w14:paraId="0F25CE6E" w14:textId="77777777" w:rsidR="00882101" w:rsidRPr="00DA0D9B" w:rsidRDefault="00882101" w:rsidP="00882101">
            <w:pPr>
              <w:spacing w:line="300" w:lineRule="atLeast"/>
              <w:jc w:val="both"/>
              <w:rPr>
                <w:sz w:val="24"/>
                <w:szCs w:val="24"/>
                <w:u w:val="single"/>
              </w:rPr>
            </w:pPr>
            <w:r w:rsidRPr="004F652E">
              <w:rPr>
                <w:b/>
                <w:bCs/>
                <w:sz w:val="24"/>
                <w:szCs w:val="24"/>
                <w:u w:val="single"/>
              </w:rPr>
              <w:t>Introduction</w:t>
            </w:r>
          </w:p>
          <w:p w14:paraId="386D0DFB" w14:textId="77777777" w:rsidR="00882101" w:rsidRPr="002D1BE8" w:rsidRDefault="00882101" w:rsidP="00882101">
            <w:pPr>
              <w:spacing w:line="300" w:lineRule="atLeast"/>
              <w:jc w:val="both"/>
              <w:rPr>
                <w:sz w:val="24"/>
                <w:szCs w:val="24"/>
              </w:rPr>
            </w:pPr>
          </w:p>
          <w:p w14:paraId="4ABE1C9E" w14:textId="77777777" w:rsidR="00882101" w:rsidRDefault="00882101" w:rsidP="00882101">
            <w:pPr>
              <w:spacing w:line="300" w:lineRule="atLeast"/>
              <w:jc w:val="both"/>
              <w:rPr>
                <w:sz w:val="24"/>
                <w:szCs w:val="24"/>
              </w:rPr>
            </w:pPr>
            <w:r w:rsidRPr="002D1BE8">
              <w:rPr>
                <w:sz w:val="24"/>
                <w:szCs w:val="24"/>
              </w:rPr>
              <w:t>Within my role as a Social Worker “I have a professional and statutory responsibility to safeguard individuals and their carers.” (Social Care Wales, 2017; Welsh Government, 2019; Social Services and Well</w:t>
            </w:r>
            <w:r w:rsidRPr="002D1BE8">
              <w:rPr>
                <w:rFonts w:ascii="Cambria Math" w:hAnsi="Cambria Math" w:cs="Cambria Math"/>
                <w:sz w:val="24"/>
                <w:szCs w:val="24"/>
              </w:rPr>
              <w:t>‑</w:t>
            </w:r>
            <w:r w:rsidRPr="002D1BE8">
              <w:rPr>
                <w:sz w:val="24"/>
                <w:szCs w:val="24"/>
              </w:rPr>
              <w:t xml:space="preserve">being (Wales) Act 2014, Part 7).  This task focuses on a complex safeguarding assessment based on an adult at risk of financial harm where mental disorder and impaired decision making intersect. In Wales, safeguarding is defined by Part 7 of the Social Services and Well-being (Wales) Act 2014 and is guided by the Wales Safeguarding Procedures. It is implemented through collaborative decision-making among different agencies, while also applying the Mental Capacity Act 2005 and the Mental Health Act 1983. Given the complexity of the case, I will demonstrate my application of legislation and policy, analysis in assessment, collaborative working, the ‘Active Offer’ within Wales, Europe and International legislation. The assessment undertaken with Individual 2 was a Mental Capacity Assessment to assess Capacity in relation to managing finances. There was subsequently a Best Interests meeting, resulting in a Court Deputy referral and interim safeguard measures. </w:t>
            </w:r>
          </w:p>
          <w:p w14:paraId="7A5CA958" w14:textId="77777777" w:rsidR="00882101" w:rsidRPr="004F652E" w:rsidRDefault="00882101" w:rsidP="00882101">
            <w:pPr>
              <w:spacing w:line="300" w:lineRule="atLeast"/>
              <w:jc w:val="both"/>
              <w:rPr>
                <w:sz w:val="24"/>
                <w:szCs w:val="24"/>
              </w:rPr>
            </w:pPr>
          </w:p>
          <w:p w14:paraId="4FD98DE7" w14:textId="77777777" w:rsidR="00882101" w:rsidRPr="00DA0D9B" w:rsidRDefault="00882101" w:rsidP="00882101">
            <w:pPr>
              <w:spacing w:line="300" w:lineRule="atLeast"/>
              <w:jc w:val="both"/>
              <w:rPr>
                <w:sz w:val="24"/>
                <w:szCs w:val="24"/>
                <w:u w:val="single"/>
              </w:rPr>
            </w:pPr>
            <w:r w:rsidRPr="004F652E">
              <w:rPr>
                <w:b/>
                <w:bCs/>
                <w:sz w:val="24"/>
                <w:szCs w:val="24"/>
                <w:u w:val="single"/>
              </w:rPr>
              <w:t>Case background &amp; safeguarding rationale</w:t>
            </w:r>
          </w:p>
          <w:p w14:paraId="6825B759" w14:textId="77777777" w:rsidR="00882101" w:rsidRPr="002D1BE8" w:rsidRDefault="00882101" w:rsidP="00882101">
            <w:pPr>
              <w:spacing w:line="300" w:lineRule="atLeast"/>
              <w:jc w:val="both"/>
              <w:rPr>
                <w:sz w:val="24"/>
                <w:szCs w:val="24"/>
              </w:rPr>
            </w:pPr>
          </w:p>
          <w:p w14:paraId="09F7C8C5" w14:textId="77777777" w:rsidR="00882101" w:rsidRDefault="00882101" w:rsidP="00882101">
            <w:pPr>
              <w:jc w:val="both"/>
              <w:rPr>
                <w:sz w:val="24"/>
                <w:szCs w:val="24"/>
              </w:rPr>
            </w:pPr>
            <w:r w:rsidRPr="002D1BE8">
              <w:rPr>
                <w:sz w:val="24"/>
                <w:szCs w:val="24"/>
              </w:rPr>
              <w:lastRenderedPageBreak/>
              <w:t xml:space="preserve">treatment-resistant schizophrenia and had historically resided in supported accommodation, independently managing their finances within the community. Under the Mental Capacity Act </w:t>
            </w:r>
            <w:r>
              <w:rPr>
                <w:sz w:val="24"/>
                <w:szCs w:val="24"/>
              </w:rPr>
              <w:t>(</w:t>
            </w:r>
            <w:r w:rsidRPr="002D1BE8">
              <w:rPr>
                <w:sz w:val="24"/>
                <w:szCs w:val="24"/>
              </w:rPr>
              <w:t>2005</w:t>
            </w:r>
            <w:r>
              <w:rPr>
                <w:sz w:val="24"/>
                <w:szCs w:val="24"/>
              </w:rPr>
              <w:t>)</w:t>
            </w:r>
            <w:r w:rsidRPr="002D1BE8">
              <w:rPr>
                <w:sz w:val="24"/>
                <w:szCs w:val="24"/>
              </w:rPr>
              <w:t xml:space="preserve">, social work practitioners are required to avoid making unjustified assumptions about a person’s ability to make financial decisions based on a long-term mental disorder. The Act makes clear that capacity is both decision-specific and time-specific. It explicitly states that a lack of capacity cannot be established solely by reference to a person’s condition or behaviour, preventing practitioners from concluding incapacity merely because of an enduring mental illness (Mental Capacity Act 2005, s.2(3)(b)). Furthermore, the presumption of </w:t>
            </w:r>
            <w:r>
              <w:rPr>
                <w:sz w:val="24"/>
                <w:szCs w:val="24"/>
              </w:rPr>
              <w:t>C</w:t>
            </w:r>
            <w:r w:rsidRPr="002D1BE8">
              <w:rPr>
                <w:sz w:val="24"/>
                <w:szCs w:val="24"/>
              </w:rPr>
              <w:t xml:space="preserve">apacity requires that adults be regarded as capable of making decisions unless clear evidence indicates otherwise. Practice guidance reiterates that professionals “cannot assume that an adult cannot make a decision for themselves if they have a particular illness or disability, mental or physical”, reinforcing that diagnosis alone is not a legitimate basis for concluding a lack of financial capacity (Circle Case Management, 2021). Elaborating further on the background of individual 2, they had a diagnosis of </w:t>
            </w:r>
          </w:p>
          <w:p w14:paraId="01DDF594" w14:textId="77777777" w:rsidR="00882101" w:rsidRDefault="00882101" w:rsidP="00882101">
            <w:pPr>
              <w:jc w:val="both"/>
              <w:rPr>
                <w:sz w:val="24"/>
                <w:szCs w:val="24"/>
              </w:rPr>
            </w:pPr>
            <w:r w:rsidRPr="002D1BE8">
              <w:rPr>
                <w:sz w:val="24"/>
                <w:szCs w:val="24"/>
              </w:rPr>
              <w:t>When individual 2 was detained under Section 3 of the Mental Health Act, the presumption around their ability to manage finances remained. However, individual 2 endured a prolonged period of hospitalisation, and due to treatment being less effective, presented with a new baseline surrounding their mental functioning. The supported accommodation provider for individual 2 alerted me that the individual had started to accrue significant rental arrears due to welfare benefits not being fully paid</w:t>
            </w:r>
            <w:r>
              <w:rPr>
                <w:sz w:val="24"/>
                <w:szCs w:val="24"/>
              </w:rPr>
              <w:t xml:space="preserve"> shortly after she was detained in hospital</w:t>
            </w:r>
            <w:r w:rsidRPr="002D1BE8">
              <w:rPr>
                <w:sz w:val="24"/>
                <w:szCs w:val="24"/>
              </w:rPr>
              <w:t>. This was because the individual did not engage with correspondence and phone calls from the Department of Work and Pensions.</w:t>
            </w:r>
            <w:r>
              <w:rPr>
                <w:sz w:val="24"/>
                <w:szCs w:val="24"/>
              </w:rPr>
              <w:t xml:space="preserve"> In addition, ward staff reported that during escorted leave, individual 2 was spending excessive amounts of money in sports shops and frequently ordering takeaway food via online delivery services for other patients.</w:t>
            </w:r>
            <w:r w:rsidRPr="00EA7374">
              <w:rPr>
                <w:sz w:val="24"/>
                <w:szCs w:val="24"/>
              </w:rPr>
              <w:t xml:space="preserve"> At the time, I realised I was beginning to assume this behaviour automatically suggested incapacity. On reflection, this assumption risked overlooking culturally normal, spontaneous or altruistic spending behaviours. Recognising this, I revisited the MCA requirement not to equate unusual spending with impaired decision</w:t>
            </w:r>
            <w:r w:rsidRPr="00EA7374">
              <w:rPr>
                <w:rFonts w:ascii="Cambria Math" w:hAnsi="Cambria Math" w:cs="Cambria Math"/>
                <w:sz w:val="24"/>
                <w:szCs w:val="24"/>
              </w:rPr>
              <w:t>‑</w:t>
            </w:r>
            <w:r w:rsidRPr="00EA7374">
              <w:rPr>
                <w:sz w:val="24"/>
                <w:szCs w:val="24"/>
              </w:rPr>
              <w:t xml:space="preserve">making and made a conscious effort to test whether the behaviour truly reflected an inability to use and weigh </w:t>
            </w:r>
            <w:r>
              <w:rPr>
                <w:sz w:val="24"/>
                <w:szCs w:val="24"/>
              </w:rPr>
              <w:t>information. I recognised the need to avoid assumptions about individual 2's capacity and instead sought insight through discussions during ward visits. I alerted individual 2 that she needed to contact the Department for Work and Pensions because she had missed out on payments. I was repeatedly met with refusal to engage in discussion with the individual, stating that she had wealthy relatives who would keep her bank account topped up and that she was due a lump sum as part of a tax rebate.</w:t>
            </w:r>
            <w:r w:rsidRPr="002A7B57">
              <w:t xml:space="preserve"> </w:t>
            </w:r>
            <w:r w:rsidRPr="002A7B57">
              <w:rPr>
                <w:sz w:val="24"/>
                <w:szCs w:val="24"/>
              </w:rPr>
              <w:t>Initially, I interpreted this as non</w:t>
            </w:r>
            <w:r w:rsidRPr="002A7B57">
              <w:rPr>
                <w:rFonts w:ascii="Cambria Math" w:hAnsi="Cambria Math" w:cs="Cambria Math"/>
                <w:sz w:val="24"/>
                <w:szCs w:val="24"/>
              </w:rPr>
              <w:t>‑</w:t>
            </w:r>
            <w:r w:rsidRPr="002A7B57">
              <w:rPr>
                <w:sz w:val="24"/>
                <w:szCs w:val="24"/>
              </w:rPr>
              <w:t xml:space="preserve">compliance; however, through reflection, I recognised </w:t>
            </w:r>
            <w:r>
              <w:rPr>
                <w:sz w:val="24"/>
                <w:szCs w:val="24"/>
              </w:rPr>
              <w:t>that this view may have been influenced by my own frustration at the escalating financial risks</w:t>
            </w:r>
            <w:r w:rsidRPr="002A7B57">
              <w:rPr>
                <w:sz w:val="24"/>
                <w:szCs w:val="24"/>
              </w:rPr>
              <w:t>. This insight helped me reframe her refusal through a trauma</w:t>
            </w:r>
            <w:r w:rsidRPr="002A7B57">
              <w:rPr>
                <w:rFonts w:ascii="Cambria Math" w:hAnsi="Cambria Math" w:cs="Cambria Math"/>
                <w:sz w:val="24"/>
                <w:szCs w:val="24"/>
              </w:rPr>
              <w:t>‑</w:t>
            </w:r>
            <w:r w:rsidRPr="002A7B57">
              <w:rPr>
                <w:sz w:val="24"/>
                <w:szCs w:val="24"/>
              </w:rPr>
              <w:t>informed perspective—recognising that avoidance might reflect fear, confusion or delusional beliefs rather than deliberate disengagement. This shift in interpretation helped me adapt my communication, reduce pressure, and test capacity more fairly.</w:t>
            </w:r>
            <w:r>
              <w:rPr>
                <w:sz w:val="24"/>
                <w:szCs w:val="24"/>
              </w:rPr>
              <w:t xml:space="preserve">  Given that delusional thoughts could be linked to the individual’s mental illness, I had reason to doubt the information and fact-checked with close family.</w:t>
            </w:r>
            <w:r w:rsidRPr="00F426EA">
              <w:t xml:space="preserve"> </w:t>
            </w:r>
            <w:r w:rsidRPr="00F426EA">
              <w:rPr>
                <w:sz w:val="24"/>
                <w:szCs w:val="24"/>
              </w:rPr>
              <w:t>When safeguarding concerns arise, social workers have an ethical duty to ensure that decisions are based on accurate and verified information, especially when an individual’s mental disorder may affect the reliability of the claims they make. This responsibility is grounded in the profession’s commitment to integrity and accuracy, as social workers are required to provide truthful, evidence</w:t>
            </w:r>
            <w:r w:rsidRPr="00F426EA">
              <w:rPr>
                <w:rFonts w:ascii="Cambria Math" w:hAnsi="Cambria Math" w:cs="Cambria Math"/>
                <w:sz w:val="24"/>
                <w:szCs w:val="24"/>
              </w:rPr>
              <w:t>‑</w:t>
            </w:r>
            <w:r w:rsidRPr="00F426EA">
              <w:rPr>
                <w:sz w:val="24"/>
                <w:szCs w:val="24"/>
              </w:rPr>
              <w:t xml:space="preserve">based accounts and avoid relying on unverified or </w:t>
            </w:r>
            <w:r w:rsidRPr="00F426EA">
              <w:rPr>
                <w:sz w:val="24"/>
                <w:szCs w:val="24"/>
              </w:rPr>
              <w:lastRenderedPageBreak/>
              <w:t>potentially distorted information. The expectation to scrutinise and fact</w:t>
            </w:r>
            <w:r w:rsidRPr="00F426EA">
              <w:rPr>
                <w:rFonts w:ascii="Cambria Math" w:hAnsi="Cambria Math" w:cs="Cambria Math"/>
                <w:sz w:val="24"/>
                <w:szCs w:val="24"/>
              </w:rPr>
              <w:t>‑</w:t>
            </w:r>
            <w:r w:rsidRPr="00F426EA">
              <w:rPr>
                <w:sz w:val="24"/>
                <w:szCs w:val="24"/>
              </w:rPr>
              <w:t>check information is highlighted in professional guidance, which notes that social workers must ensure that reports and assessments are not misleading, incomplete, or based on assumptions, underscoring the importance of validating information before acting upon it in safeguarding contexts (LegalClarity, 2025). Such verification is essential not only to uphold ethical standards but also to prevent unnecessary or harmful interventions triggered by information that may be inaccurate due to a person’s mental state</w:t>
            </w:r>
            <w:r>
              <w:rPr>
                <w:sz w:val="24"/>
                <w:szCs w:val="24"/>
              </w:rPr>
              <w:t xml:space="preserve">. </w:t>
            </w:r>
          </w:p>
          <w:p w14:paraId="3B22D13C" w14:textId="77777777" w:rsidR="00882101" w:rsidRDefault="00882101" w:rsidP="00882101">
            <w:pPr>
              <w:jc w:val="both"/>
              <w:rPr>
                <w:sz w:val="24"/>
                <w:szCs w:val="24"/>
              </w:rPr>
            </w:pPr>
            <w:r w:rsidRPr="00DC012C">
              <w:rPr>
                <w:sz w:val="24"/>
                <w:szCs w:val="24"/>
              </w:rPr>
              <w:t xml:space="preserve">Since the fact-checking in relation to individual </w:t>
            </w:r>
            <w:r>
              <w:rPr>
                <w:sz w:val="24"/>
                <w:szCs w:val="24"/>
              </w:rPr>
              <w:t>2</w:t>
            </w:r>
            <w:r w:rsidRPr="00DC012C">
              <w:rPr>
                <w:sz w:val="24"/>
                <w:szCs w:val="24"/>
              </w:rPr>
              <w:t xml:space="preserve"> concluded the information surrounding access to family finances to be inaccurate, I felt there was enough evidence to suggest that not only may they lack Capacity in relation to finances, but also it placed them at risk, since a lack of insight into finances could make them financially vulnerable and pose a risk of exploitation from others. Social workers have a statutory duty to safeguard adults who may be at risk of abuse or neglect, including financial harm. The Wales Safeguarding Procedures make clear that practitioners must follow a consistent national process to protect adults at risk and outline specific responsibilities for identifying, reporting, and responding to concerns, including financial exploitation (Safeguarding Wales, 2026).</w:t>
            </w:r>
            <w:r>
              <w:rPr>
                <w:sz w:val="24"/>
                <w:szCs w:val="24"/>
              </w:rPr>
              <w:t xml:space="preserve"> Although the level of potential exploitation of individual 2 was moderate due to being in a hospital ward setting, I had a duty to take a proactive and preventative approach. According to Gwent Safeguarding (2026),</w:t>
            </w:r>
            <w:r w:rsidRPr="005C139A">
              <w:rPr>
                <w:sz w:val="24"/>
                <w:szCs w:val="24"/>
              </w:rPr>
              <w:t xml:space="preserve"> “Early intervention should be offered to individuals whenever possible to prevent them from becoming an adult at risk”, reinforcing that prevention is a fundamental safeguarding responsibility across agencies, including social work practice.</w:t>
            </w:r>
          </w:p>
          <w:p w14:paraId="41C1B38E" w14:textId="77777777" w:rsidR="00882101" w:rsidRPr="00DA0D9B" w:rsidRDefault="00882101" w:rsidP="00882101">
            <w:pPr>
              <w:spacing w:line="300" w:lineRule="atLeast"/>
              <w:rPr>
                <w:sz w:val="24"/>
                <w:szCs w:val="24"/>
                <w:u w:val="single"/>
              </w:rPr>
            </w:pPr>
            <w:r w:rsidRPr="004F652E">
              <w:rPr>
                <w:b/>
                <w:bCs/>
                <w:sz w:val="24"/>
                <w:szCs w:val="24"/>
                <w:u w:val="single"/>
              </w:rPr>
              <w:t>Legal &amp; policy framework (Wales/UK/EU/International)</w:t>
            </w:r>
            <w:r w:rsidRPr="004F652E">
              <w:rPr>
                <w:sz w:val="24"/>
                <w:szCs w:val="24"/>
                <w:u w:val="single"/>
              </w:rPr>
              <w:t xml:space="preserve"> </w:t>
            </w:r>
          </w:p>
          <w:p w14:paraId="3F122760" w14:textId="77777777" w:rsidR="00882101" w:rsidRPr="0061600C" w:rsidRDefault="00882101" w:rsidP="00882101">
            <w:pPr>
              <w:spacing w:line="300" w:lineRule="atLeast"/>
              <w:rPr>
                <w:sz w:val="24"/>
                <w:szCs w:val="24"/>
              </w:rPr>
            </w:pPr>
          </w:p>
          <w:p w14:paraId="367D7115" w14:textId="77777777" w:rsidR="00882101" w:rsidRPr="00DA0D9B" w:rsidRDefault="00882101" w:rsidP="00882101">
            <w:pPr>
              <w:spacing w:line="300" w:lineRule="atLeast"/>
              <w:rPr>
                <w:b/>
                <w:bCs/>
                <w:sz w:val="24"/>
                <w:szCs w:val="24"/>
              </w:rPr>
            </w:pPr>
            <w:r w:rsidRPr="00DA0D9B">
              <w:rPr>
                <w:b/>
                <w:bCs/>
                <w:sz w:val="24"/>
                <w:szCs w:val="24"/>
              </w:rPr>
              <w:t>Social Services Wellbeing Wales Act 2014:</w:t>
            </w:r>
          </w:p>
          <w:p w14:paraId="0567F8FE" w14:textId="77777777" w:rsidR="00882101" w:rsidRDefault="00882101" w:rsidP="00882101">
            <w:pPr>
              <w:spacing w:line="300" w:lineRule="atLeast"/>
              <w:rPr>
                <w:rFonts w:ascii="Segoe UI" w:hAnsi="Segoe UI" w:cs="Segoe UI"/>
                <w:sz w:val="21"/>
                <w:szCs w:val="21"/>
              </w:rPr>
            </w:pPr>
          </w:p>
          <w:p w14:paraId="00C7CAE5" w14:textId="77777777" w:rsidR="00882101" w:rsidRDefault="00882101" w:rsidP="00882101">
            <w:pPr>
              <w:spacing w:line="300" w:lineRule="atLeast"/>
              <w:jc w:val="both"/>
              <w:rPr>
                <w:sz w:val="24"/>
                <w:szCs w:val="24"/>
              </w:rPr>
            </w:pPr>
            <w:r w:rsidRPr="0061600C">
              <w:rPr>
                <w:sz w:val="24"/>
                <w:szCs w:val="24"/>
              </w:rPr>
              <w:t xml:space="preserve">Under Part 7 of the Social Services Wellbeing (Wales) Act 2014, social workers and partnership agencies have a statutory responsibility to report, enquire and decide when concerns arise that an adult may be at risk (Welsh Government, 2016). In the case of individual 2, the enquiries I undertook were because of reports from other professionals, namely the supported accommodation care provider and the ward staff. The statutory guidance stipulates that there is a legal duty on all agencies, including NHS trusts, to cooperate in information sharing and to determine the level of risk. I had to make ongoing, persistent enquiries with the ward regarding potential safeguarding concerns related to finances for individual 2. Kirkpatrick (2024) explains that, due to operational pressures within the NHS, delays in recognising capacity issues can often lead to risks not being identified. The statutory guidance stipulates that the least restrictive measures should be considered when making safeguarding enquiries, with measures such as Adult Support Protection Orders to gain access to property, only being used proportionate to risk (Welsh Government, 2016). In the case of individual 2, as they were inpatient on the ward, this was not required and accessing their property to collect correspondence regarding welfare benefits was consented to by the individual.  Complementing these statutory duties, Working Together to Safeguard People: Volume 6 – Handling Individual Cases to Protect Adults at Risk provides operational guidance on thresholds, multi-agency coordination, case planning and decision making, describing the required sequence of reporting concerns, responding by initiating enquiries, </w:t>
            </w:r>
            <w:r w:rsidRPr="0061600C">
              <w:rPr>
                <w:sz w:val="24"/>
                <w:szCs w:val="24"/>
              </w:rPr>
              <w:lastRenderedPageBreak/>
              <w:t>analysing risks, and determining protective actions (Welsh Government, 2018).  Due to my concerns regarding safeguarding individual 2, I submitted an Adult at Risk report to the local authorities' safeguarding team, who confirmed the actions being undertaken were correct and proportionate to the risks presented. It was felt that the direct enquiry and decision-specific Mental Capacity assessment regarding the management of finances upheld the framework by carrying out a person-centred enquiry and risk analysis, including coordinating with ward staff and best interests’ decision-making (Welsh Government, 2018).</w:t>
            </w:r>
          </w:p>
          <w:p w14:paraId="0BBF6386" w14:textId="77777777" w:rsidR="00882101" w:rsidRDefault="00882101" w:rsidP="00882101">
            <w:pPr>
              <w:spacing w:line="300" w:lineRule="atLeast"/>
              <w:jc w:val="both"/>
              <w:rPr>
                <w:sz w:val="24"/>
                <w:szCs w:val="24"/>
              </w:rPr>
            </w:pPr>
          </w:p>
          <w:p w14:paraId="4859C53A" w14:textId="77777777" w:rsidR="00882101" w:rsidRDefault="00882101" w:rsidP="00882101">
            <w:pPr>
              <w:spacing w:line="300" w:lineRule="atLeast"/>
              <w:jc w:val="both"/>
              <w:rPr>
                <w:sz w:val="24"/>
                <w:szCs w:val="24"/>
              </w:rPr>
            </w:pPr>
          </w:p>
          <w:p w14:paraId="36F0143B" w14:textId="77777777" w:rsidR="00882101" w:rsidRDefault="00882101" w:rsidP="00882101">
            <w:pPr>
              <w:spacing w:line="300" w:lineRule="atLeast"/>
              <w:jc w:val="both"/>
              <w:rPr>
                <w:b/>
                <w:bCs/>
                <w:sz w:val="24"/>
                <w:szCs w:val="24"/>
              </w:rPr>
            </w:pPr>
          </w:p>
          <w:p w14:paraId="3344E89C" w14:textId="77777777" w:rsidR="00882101" w:rsidRDefault="00882101" w:rsidP="00882101">
            <w:pPr>
              <w:spacing w:line="300" w:lineRule="atLeast"/>
              <w:jc w:val="both"/>
              <w:rPr>
                <w:b/>
                <w:bCs/>
                <w:sz w:val="24"/>
                <w:szCs w:val="24"/>
              </w:rPr>
            </w:pPr>
          </w:p>
          <w:p w14:paraId="759C85F4" w14:textId="77777777" w:rsidR="00882101" w:rsidRPr="00DA0D9B" w:rsidRDefault="00882101" w:rsidP="00882101">
            <w:pPr>
              <w:spacing w:line="300" w:lineRule="atLeast"/>
              <w:jc w:val="both"/>
              <w:rPr>
                <w:b/>
                <w:bCs/>
                <w:sz w:val="24"/>
                <w:szCs w:val="24"/>
              </w:rPr>
            </w:pPr>
            <w:r w:rsidRPr="00DA0D9B">
              <w:rPr>
                <w:b/>
                <w:bCs/>
                <w:sz w:val="24"/>
                <w:szCs w:val="24"/>
              </w:rPr>
              <w:t>Mental Capacity Act 2005 (England &amp; Wales):</w:t>
            </w:r>
          </w:p>
          <w:p w14:paraId="10CBE751" w14:textId="77777777" w:rsidR="00882101" w:rsidRDefault="00882101" w:rsidP="00882101">
            <w:pPr>
              <w:spacing w:line="300" w:lineRule="atLeast"/>
              <w:jc w:val="both"/>
              <w:rPr>
                <w:sz w:val="24"/>
                <w:szCs w:val="24"/>
              </w:rPr>
            </w:pPr>
          </w:p>
          <w:p w14:paraId="7975C3B2" w14:textId="77777777" w:rsidR="00882101" w:rsidRPr="0061600C" w:rsidRDefault="00882101" w:rsidP="00882101">
            <w:pPr>
              <w:spacing w:line="300" w:lineRule="atLeast"/>
              <w:jc w:val="both"/>
              <w:rPr>
                <w:sz w:val="24"/>
                <w:szCs w:val="24"/>
              </w:rPr>
            </w:pPr>
            <w:r>
              <w:rPr>
                <w:sz w:val="24"/>
                <w:szCs w:val="24"/>
              </w:rPr>
              <w:t xml:space="preserve">I followed the core principles of the Mental Capacity Act when practising within the case of individual 2. I initially presumed Capacity in relation to finances, and when concerns were raised, I attempted to support decision-making by encouraging individual 2 to contact the Department for Work and Pensions and by highlighting the debt being accrued. Furthermore, these discussions were revisited several times to give the individual the best possible chance to demonstrate Capacity surrounding financial decision-making. </w:t>
            </w:r>
            <w:r w:rsidRPr="003D4269">
              <w:rPr>
                <w:sz w:val="24"/>
                <w:szCs w:val="24"/>
              </w:rPr>
              <w:t>I constructed a brief chronology collating ward reports, reports from supported accommodation, and DWP discussions, then triangulated this against family accounts. I tested alternative theories; characteristic spending with Capacity versus delusion</w:t>
            </w:r>
            <w:r w:rsidRPr="003D4269">
              <w:rPr>
                <w:rFonts w:ascii="Cambria Math" w:hAnsi="Cambria Math" w:cs="Cambria Math"/>
                <w:sz w:val="24"/>
                <w:szCs w:val="24"/>
              </w:rPr>
              <w:t>‑</w:t>
            </w:r>
            <w:r w:rsidRPr="003D4269">
              <w:rPr>
                <w:sz w:val="24"/>
                <w:szCs w:val="24"/>
              </w:rPr>
              <w:t>driven impaired use</w:t>
            </w:r>
            <w:r>
              <w:rPr>
                <w:sz w:val="24"/>
                <w:szCs w:val="24"/>
              </w:rPr>
              <w:t xml:space="preserve"> and </w:t>
            </w:r>
            <w:r w:rsidRPr="003D4269">
              <w:rPr>
                <w:sz w:val="24"/>
                <w:szCs w:val="24"/>
              </w:rPr>
              <w:t>weigh of information by revisiting the functional test on separate occasions and in different contexts. This iterative approach increased the reliability of my conclusion.</w:t>
            </w:r>
            <w:r>
              <w:rPr>
                <w:sz w:val="24"/>
                <w:szCs w:val="24"/>
              </w:rPr>
              <w:t xml:space="preserve"> I followed the</w:t>
            </w:r>
            <w:r w:rsidRPr="00AD5989">
              <w:rPr>
                <w:sz w:val="24"/>
                <w:szCs w:val="24"/>
              </w:rPr>
              <w:t xml:space="preserve"> two</w:t>
            </w:r>
            <w:r w:rsidRPr="00AD5989">
              <w:rPr>
                <w:rFonts w:ascii="Cambria Math" w:hAnsi="Cambria Math" w:cs="Cambria Math"/>
                <w:sz w:val="24"/>
                <w:szCs w:val="24"/>
              </w:rPr>
              <w:t>‑</w:t>
            </w:r>
            <w:r w:rsidRPr="00AD5989">
              <w:rPr>
                <w:sz w:val="24"/>
                <w:szCs w:val="24"/>
              </w:rPr>
              <w:t>stage tes</w:t>
            </w:r>
            <w:r>
              <w:rPr>
                <w:sz w:val="24"/>
                <w:szCs w:val="24"/>
              </w:rPr>
              <w:t xml:space="preserve">t, </w:t>
            </w:r>
            <w:r w:rsidRPr="00AD5989">
              <w:rPr>
                <w:sz w:val="24"/>
                <w:szCs w:val="24"/>
              </w:rPr>
              <w:t>first identifying an impairment of mind or brain and then showing that, because of that impairment, the person could not understand, retain, use</w:t>
            </w:r>
            <w:r>
              <w:rPr>
                <w:sz w:val="24"/>
                <w:szCs w:val="24"/>
              </w:rPr>
              <w:t>,</w:t>
            </w:r>
            <w:r w:rsidRPr="00AD5989">
              <w:rPr>
                <w:sz w:val="24"/>
                <w:szCs w:val="24"/>
              </w:rPr>
              <w:t xml:space="preserve"> weigh, or communicate the information relevant to a property</w:t>
            </w:r>
            <w:r w:rsidRPr="00AD5989">
              <w:rPr>
                <w:rFonts w:ascii="Cambria Math" w:hAnsi="Cambria Math" w:cs="Cambria Math"/>
                <w:sz w:val="24"/>
                <w:szCs w:val="24"/>
              </w:rPr>
              <w:t>‑</w:t>
            </w:r>
            <w:r w:rsidRPr="00AD5989">
              <w:rPr>
                <w:sz w:val="24"/>
                <w:szCs w:val="24"/>
              </w:rPr>
              <w:t>and</w:t>
            </w:r>
            <w:r w:rsidRPr="00AD5989">
              <w:rPr>
                <w:rFonts w:ascii="Cambria Math" w:hAnsi="Cambria Math" w:cs="Cambria Math"/>
                <w:sz w:val="24"/>
                <w:szCs w:val="24"/>
              </w:rPr>
              <w:t>‑</w:t>
            </w:r>
            <w:r w:rsidRPr="00AD5989">
              <w:rPr>
                <w:sz w:val="24"/>
                <w:szCs w:val="24"/>
              </w:rPr>
              <w:t>affairs decision (MCA 2005; Department for Constitutional Affairs, 2007).</w:t>
            </w:r>
            <w:r w:rsidRPr="00131B9E">
              <w:t xml:space="preserve"> </w:t>
            </w:r>
            <w:r w:rsidRPr="00131B9E">
              <w:rPr>
                <w:sz w:val="24"/>
                <w:szCs w:val="24"/>
              </w:rPr>
              <w:t xml:space="preserve">Having found that delusional beliefs surrounding rich relatives and a tax rebate had adversely impacted on </w:t>
            </w:r>
            <w:r>
              <w:rPr>
                <w:sz w:val="24"/>
                <w:szCs w:val="24"/>
              </w:rPr>
              <w:t>Individual 2</w:t>
            </w:r>
            <w:r w:rsidRPr="00131B9E">
              <w:rPr>
                <w:sz w:val="24"/>
                <w:szCs w:val="24"/>
              </w:rPr>
              <w:t>’s ability to use and weigh up information surrounding rent arrears and extensive spending, I completed a Section 4 Best Interests analysis to ensure I maximised the individual's participation, as well as considering past and present wishes and feelings. I also consulted with close family members, along with the Multi-Disciplinary Team, whilst selecting the least restrictive practicable option for the management of finances (MCA 2005, s.4; Department for Constitutional Affairs, 2007).</w:t>
            </w:r>
            <w:r w:rsidRPr="00FC46A1">
              <w:t xml:space="preserve"> </w:t>
            </w:r>
            <w:r w:rsidRPr="00FC46A1">
              <w:rPr>
                <w:sz w:val="24"/>
                <w:szCs w:val="24"/>
              </w:rPr>
              <w:t>In accordance with Welsh safeguarding standards that require organised and appropriate documentation, I recorded the rationale for the Best Interests decision and explained the temporary safeguards, such as retaining a bank card and setting a pre-approved budget for leave, as reasonable while awaiting arrangements from the Court of Protection (Welsh Government, 2019; Powys Mental Health, 2022).</w:t>
            </w:r>
          </w:p>
          <w:p w14:paraId="35E1897D" w14:textId="77777777" w:rsidR="00882101" w:rsidRDefault="00882101" w:rsidP="00882101">
            <w:pPr>
              <w:spacing w:line="300" w:lineRule="atLeast"/>
              <w:jc w:val="both"/>
              <w:rPr>
                <w:rFonts w:ascii="Segoe UI" w:hAnsi="Segoe UI" w:cs="Segoe UI"/>
                <w:sz w:val="21"/>
                <w:szCs w:val="21"/>
              </w:rPr>
            </w:pPr>
          </w:p>
          <w:p w14:paraId="286443C6" w14:textId="77777777" w:rsidR="00882101" w:rsidRDefault="00882101" w:rsidP="00882101">
            <w:pPr>
              <w:spacing w:line="300" w:lineRule="atLeast"/>
              <w:jc w:val="both"/>
              <w:rPr>
                <w:b/>
                <w:bCs/>
                <w:sz w:val="24"/>
                <w:szCs w:val="24"/>
              </w:rPr>
            </w:pPr>
            <w:r w:rsidRPr="008056D2">
              <w:rPr>
                <w:b/>
                <w:bCs/>
                <w:sz w:val="24"/>
                <w:szCs w:val="24"/>
              </w:rPr>
              <w:t>Court of Protection &amp; Office of the Public Guardian</w:t>
            </w:r>
          </w:p>
          <w:p w14:paraId="2988C1B9" w14:textId="77777777" w:rsidR="00882101" w:rsidRDefault="00882101" w:rsidP="00882101">
            <w:pPr>
              <w:spacing w:line="300" w:lineRule="atLeast"/>
              <w:jc w:val="both"/>
              <w:rPr>
                <w:b/>
                <w:bCs/>
                <w:sz w:val="24"/>
                <w:szCs w:val="24"/>
              </w:rPr>
            </w:pPr>
          </w:p>
          <w:p w14:paraId="7E7C91EC" w14:textId="77777777" w:rsidR="00882101" w:rsidRDefault="00882101" w:rsidP="00882101">
            <w:pPr>
              <w:spacing w:line="300" w:lineRule="atLeast"/>
              <w:jc w:val="both"/>
              <w:rPr>
                <w:sz w:val="24"/>
                <w:szCs w:val="24"/>
              </w:rPr>
            </w:pPr>
            <w:r>
              <w:rPr>
                <w:sz w:val="24"/>
                <w:szCs w:val="24"/>
              </w:rPr>
              <w:lastRenderedPageBreak/>
              <w:t xml:space="preserve">The outcome of the Best Interests meeting for individual 2 was to apply for a Court Deputy to manage finances, given that other options presented too many risks to the individual and their family. </w:t>
            </w:r>
            <w:r w:rsidRPr="000F6C5E">
              <w:rPr>
                <w:sz w:val="24"/>
                <w:szCs w:val="24"/>
              </w:rPr>
              <w:t>In Wales, where a person has been assessed as lacking capacity to manage their financial affairs, the Court of Protection can appoint a deputy and may do so by appointing the holder of a specified office—which enables a local authority officer to act as a court</w:t>
            </w:r>
            <w:r w:rsidRPr="000F6C5E">
              <w:rPr>
                <w:rFonts w:ascii="Cambria Math" w:hAnsi="Cambria Math" w:cs="Cambria Math"/>
                <w:sz w:val="24"/>
                <w:szCs w:val="24"/>
              </w:rPr>
              <w:t>‑</w:t>
            </w:r>
            <w:r w:rsidRPr="000F6C5E">
              <w:rPr>
                <w:sz w:val="24"/>
                <w:szCs w:val="24"/>
              </w:rPr>
              <w:t>appointed property and affairs deputy (Ministry of Justice, 2005, s. 19; Office of the Public Guardian, 2023a).  Public guidance confirms these arrangements apply in England and Wales (Office of the Public Guardian, 2023a).  Once appointed, the deputy is supervised by the Office of the Public Guardian and must meet the published Deputy Standards, including acting in the person’s best interests, robust financial management and sound financial record</w:t>
            </w:r>
            <w:r w:rsidRPr="000F6C5E">
              <w:rPr>
                <w:rFonts w:ascii="Cambria Math" w:hAnsi="Cambria Math" w:cs="Cambria Math"/>
                <w:sz w:val="24"/>
                <w:szCs w:val="24"/>
              </w:rPr>
              <w:t>‑</w:t>
            </w:r>
            <w:r w:rsidRPr="000F6C5E">
              <w:rPr>
                <w:sz w:val="24"/>
                <w:szCs w:val="24"/>
              </w:rPr>
              <w:t>keeping (Office of the Public Guardian, 2023b; Office of the Public Guardian, 2023a).  Furthermore, local authority deputies are expected to work transparently alongside social workers and wider partners, which sets out the practical scope of the local authority’s role when appointed as deputy (Office of the Public Guardian, 2023a)</w:t>
            </w:r>
            <w:r>
              <w:rPr>
                <w:sz w:val="24"/>
                <w:szCs w:val="24"/>
              </w:rPr>
              <w:t>.</w:t>
            </w:r>
          </w:p>
          <w:p w14:paraId="0BF70206" w14:textId="77777777" w:rsidR="00882101" w:rsidRDefault="00882101" w:rsidP="00882101">
            <w:pPr>
              <w:spacing w:line="300" w:lineRule="atLeast"/>
              <w:jc w:val="both"/>
              <w:rPr>
                <w:sz w:val="24"/>
                <w:szCs w:val="24"/>
              </w:rPr>
            </w:pPr>
          </w:p>
          <w:p w14:paraId="1E155A40" w14:textId="77777777" w:rsidR="00882101" w:rsidRDefault="00882101" w:rsidP="00882101">
            <w:pPr>
              <w:spacing w:line="300" w:lineRule="atLeast"/>
              <w:jc w:val="both"/>
              <w:rPr>
                <w:sz w:val="24"/>
                <w:szCs w:val="24"/>
              </w:rPr>
            </w:pPr>
            <w:r>
              <w:rPr>
                <w:sz w:val="24"/>
                <w:szCs w:val="24"/>
              </w:rPr>
              <w:t xml:space="preserve">For a Court Deputy to be appointed, I first had to make the necessary referral to the Court of Protection. </w:t>
            </w:r>
            <w:r w:rsidRPr="00BA1EEF">
              <w:rPr>
                <w:sz w:val="24"/>
                <w:szCs w:val="24"/>
              </w:rPr>
              <w:t xml:space="preserve">When submitting an application to the Court of Protection, the COP3 (Assessment of Capacity) must be lodged alongside the COP1, include up-to-date details, and is divided into two sections: Part A completed by the applicant detailing the decisions and the measures taken to facilitate decision-making and Part B filled out by a qualified assessor such as a medical professional or social worker who provides an independent perspective (HM Courts &amp; Tribunals Service, 2024; HM Courts &amp; Tribunals Service, 2026). </w:t>
            </w:r>
            <w:r>
              <w:rPr>
                <w:sz w:val="24"/>
                <w:szCs w:val="24"/>
              </w:rPr>
              <w:t>As the assessor for Individual 2, I was</w:t>
            </w:r>
            <w:r w:rsidRPr="00BA1EEF">
              <w:rPr>
                <w:sz w:val="24"/>
                <w:szCs w:val="24"/>
              </w:rPr>
              <w:t xml:space="preserve"> required to document decision-specific evidence in relation to the functional criteria, ensuring the form </w:t>
            </w:r>
            <w:r>
              <w:rPr>
                <w:sz w:val="24"/>
                <w:szCs w:val="24"/>
              </w:rPr>
              <w:t xml:space="preserve">was </w:t>
            </w:r>
            <w:r w:rsidRPr="00BA1EEF">
              <w:rPr>
                <w:sz w:val="24"/>
                <w:szCs w:val="24"/>
              </w:rPr>
              <w:t>fully completed and submitted as confidential court material (HM Courts &amp; Tribunals Service, 2024; Mental Capacity Act 2005, s. 3).</w:t>
            </w:r>
          </w:p>
          <w:p w14:paraId="34341A53" w14:textId="77777777" w:rsidR="00882101" w:rsidRDefault="00882101" w:rsidP="00882101">
            <w:pPr>
              <w:spacing w:line="300" w:lineRule="atLeast"/>
              <w:jc w:val="both"/>
              <w:rPr>
                <w:sz w:val="24"/>
                <w:szCs w:val="24"/>
              </w:rPr>
            </w:pPr>
          </w:p>
          <w:p w14:paraId="4DE2AA28" w14:textId="77777777" w:rsidR="00882101" w:rsidRPr="000F6C5E" w:rsidRDefault="00882101" w:rsidP="00882101">
            <w:pPr>
              <w:spacing w:line="300" w:lineRule="atLeast"/>
              <w:jc w:val="both"/>
              <w:rPr>
                <w:sz w:val="24"/>
                <w:szCs w:val="24"/>
              </w:rPr>
            </w:pPr>
            <w:r w:rsidRPr="00BD3E9F">
              <w:rPr>
                <w:sz w:val="24"/>
                <w:szCs w:val="24"/>
              </w:rPr>
              <w:t>Before pursuing deputyship, I</w:t>
            </w:r>
            <w:r>
              <w:rPr>
                <w:sz w:val="24"/>
                <w:szCs w:val="24"/>
              </w:rPr>
              <w:t xml:space="preserve"> considered less restrictive options, such as Department of Work and Pensions appointeeship, short</w:t>
            </w:r>
            <w:r>
              <w:rPr>
                <w:rFonts w:ascii="Cambria Math" w:hAnsi="Cambria Math" w:cs="Cambria Math"/>
                <w:sz w:val="24"/>
                <w:szCs w:val="24"/>
              </w:rPr>
              <w:t>‑</w:t>
            </w:r>
            <w:r>
              <w:rPr>
                <w:sz w:val="24"/>
                <w:szCs w:val="24"/>
              </w:rPr>
              <w:t>term budgeting support through</w:t>
            </w:r>
            <w:r w:rsidRPr="00BD3E9F">
              <w:rPr>
                <w:sz w:val="24"/>
                <w:szCs w:val="24"/>
              </w:rPr>
              <w:t xml:space="preserve"> care and treatment planning, and voluntary spending limits.</w:t>
            </w:r>
            <w:r>
              <w:rPr>
                <w:sz w:val="24"/>
                <w:szCs w:val="24"/>
              </w:rPr>
              <w:t xml:space="preserve"> However, these were rejected due to Individual 2’s persistent delusional content, which</w:t>
            </w:r>
            <w:r w:rsidRPr="00BD3E9F">
              <w:rPr>
                <w:sz w:val="24"/>
                <w:szCs w:val="24"/>
              </w:rPr>
              <w:t xml:space="preserve"> meant voluntary limits were not sustained </w:t>
            </w:r>
            <w:r>
              <w:rPr>
                <w:sz w:val="24"/>
                <w:szCs w:val="24"/>
              </w:rPr>
              <w:t>and were insufficient for addressing accrued rental arrears</w:t>
            </w:r>
            <w:r w:rsidRPr="00BD3E9F">
              <w:rPr>
                <w:sz w:val="24"/>
                <w:szCs w:val="24"/>
              </w:rPr>
              <w:t>. This analysis justified the proportionality of deputyship</w:t>
            </w:r>
          </w:p>
          <w:p w14:paraId="0BA6AFBA" w14:textId="77777777" w:rsidR="00882101" w:rsidRDefault="00882101" w:rsidP="00882101">
            <w:pPr>
              <w:spacing w:line="300" w:lineRule="atLeast"/>
              <w:jc w:val="both"/>
              <w:rPr>
                <w:rFonts w:ascii="Segoe UI" w:hAnsi="Segoe UI" w:cs="Segoe UI"/>
                <w:sz w:val="21"/>
                <w:szCs w:val="21"/>
              </w:rPr>
            </w:pPr>
          </w:p>
          <w:p w14:paraId="14B03B54" w14:textId="77777777" w:rsidR="00882101" w:rsidRDefault="00882101" w:rsidP="00882101">
            <w:pPr>
              <w:spacing w:line="300" w:lineRule="atLeast"/>
              <w:jc w:val="both"/>
              <w:rPr>
                <w:b/>
                <w:bCs/>
                <w:sz w:val="24"/>
                <w:szCs w:val="24"/>
              </w:rPr>
            </w:pPr>
            <w:r w:rsidRPr="009A774D">
              <w:rPr>
                <w:b/>
                <w:bCs/>
                <w:sz w:val="24"/>
                <w:szCs w:val="24"/>
              </w:rPr>
              <w:t>Mental Health Act 1983, s.117 after</w:t>
            </w:r>
            <w:r w:rsidRPr="009A774D">
              <w:rPr>
                <w:rFonts w:ascii="Cambria Math" w:hAnsi="Cambria Math" w:cs="Cambria Math"/>
                <w:b/>
                <w:bCs/>
                <w:sz w:val="24"/>
                <w:szCs w:val="24"/>
              </w:rPr>
              <w:t>‑</w:t>
            </w:r>
            <w:r w:rsidRPr="009A774D">
              <w:rPr>
                <w:b/>
                <w:bCs/>
                <w:sz w:val="24"/>
                <w:szCs w:val="24"/>
              </w:rPr>
              <w:t>care (England &amp; Wales)</w:t>
            </w:r>
            <w:r>
              <w:rPr>
                <w:b/>
                <w:bCs/>
                <w:sz w:val="24"/>
                <w:szCs w:val="24"/>
              </w:rPr>
              <w:t>/ Mental Health (Wales) Measure 2010</w:t>
            </w:r>
          </w:p>
          <w:p w14:paraId="47E0C74D" w14:textId="77777777" w:rsidR="00882101" w:rsidRDefault="00882101" w:rsidP="00882101">
            <w:pPr>
              <w:spacing w:line="300" w:lineRule="atLeast"/>
              <w:jc w:val="both"/>
              <w:rPr>
                <w:b/>
                <w:bCs/>
                <w:sz w:val="24"/>
                <w:szCs w:val="24"/>
              </w:rPr>
            </w:pPr>
          </w:p>
          <w:p w14:paraId="154AC13F" w14:textId="77777777" w:rsidR="00882101" w:rsidRDefault="00882101" w:rsidP="00882101">
            <w:pPr>
              <w:spacing w:line="300" w:lineRule="atLeast"/>
              <w:jc w:val="both"/>
              <w:rPr>
                <w:sz w:val="24"/>
                <w:szCs w:val="24"/>
              </w:rPr>
            </w:pPr>
            <w:r w:rsidRPr="000E3673">
              <w:rPr>
                <w:sz w:val="24"/>
                <w:szCs w:val="24"/>
              </w:rPr>
              <w:t>As care co</w:t>
            </w:r>
            <w:r w:rsidRPr="000E3673">
              <w:rPr>
                <w:rFonts w:ascii="Cambria Math" w:hAnsi="Cambria Math" w:cs="Cambria Math"/>
                <w:sz w:val="24"/>
                <w:szCs w:val="24"/>
              </w:rPr>
              <w:t>‑</w:t>
            </w:r>
            <w:r w:rsidRPr="000E3673">
              <w:rPr>
                <w:sz w:val="24"/>
                <w:szCs w:val="24"/>
              </w:rPr>
              <w:t>ordinator, I retain responsibility for forward discharge planning and for arranging section 117 after</w:t>
            </w:r>
            <w:r w:rsidRPr="000E3673">
              <w:rPr>
                <w:rFonts w:ascii="Cambria Math" w:hAnsi="Cambria Math" w:cs="Cambria Math"/>
                <w:sz w:val="24"/>
                <w:szCs w:val="24"/>
              </w:rPr>
              <w:t>‑</w:t>
            </w:r>
            <w:r w:rsidRPr="000E3673">
              <w:rPr>
                <w:sz w:val="24"/>
                <w:szCs w:val="24"/>
              </w:rPr>
              <w:t>care</w:t>
            </w:r>
            <w:r>
              <w:rPr>
                <w:sz w:val="24"/>
                <w:szCs w:val="24"/>
              </w:rPr>
              <w:t>.</w:t>
            </w:r>
            <w:r w:rsidRPr="000E3673">
              <w:rPr>
                <w:sz w:val="24"/>
                <w:szCs w:val="24"/>
              </w:rPr>
              <w:t xml:space="preserve"> </w:t>
            </w:r>
            <w:r>
              <w:rPr>
                <w:sz w:val="24"/>
                <w:szCs w:val="24"/>
              </w:rPr>
              <w:t>This</w:t>
            </w:r>
            <w:r w:rsidRPr="000E3673">
              <w:rPr>
                <w:sz w:val="24"/>
                <w:szCs w:val="24"/>
              </w:rPr>
              <w:t xml:space="preserve"> is a joint duty of the local authority and Local Health Board and remains </w:t>
            </w:r>
            <w:r>
              <w:rPr>
                <w:sz w:val="24"/>
                <w:szCs w:val="24"/>
              </w:rPr>
              <w:t>connected</w:t>
            </w:r>
            <w:r w:rsidRPr="000E3673">
              <w:rPr>
                <w:sz w:val="24"/>
                <w:szCs w:val="24"/>
              </w:rPr>
              <w:t xml:space="preserve"> to the person’s ordinary residence immediately before detention, rather than the physical location of any out</w:t>
            </w:r>
            <w:r w:rsidRPr="000E3673">
              <w:rPr>
                <w:rFonts w:ascii="Cambria Math" w:hAnsi="Cambria Math" w:cs="Cambria Math"/>
                <w:sz w:val="24"/>
                <w:szCs w:val="24"/>
              </w:rPr>
              <w:t>‑</w:t>
            </w:r>
            <w:r w:rsidRPr="000E3673">
              <w:rPr>
                <w:sz w:val="24"/>
                <w:szCs w:val="24"/>
              </w:rPr>
              <w:t>of</w:t>
            </w:r>
            <w:r w:rsidRPr="000E3673">
              <w:rPr>
                <w:rFonts w:ascii="Cambria Math" w:hAnsi="Cambria Math" w:cs="Cambria Math"/>
                <w:sz w:val="24"/>
                <w:szCs w:val="24"/>
              </w:rPr>
              <w:t>‑</w:t>
            </w:r>
            <w:r w:rsidRPr="000E3673">
              <w:rPr>
                <w:sz w:val="24"/>
                <w:szCs w:val="24"/>
              </w:rPr>
              <w:t>area hospital to which they were transferred</w:t>
            </w:r>
            <w:r>
              <w:rPr>
                <w:sz w:val="24"/>
                <w:szCs w:val="24"/>
              </w:rPr>
              <w:t>. Consequently</w:t>
            </w:r>
            <w:r w:rsidRPr="000E3673">
              <w:rPr>
                <w:sz w:val="24"/>
                <w:szCs w:val="24"/>
              </w:rPr>
              <w:t>, the Community Mental Health Team in my area must continue to lead and uphold s.117 after</w:t>
            </w:r>
            <w:r w:rsidRPr="000E3673">
              <w:rPr>
                <w:rFonts w:ascii="Cambria Math" w:hAnsi="Cambria Math" w:cs="Cambria Math"/>
                <w:sz w:val="24"/>
                <w:szCs w:val="24"/>
              </w:rPr>
              <w:t>‑</w:t>
            </w:r>
            <w:r w:rsidRPr="000E3673">
              <w:rPr>
                <w:sz w:val="24"/>
                <w:szCs w:val="24"/>
              </w:rPr>
              <w:t xml:space="preserve">care for Individual 2 (Mental Health Act 1983, s.117; Welsh Government, 2025; Clements, 2019).  To ensure </w:t>
            </w:r>
            <w:r>
              <w:rPr>
                <w:sz w:val="24"/>
                <w:szCs w:val="24"/>
              </w:rPr>
              <w:t xml:space="preserve">there is </w:t>
            </w:r>
            <w:r w:rsidRPr="000E3673">
              <w:rPr>
                <w:sz w:val="24"/>
                <w:szCs w:val="24"/>
              </w:rPr>
              <w:t>continuity</w:t>
            </w:r>
            <w:r>
              <w:rPr>
                <w:sz w:val="24"/>
                <w:szCs w:val="24"/>
              </w:rPr>
              <w:t xml:space="preserve">, </w:t>
            </w:r>
            <w:r w:rsidRPr="000E3673">
              <w:rPr>
                <w:sz w:val="24"/>
                <w:szCs w:val="24"/>
              </w:rPr>
              <w:t xml:space="preserve">including oversight of the Court of </w:t>
            </w:r>
            <w:r w:rsidRPr="000E3673">
              <w:rPr>
                <w:sz w:val="24"/>
                <w:szCs w:val="24"/>
              </w:rPr>
              <w:lastRenderedPageBreak/>
              <w:t>Protection</w:t>
            </w:r>
            <w:r>
              <w:rPr>
                <w:sz w:val="24"/>
                <w:szCs w:val="24"/>
              </w:rPr>
              <w:t xml:space="preserve"> </w:t>
            </w:r>
            <w:r w:rsidRPr="000E3673">
              <w:rPr>
                <w:sz w:val="24"/>
                <w:szCs w:val="24"/>
              </w:rPr>
              <w:t>deputyship</w:t>
            </w:r>
            <w:r>
              <w:rPr>
                <w:sz w:val="24"/>
                <w:szCs w:val="24"/>
              </w:rPr>
              <w:t xml:space="preserve">, </w:t>
            </w:r>
            <w:r w:rsidRPr="000E3673">
              <w:rPr>
                <w:sz w:val="24"/>
                <w:szCs w:val="24"/>
              </w:rPr>
              <w:t>these arrangements will be embedded in the Care and Treatment Plan (CTP) required by Part 2 of the Mental Health (Wales) Measure 2010, which mandates a named care co</w:t>
            </w:r>
            <w:r w:rsidRPr="000E3673">
              <w:rPr>
                <w:rFonts w:ascii="Cambria Math" w:hAnsi="Cambria Math" w:cs="Cambria Math"/>
                <w:sz w:val="24"/>
                <w:szCs w:val="24"/>
              </w:rPr>
              <w:t>‑</w:t>
            </w:r>
            <w:r w:rsidRPr="000E3673">
              <w:rPr>
                <w:sz w:val="24"/>
                <w:szCs w:val="24"/>
              </w:rPr>
              <w:t>ordinator, outcome</w:t>
            </w:r>
            <w:r w:rsidRPr="000E3673">
              <w:rPr>
                <w:rFonts w:ascii="Cambria Math" w:hAnsi="Cambria Math" w:cs="Cambria Math"/>
                <w:sz w:val="24"/>
                <w:szCs w:val="24"/>
              </w:rPr>
              <w:t>‑</w:t>
            </w:r>
            <w:r w:rsidRPr="000E3673">
              <w:rPr>
                <w:sz w:val="24"/>
                <w:szCs w:val="24"/>
              </w:rPr>
              <w:t>focused planning across key life domains, active service</w:t>
            </w:r>
            <w:r>
              <w:rPr>
                <w:rFonts w:ascii="Cambria Math" w:hAnsi="Cambria Math" w:cs="Cambria Math"/>
                <w:sz w:val="24"/>
                <w:szCs w:val="24"/>
              </w:rPr>
              <w:t xml:space="preserve"> </w:t>
            </w:r>
            <w:r w:rsidRPr="000E3673">
              <w:rPr>
                <w:sz w:val="24"/>
                <w:szCs w:val="24"/>
              </w:rPr>
              <w:t>user involvement and regular review</w:t>
            </w:r>
            <w:r>
              <w:rPr>
                <w:sz w:val="24"/>
                <w:szCs w:val="24"/>
              </w:rPr>
              <w:t>.</w:t>
            </w:r>
            <w:r w:rsidRPr="000E3673">
              <w:rPr>
                <w:sz w:val="24"/>
                <w:szCs w:val="24"/>
              </w:rPr>
              <w:t xml:space="preserve"> </w:t>
            </w:r>
            <w:r>
              <w:rPr>
                <w:sz w:val="24"/>
                <w:szCs w:val="24"/>
              </w:rPr>
              <w:t>The</w:t>
            </w:r>
            <w:r w:rsidRPr="000E3673">
              <w:rPr>
                <w:sz w:val="24"/>
                <w:szCs w:val="24"/>
              </w:rPr>
              <w:t xml:space="preserve"> Code of Practice to Parts 2 and 3 further emphasises coordination and explicitly signposts the relationship between CTP reviews and s.117 after</w:t>
            </w:r>
            <w:r w:rsidRPr="000E3673">
              <w:rPr>
                <w:rFonts w:ascii="Cambria Math" w:hAnsi="Cambria Math" w:cs="Cambria Math"/>
                <w:sz w:val="24"/>
                <w:szCs w:val="24"/>
              </w:rPr>
              <w:t>‑</w:t>
            </w:r>
            <w:r w:rsidRPr="000E3673">
              <w:rPr>
                <w:sz w:val="24"/>
                <w:szCs w:val="24"/>
              </w:rPr>
              <w:t xml:space="preserve">care, enabling a balance </w:t>
            </w:r>
            <w:r>
              <w:rPr>
                <w:sz w:val="24"/>
                <w:szCs w:val="24"/>
              </w:rPr>
              <w:t>between safeguarding and autonomy,</w:t>
            </w:r>
            <w:r w:rsidRPr="000E3673">
              <w:rPr>
                <w:sz w:val="24"/>
                <w:szCs w:val="24"/>
              </w:rPr>
              <w:t xml:space="preserve"> and the “what matters” priorities identified by the individual (Mental Health (Wales) Measure 2010; Welsh Government, 2012)</w:t>
            </w:r>
            <w:r>
              <w:rPr>
                <w:sz w:val="24"/>
                <w:szCs w:val="24"/>
              </w:rPr>
              <w:t>.</w:t>
            </w:r>
          </w:p>
          <w:p w14:paraId="6FE4536B" w14:textId="77777777" w:rsidR="00882101" w:rsidRDefault="00882101" w:rsidP="00882101">
            <w:pPr>
              <w:spacing w:line="300" w:lineRule="atLeast"/>
              <w:jc w:val="both"/>
              <w:rPr>
                <w:sz w:val="24"/>
                <w:szCs w:val="24"/>
              </w:rPr>
            </w:pPr>
          </w:p>
          <w:p w14:paraId="25611F4B" w14:textId="77777777" w:rsidR="00882101" w:rsidRDefault="00882101" w:rsidP="00882101">
            <w:pPr>
              <w:spacing w:line="300" w:lineRule="atLeast"/>
              <w:jc w:val="both"/>
              <w:rPr>
                <w:b/>
                <w:bCs/>
                <w:sz w:val="24"/>
                <w:szCs w:val="24"/>
              </w:rPr>
            </w:pPr>
            <w:r w:rsidRPr="00EE5136">
              <w:rPr>
                <w:b/>
                <w:bCs/>
                <w:sz w:val="24"/>
                <w:szCs w:val="24"/>
              </w:rPr>
              <w:t>Welsh Language Provision</w:t>
            </w:r>
          </w:p>
          <w:p w14:paraId="19FA379F" w14:textId="77777777" w:rsidR="00882101" w:rsidRDefault="00882101" w:rsidP="00882101">
            <w:pPr>
              <w:spacing w:line="300" w:lineRule="atLeast"/>
              <w:jc w:val="both"/>
              <w:rPr>
                <w:b/>
                <w:bCs/>
                <w:sz w:val="24"/>
                <w:szCs w:val="24"/>
              </w:rPr>
            </w:pPr>
          </w:p>
          <w:p w14:paraId="2F348B28" w14:textId="77777777" w:rsidR="00882101" w:rsidRPr="008357C1" w:rsidRDefault="00882101" w:rsidP="00882101">
            <w:pPr>
              <w:spacing w:line="300" w:lineRule="atLeast"/>
              <w:jc w:val="both"/>
              <w:rPr>
                <w:sz w:val="24"/>
                <w:szCs w:val="24"/>
              </w:rPr>
            </w:pPr>
            <w:r w:rsidRPr="008357C1">
              <w:rPr>
                <w:sz w:val="24"/>
                <w:szCs w:val="24"/>
              </w:rPr>
              <w:t>In Wales, social work practice is shaped by clear legislative duties requiring that the Welsh language be treated no less favourably than English, as established by the Welsh Language (Wales) Measure 2011, which grants Welsh official legal status and imposes statutory language standards on public bodies, including social care providers (Welsh Language (Wales) Measure 2011, 2011). These duties are reinforced by national policy guidance such as More than Just Words, which emphasises that Welsh</w:t>
            </w:r>
            <w:r w:rsidRPr="008357C1">
              <w:rPr>
                <w:rFonts w:ascii="Cambria Math" w:hAnsi="Cambria Math" w:cs="Cambria Math"/>
                <w:sz w:val="24"/>
                <w:szCs w:val="24"/>
              </w:rPr>
              <w:t>‑</w:t>
            </w:r>
            <w:r w:rsidRPr="008357C1">
              <w:rPr>
                <w:sz w:val="24"/>
                <w:szCs w:val="24"/>
              </w:rPr>
              <w:t>medium provision is a matter of need, not preference, and that services must proactively offer Welsh without placing the burden on service users to request it (Social Care Wales, 2025). Together, this legislation and policy framework require social workers to ensure that Welsh speakers can access services in their language of choice as a core component of dignity, rights and high</w:t>
            </w:r>
            <w:r w:rsidRPr="008357C1">
              <w:rPr>
                <w:rFonts w:ascii="Cambria Math" w:hAnsi="Cambria Math" w:cs="Cambria Math"/>
                <w:sz w:val="24"/>
                <w:szCs w:val="24"/>
              </w:rPr>
              <w:t>‑</w:t>
            </w:r>
            <w:r w:rsidRPr="008357C1">
              <w:rPr>
                <w:sz w:val="24"/>
                <w:szCs w:val="24"/>
              </w:rPr>
              <w:t>quality care. It was established in my initial meeting with individual 2</w:t>
            </w:r>
            <w:r>
              <w:rPr>
                <w:sz w:val="24"/>
                <w:szCs w:val="24"/>
              </w:rPr>
              <w:t xml:space="preserve"> that their first language was English, with only some knowledge of Welsh; therefore, all interactions were conducted in their preferred language, which is particularly important when an individual is in crisis</w:t>
            </w:r>
            <w:r w:rsidRPr="008357C1">
              <w:rPr>
                <w:sz w:val="24"/>
                <w:szCs w:val="24"/>
              </w:rPr>
              <w:t>. Gregory and Holloway (2005) argue that language is not merely a tool for conveying information but a central component of social work practice that shapes the meaning, clarity and emotional resonance of interactions, particularly when individuals are distressed and may struggle to articulate their experience.</w:t>
            </w:r>
          </w:p>
          <w:p w14:paraId="0DCB4072" w14:textId="77777777" w:rsidR="00882101" w:rsidRPr="008357C1" w:rsidRDefault="00882101" w:rsidP="00882101">
            <w:pPr>
              <w:spacing w:line="300" w:lineRule="atLeast"/>
              <w:jc w:val="both"/>
              <w:rPr>
                <w:sz w:val="24"/>
                <w:szCs w:val="24"/>
              </w:rPr>
            </w:pPr>
          </w:p>
          <w:p w14:paraId="497410C2" w14:textId="77777777" w:rsidR="00882101" w:rsidRDefault="00882101" w:rsidP="00882101">
            <w:pPr>
              <w:tabs>
                <w:tab w:val="left" w:pos="7366"/>
              </w:tabs>
              <w:spacing w:line="300" w:lineRule="atLeast"/>
              <w:jc w:val="both"/>
              <w:rPr>
                <w:sz w:val="24"/>
                <w:szCs w:val="24"/>
              </w:rPr>
            </w:pPr>
            <w:r>
              <w:rPr>
                <w:sz w:val="24"/>
                <w:szCs w:val="24"/>
              </w:rPr>
              <w:tab/>
            </w:r>
          </w:p>
          <w:p w14:paraId="04B3B6ED" w14:textId="77777777" w:rsidR="00882101" w:rsidRDefault="00882101" w:rsidP="00882101">
            <w:pPr>
              <w:spacing w:line="300" w:lineRule="atLeast"/>
              <w:jc w:val="both"/>
              <w:rPr>
                <w:b/>
                <w:bCs/>
                <w:sz w:val="24"/>
                <w:szCs w:val="24"/>
              </w:rPr>
            </w:pPr>
            <w:r>
              <w:rPr>
                <w:b/>
                <w:bCs/>
                <w:sz w:val="24"/>
                <w:szCs w:val="24"/>
              </w:rPr>
              <w:t>Wider Legislation (Not Wales Specific)</w:t>
            </w:r>
          </w:p>
          <w:p w14:paraId="7D7D4A68" w14:textId="77777777" w:rsidR="00882101" w:rsidRDefault="00882101" w:rsidP="00882101">
            <w:pPr>
              <w:spacing w:line="300" w:lineRule="atLeast"/>
              <w:jc w:val="both"/>
              <w:rPr>
                <w:b/>
                <w:bCs/>
                <w:sz w:val="24"/>
                <w:szCs w:val="24"/>
              </w:rPr>
            </w:pPr>
          </w:p>
          <w:p w14:paraId="4A9C6D58" w14:textId="77777777" w:rsidR="00882101" w:rsidRPr="003436C5" w:rsidRDefault="00882101" w:rsidP="00882101">
            <w:pPr>
              <w:spacing w:line="300" w:lineRule="atLeast"/>
              <w:jc w:val="both"/>
              <w:rPr>
                <w:sz w:val="24"/>
                <w:szCs w:val="24"/>
              </w:rPr>
            </w:pPr>
            <w:r w:rsidRPr="003436C5">
              <w:rPr>
                <w:sz w:val="24"/>
                <w:szCs w:val="24"/>
              </w:rPr>
              <w:t>In placing restrictions on Individual 2’s spending through temporary card holding and pre</w:t>
            </w:r>
            <w:r w:rsidRPr="003436C5">
              <w:rPr>
                <w:rFonts w:ascii="Cambria Math" w:hAnsi="Cambria Math" w:cs="Cambria Math"/>
                <w:sz w:val="24"/>
                <w:szCs w:val="24"/>
              </w:rPr>
              <w:t>‑</w:t>
            </w:r>
            <w:r w:rsidRPr="003436C5">
              <w:rPr>
                <w:sz w:val="24"/>
                <w:szCs w:val="24"/>
              </w:rPr>
              <w:t>agreed budgets, I engaged with Article 8 of the European Convention on Human Rights (ECHR), which stipulates that individuals have the right to respect for their private life (European Convention on Human Rights, 2025).  Furthermore, Article 1 of Protocol No. 1 states that individuals are entitled to the peaceful enjoyment of their possessions (Council of Europe, 2025).  Therefore, the measures put in place could constitute a potential interference with rights. However, such interference may be permissible if it is in accordance with the law, pursues a legitimate aim, and is necessary and proportionate.</w:t>
            </w:r>
            <w:r>
              <w:rPr>
                <w:sz w:val="24"/>
                <w:szCs w:val="24"/>
              </w:rPr>
              <w:t xml:space="preserve"> </w:t>
            </w:r>
            <w:r w:rsidRPr="00C87334">
              <w:rPr>
                <w:sz w:val="24"/>
                <w:szCs w:val="24"/>
              </w:rPr>
              <w:t>This was evidenced through the MCA 2005 s.4 Best Interests process carried out for Individual 2 (Mental Capacity Act 2005, s.4). The process used the least restrictive reasoning and included a planned review to restore autonomy when safe to do so (Department for Constitutional Affairs, 2007, ch. 5).</w:t>
            </w:r>
          </w:p>
          <w:p w14:paraId="6E1BA2A8" w14:textId="77777777" w:rsidR="00882101" w:rsidRDefault="00882101" w:rsidP="00882101">
            <w:pPr>
              <w:spacing w:line="300" w:lineRule="atLeast"/>
              <w:jc w:val="both"/>
              <w:rPr>
                <w:b/>
                <w:bCs/>
                <w:sz w:val="24"/>
                <w:szCs w:val="24"/>
              </w:rPr>
            </w:pPr>
          </w:p>
          <w:p w14:paraId="353BF121" w14:textId="77777777" w:rsidR="00882101" w:rsidRDefault="00882101" w:rsidP="00882101">
            <w:pPr>
              <w:spacing w:line="300" w:lineRule="atLeast"/>
              <w:jc w:val="both"/>
              <w:rPr>
                <w:sz w:val="24"/>
                <w:szCs w:val="24"/>
              </w:rPr>
            </w:pPr>
            <w:r w:rsidRPr="00A227B2">
              <w:rPr>
                <w:sz w:val="24"/>
                <w:szCs w:val="24"/>
              </w:rPr>
              <w:t>According to the I</w:t>
            </w:r>
            <w:r>
              <w:rPr>
                <w:sz w:val="24"/>
                <w:szCs w:val="24"/>
              </w:rPr>
              <w:t>nformation Commissioner's Office (IC</w:t>
            </w:r>
            <w:r w:rsidRPr="00A227B2">
              <w:rPr>
                <w:sz w:val="24"/>
                <w:szCs w:val="24"/>
              </w:rPr>
              <w:t>O</w:t>
            </w:r>
            <w:r>
              <w:rPr>
                <w:sz w:val="24"/>
                <w:szCs w:val="24"/>
              </w:rPr>
              <w:t>)</w:t>
            </w:r>
            <w:r w:rsidRPr="00A227B2">
              <w:rPr>
                <w:sz w:val="24"/>
                <w:szCs w:val="24"/>
              </w:rPr>
              <w:t xml:space="preserve">, all personal data processed on behalf of </w:t>
            </w:r>
            <w:r>
              <w:rPr>
                <w:sz w:val="24"/>
                <w:szCs w:val="24"/>
              </w:rPr>
              <w:t xml:space="preserve">a person lacking Capacity must comply with the </w:t>
            </w:r>
            <w:r w:rsidRPr="00A227B2">
              <w:rPr>
                <w:sz w:val="24"/>
                <w:szCs w:val="24"/>
              </w:rPr>
              <w:t>UK GDPR principles (Information Commissioner’s Office, 2025).</w:t>
            </w:r>
            <w:r>
              <w:rPr>
                <w:sz w:val="24"/>
                <w:szCs w:val="24"/>
              </w:rPr>
              <w:t xml:space="preserve"> Furthermore, SpeakCase (2025) highlights how GDPR is intrinsic in all social work practice due to the daily handling of sensitive data. Individual 2 was kept informed throughout the assessment and safeguarding process, with full transparency over how information gathered would be recorded and used, along with assurances of confidentiality. I did, however, make it clear how information proportionate to risk could be shared with other agencies. </w:t>
            </w:r>
            <w:r w:rsidRPr="00F357E8">
              <w:rPr>
                <w:sz w:val="24"/>
                <w:szCs w:val="24"/>
              </w:rPr>
              <w:t xml:space="preserve">The </w:t>
            </w:r>
            <w:r>
              <w:rPr>
                <w:sz w:val="24"/>
                <w:szCs w:val="24"/>
              </w:rPr>
              <w:t>Welsh Government's guidance on protecting adults indicates that the GDPR and the Data Protection Act 2018 do not obstruct</w:t>
            </w:r>
            <w:r w:rsidRPr="00F357E8">
              <w:rPr>
                <w:sz w:val="24"/>
                <w:szCs w:val="24"/>
              </w:rPr>
              <w:t xml:space="preserve"> appropriate information sharing. Practitioners are encouraged to exchange information when it is essential to avert harm, making sure that the information shared is necessary, proportionate, relevant, accurate, timely, and secure. </w:t>
            </w:r>
            <w:r>
              <w:rPr>
                <w:sz w:val="24"/>
                <w:szCs w:val="24"/>
              </w:rPr>
              <w:t xml:space="preserve">(Welsh Government, 2016). </w:t>
            </w:r>
          </w:p>
          <w:p w14:paraId="579E609E" w14:textId="77777777" w:rsidR="00882101" w:rsidRDefault="00882101" w:rsidP="00882101">
            <w:pPr>
              <w:spacing w:line="300" w:lineRule="atLeast"/>
              <w:jc w:val="both"/>
              <w:rPr>
                <w:sz w:val="24"/>
                <w:szCs w:val="24"/>
              </w:rPr>
            </w:pPr>
          </w:p>
          <w:p w14:paraId="71ED813C" w14:textId="77777777" w:rsidR="00882101" w:rsidRDefault="00882101" w:rsidP="00882101">
            <w:pPr>
              <w:spacing w:line="300" w:lineRule="atLeast"/>
              <w:jc w:val="both"/>
              <w:rPr>
                <w:sz w:val="24"/>
                <w:szCs w:val="24"/>
              </w:rPr>
            </w:pPr>
            <w:r w:rsidRPr="005351AD">
              <w:rPr>
                <w:sz w:val="24"/>
                <w:szCs w:val="24"/>
              </w:rPr>
              <w:t xml:space="preserve">When considering the restrictions placed on Individual 2, there must be a balance between keeping an individual safe and promoting autonomy. In recognition of the United Nations Convention on the Rights of Persons with Disabilities (UNCRPD), an automatic assumption about Capacity would equate to disability, and failing to support the individual in making their own decisions would violate their human rights (United Nations, 2025). Applying this to individual 2’s situation, the measures that restrict financial autonomy must be balanced with the responsibility to support decision-making and uphold their rights to participate in choices about their own lives. Consequently, Capacity should be reviewed regularly </w:t>
            </w:r>
            <w:r>
              <w:rPr>
                <w:sz w:val="24"/>
                <w:szCs w:val="24"/>
              </w:rPr>
              <w:t>to</w:t>
            </w:r>
            <w:r w:rsidRPr="005351AD">
              <w:rPr>
                <w:sz w:val="24"/>
                <w:szCs w:val="24"/>
              </w:rPr>
              <w:t xml:space="preserve"> ensure that Individual 2 has access to a personal budget whilst under court deputy, as well as a clear pathway to make any additional financial requests for consideration.</w:t>
            </w:r>
          </w:p>
          <w:p w14:paraId="3F83D3F5" w14:textId="77777777" w:rsidR="00882101" w:rsidRDefault="00882101" w:rsidP="00882101">
            <w:pPr>
              <w:spacing w:line="300" w:lineRule="atLeast"/>
              <w:jc w:val="both"/>
              <w:rPr>
                <w:sz w:val="24"/>
                <w:szCs w:val="24"/>
              </w:rPr>
            </w:pPr>
          </w:p>
          <w:p w14:paraId="3F672CE7" w14:textId="77777777" w:rsidR="00882101" w:rsidRPr="006A45C0" w:rsidRDefault="00882101" w:rsidP="00882101">
            <w:pPr>
              <w:spacing w:line="300" w:lineRule="atLeast"/>
              <w:jc w:val="both"/>
              <w:rPr>
                <w:b/>
                <w:bCs/>
                <w:sz w:val="24"/>
                <w:szCs w:val="24"/>
              </w:rPr>
            </w:pPr>
            <w:r w:rsidRPr="006A45C0">
              <w:rPr>
                <w:b/>
                <w:bCs/>
                <w:sz w:val="24"/>
                <w:szCs w:val="24"/>
              </w:rPr>
              <w:t>Methods &amp; Theories</w:t>
            </w:r>
          </w:p>
          <w:p w14:paraId="74327E05" w14:textId="77777777" w:rsidR="00882101" w:rsidRDefault="00882101" w:rsidP="00882101">
            <w:pPr>
              <w:spacing w:line="300" w:lineRule="atLeast"/>
              <w:jc w:val="both"/>
              <w:rPr>
                <w:b/>
                <w:bCs/>
                <w:sz w:val="24"/>
                <w:szCs w:val="24"/>
              </w:rPr>
            </w:pPr>
          </w:p>
          <w:p w14:paraId="5019796E" w14:textId="77777777" w:rsidR="00882101" w:rsidRPr="006E5C22" w:rsidRDefault="00882101" w:rsidP="00882101">
            <w:pPr>
              <w:spacing w:line="300" w:lineRule="atLeast"/>
              <w:jc w:val="both"/>
              <w:rPr>
                <w:b/>
                <w:bCs/>
                <w:sz w:val="24"/>
                <w:szCs w:val="24"/>
              </w:rPr>
            </w:pPr>
          </w:p>
          <w:p w14:paraId="7C545549" w14:textId="77777777" w:rsidR="00882101" w:rsidRDefault="00882101" w:rsidP="00882101">
            <w:pPr>
              <w:spacing w:line="300" w:lineRule="atLeast"/>
              <w:jc w:val="both"/>
              <w:rPr>
                <w:sz w:val="24"/>
                <w:szCs w:val="24"/>
              </w:rPr>
            </w:pPr>
            <w:r w:rsidRPr="006E5C22">
              <w:rPr>
                <w:sz w:val="24"/>
                <w:szCs w:val="24"/>
              </w:rPr>
              <w:t>Individual 2 had a long history of trauma that included repeated detention in psychiatric wards, exploitation of vulnerability and physical injuries sustained during periods of psychosis. Subsequently, a trauma-informed approach prompted me to prioritise psychological safety and transparent reasoning when suggesting interim financial restrictions. Rather than treating refusal to contact the DWP as non-compliance, I reframed it as linked to prior and current psychosis related experiences. For example, I considered that the individual may be feeling paranoid or attempting to retain some power in a scenario where they feel powerless. Subsequently, I offered options for meeting times and locations and used jargon-free language to explain the arrears. In addition, I provided reassurance of how and when autonomy would be reviewed.  Such measures aligned with trauma-informed principles to realise, recognise, respond and resist re-traumatisation (the “4 Rs”). (SAMHSA, 2014)</w:t>
            </w:r>
            <w:r>
              <w:rPr>
                <w:sz w:val="24"/>
                <w:szCs w:val="24"/>
              </w:rPr>
              <w:t>.</w:t>
            </w:r>
            <w:r w:rsidRPr="001021CA">
              <w:t xml:space="preserve"> </w:t>
            </w:r>
            <w:r w:rsidRPr="001021CA">
              <w:rPr>
                <w:sz w:val="24"/>
                <w:szCs w:val="24"/>
              </w:rPr>
              <w:t xml:space="preserve">Working within Wales, I applied the Trauma-informed Wales Framework, which emphasises a universal “do no harm” approach that promotes choice and collaboration across systems.  This encouraged me to ensure I recorded not only my own professional views, but those of the Multidisciplinary Team as well as how the family would be kept best informed. In addition, </w:t>
            </w:r>
            <w:r w:rsidRPr="001021CA">
              <w:rPr>
                <w:sz w:val="24"/>
                <w:szCs w:val="24"/>
              </w:rPr>
              <w:lastRenderedPageBreak/>
              <w:t>I had to consider how individual 2 would experience consistency across agencies (Public Health Wales NHS Trust, 2022).  Additionally, Social Care Wales (2023) evidence summary warns against using "trauma-informed" as a blanket term. It encouraged me to be cautious of analytic overshadowing and to consider other perspectives, including capacity law, human rights, and poverty, to ensure that "trauma" did not become the sole focus in addressing financial risks (Social Care Wales, 2023).</w:t>
            </w:r>
          </w:p>
          <w:p w14:paraId="4A58DA0A" w14:textId="77777777" w:rsidR="00882101" w:rsidRDefault="00882101" w:rsidP="00882101">
            <w:pPr>
              <w:spacing w:line="300" w:lineRule="atLeast"/>
              <w:jc w:val="both"/>
              <w:rPr>
                <w:sz w:val="24"/>
                <w:szCs w:val="24"/>
              </w:rPr>
            </w:pPr>
          </w:p>
          <w:p w14:paraId="4DB189AC" w14:textId="77777777" w:rsidR="00882101" w:rsidRPr="006E5C22" w:rsidRDefault="00882101" w:rsidP="00882101">
            <w:pPr>
              <w:spacing w:line="300" w:lineRule="atLeast"/>
              <w:jc w:val="both"/>
              <w:rPr>
                <w:sz w:val="24"/>
                <w:szCs w:val="24"/>
              </w:rPr>
            </w:pPr>
            <w:r w:rsidRPr="00EB373F">
              <w:rPr>
                <w:sz w:val="24"/>
                <w:szCs w:val="24"/>
              </w:rPr>
              <w:t xml:space="preserve">Applying a system lens to individual 2’s situation, it involves mutually influencing layers at the micro level with treatment-resistant psychosis and financial delusions surrounding sources of income, alongside impulsive purchases, as well as avoidance of addressing welfare benefits. At the meso level, I, as the care coordinator, the ward staff, family members, and supported accommodation would act as the immediate support network to encourage decision-making and organisation around safeguarding concerns and measures. At the exo level, interfaces between the DWP policies and procedures, the Court of Protection, and the Court Deputy appointee can determine what can be put in place and the timescales for this. At </w:t>
            </w:r>
            <w:r>
              <w:rPr>
                <w:sz w:val="24"/>
                <w:szCs w:val="24"/>
              </w:rPr>
              <w:t xml:space="preserve">the </w:t>
            </w:r>
            <w:r w:rsidRPr="00EB373F">
              <w:rPr>
                <w:sz w:val="24"/>
                <w:szCs w:val="24"/>
              </w:rPr>
              <w:t xml:space="preserve">macro level, the legislative framework surrounding mental health and Capacity informs factors for aftercare duties as well as ethical and lawful action. (Fisher and Lombardi, 2025; von Bertalanffy, </w:t>
            </w:r>
            <w:r>
              <w:rPr>
                <w:sz w:val="24"/>
                <w:szCs w:val="24"/>
              </w:rPr>
              <w:t>1</w:t>
            </w:r>
            <w:r w:rsidRPr="00EB373F">
              <w:rPr>
                <w:sz w:val="24"/>
                <w:szCs w:val="24"/>
              </w:rPr>
              <w:t>968; Plsek and Greenhalgh 2001).</w:t>
            </w:r>
            <w:r w:rsidRPr="00DC2108">
              <w:t xml:space="preserve"> </w:t>
            </w:r>
            <w:r w:rsidRPr="00DC2108">
              <w:rPr>
                <w:sz w:val="24"/>
                <w:szCs w:val="24"/>
              </w:rPr>
              <w:t xml:space="preserve">Overall, </w:t>
            </w:r>
            <w:r>
              <w:rPr>
                <w:sz w:val="24"/>
                <w:szCs w:val="24"/>
              </w:rPr>
              <w:t>applying a systems perspective to the case of individual 2, it enabled me to broaden the focus from a mere</w:t>
            </w:r>
            <w:r w:rsidRPr="00DC2108">
              <w:rPr>
                <w:sz w:val="24"/>
                <w:szCs w:val="24"/>
              </w:rPr>
              <w:t xml:space="preserve"> money-management issue to a comprehensive multi-level change strategy. This involved enhancing relational factors in decision-making, aligning the mesosystem with consistent routines, redesigning exosystem rules, and remaining aware of macro-level pressures that influence practice. This approach aligns with contemporary analyses in the British Journal of Social Work (BJSW) that view capacity, safeguarding, and strengths-based practices as fundamentally systemic and relational activities (Brown, 2024; Caiels et al., 2024; Stevens et al., 2024).</w:t>
            </w:r>
          </w:p>
          <w:p w14:paraId="2EFB75BC" w14:textId="77777777" w:rsidR="00882101" w:rsidRDefault="00882101" w:rsidP="00882101">
            <w:pPr>
              <w:spacing w:line="300" w:lineRule="atLeast"/>
              <w:jc w:val="both"/>
              <w:rPr>
                <w:b/>
                <w:bCs/>
                <w:sz w:val="24"/>
                <w:szCs w:val="24"/>
              </w:rPr>
            </w:pPr>
          </w:p>
          <w:p w14:paraId="7FE07680" w14:textId="77777777" w:rsidR="00882101" w:rsidRDefault="00882101" w:rsidP="00882101">
            <w:pPr>
              <w:spacing w:line="300" w:lineRule="atLeast"/>
              <w:jc w:val="both"/>
              <w:rPr>
                <w:b/>
                <w:bCs/>
                <w:sz w:val="24"/>
                <w:szCs w:val="24"/>
              </w:rPr>
            </w:pPr>
            <w:r>
              <w:rPr>
                <w:b/>
                <w:bCs/>
                <w:sz w:val="24"/>
                <w:szCs w:val="24"/>
              </w:rPr>
              <w:t>Reflection &amp; Conclusion</w:t>
            </w:r>
          </w:p>
          <w:p w14:paraId="612EF818" w14:textId="77777777" w:rsidR="00882101" w:rsidRDefault="00882101" w:rsidP="00882101">
            <w:pPr>
              <w:spacing w:line="300" w:lineRule="atLeast"/>
              <w:jc w:val="both"/>
              <w:rPr>
                <w:b/>
                <w:bCs/>
                <w:sz w:val="24"/>
                <w:szCs w:val="24"/>
              </w:rPr>
            </w:pPr>
          </w:p>
          <w:p w14:paraId="61F0AAA0" w14:textId="77777777" w:rsidR="00882101" w:rsidRDefault="00882101" w:rsidP="00882101">
            <w:pPr>
              <w:spacing w:line="300" w:lineRule="atLeast"/>
              <w:jc w:val="both"/>
              <w:rPr>
                <w:sz w:val="24"/>
                <w:szCs w:val="24"/>
              </w:rPr>
            </w:pPr>
            <w:r w:rsidRPr="007D7C76">
              <w:rPr>
                <w:sz w:val="24"/>
                <w:szCs w:val="24"/>
              </w:rPr>
              <w:t xml:space="preserve">I consistently reflected on the case of individual 2 during formal supervision, through peer support, and, more recently, with my mentor. I felt there was a consistent tension between safeguarding the individual and upholding their rights to autonomy. Dixon et al. (2025) report that social work professionals often face complex ethical dilemmas when </w:t>
            </w:r>
            <w:r>
              <w:rPr>
                <w:sz w:val="24"/>
                <w:szCs w:val="24"/>
              </w:rPr>
              <w:t>balancing</w:t>
            </w:r>
            <w:r w:rsidRPr="007D7C76">
              <w:rPr>
                <w:sz w:val="24"/>
                <w:szCs w:val="24"/>
              </w:rPr>
              <w:t xml:space="preserve"> </w:t>
            </w:r>
            <w:r>
              <w:rPr>
                <w:sz w:val="24"/>
                <w:szCs w:val="24"/>
              </w:rPr>
              <w:t xml:space="preserve">the duties imposed by differing legislative frameworks. Additionally, ambiguity surrounds the application of case law alongside this framework, which often makes it difficult to determine the timing of safeguarding interventions. </w:t>
            </w:r>
            <w:r w:rsidRPr="00A96CBE">
              <w:rPr>
                <w:sz w:val="24"/>
                <w:szCs w:val="24"/>
              </w:rPr>
              <w:t>The Social Services and Well</w:t>
            </w:r>
            <w:r w:rsidRPr="00A96CBE">
              <w:rPr>
                <w:rFonts w:ascii="Cambria Math" w:hAnsi="Cambria Math" w:cs="Cambria Math"/>
                <w:sz w:val="24"/>
                <w:szCs w:val="24"/>
              </w:rPr>
              <w:t>‑</w:t>
            </w:r>
            <w:r w:rsidRPr="00A96CBE">
              <w:rPr>
                <w:sz w:val="24"/>
                <w:szCs w:val="24"/>
              </w:rPr>
              <w:t>being (Wales) Act 2014 places strong emphasis on preventative safeguarding, often requiring proactive intervention to reduce risk, which can conflict with the Mental Capacity Act’s mandate to respect unwise but autonomous decisions made by individuals who have capacity. This creates a practical dilemma for practitioners, who must balance early protective action under safeguarding duties with the MCA’s requirement to prioritise autonomy and avoid paternalism, even when a person’s choices expose them to significant risk</w:t>
            </w:r>
            <w:r>
              <w:rPr>
                <w:sz w:val="24"/>
                <w:szCs w:val="24"/>
              </w:rPr>
              <w:t xml:space="preserve">. Whilst I accept that, in the Case of Individual 2, I could have awaited hospital discharge arrangements before assessing financial Capacity, I had to consider the ethical implications, such as significant debt and possible loss of tenancy. </w:t>
            </w:r>
            <w:r>
              <w:rPr>
                <w:sz w:val="24"/>
                <w:szCs w:val="24"/>
              </w:rPr>
              <w:lastRenderedPageBreak/>
              <w:t>I acknowledge that external factors influenced my professional decision-making. Brown (2024) acknowledges that social work professionals face external pressures, particularly relating to perceived risks and timeframes. Due to fluctuation in individual 2’s presentation and symptoms, I found it particularly difficult to uphold timeframes with inconsistent engagement.</w:t>
            </w:r>
          </w:p>
          <w:p w14:paraId="68CEAA44" w14:textId="77777777" w:rsidR="00882101" w:rsidRDefault="00882101" w:rsidP="00882101">
            <w:pPr>
              <w:spacing w:line="300" w:lineRule="atLeast"/>
              <w:jc w:val="both"/>
              <w:rPr>
                <w:sz w:val="24"/>
                <w:szCs w:val="24"/>
              </w:rPr>
            </w:pPr>
          </w:p>
          <w:p w14:paraId="5B66F35B" w14:textId="77777777" w:rsidR="00882101" w:rsidRPr="007D7C76" w:rsidRDefault="00882101" w:rsidP="00882101">
            <w:pPr>
              <w:spacing w:line="300" w:lineRule="atLeast"/>
              <w:jc w:val="both"/>
              <w:rPr>
                <w:sz w:val="24"/>
                <w:szCs w:val="24"/>
              </w:rPr>
            </w:pPr>
            <w:r>
              <w:rPr>
                <w:sz w:val="24"/>
                <w:szCs w:val="24"/>
              </w:rPr>
              <w:t xml:space="preserve">Additionally, I reflect on advocacy arrangements. I only made an advocacy referral once a Capacity assessment was decided upon. Benish and Weiss-Gal (2024) emphasise the importance of early advocacy arrangements, as social workers play a vital role in upholding service users' rights. Moreover, earlier advocacy in this scenario could have ensured that individual 2 experienced less power imbalance. </w:t>
            </w:r>
            <w:r w:rsidRPr="008053A4">
              <w:rPr>
                <w:sz w:val="24"/>
                <w:szCs w:val="24"/>
              </w:rPr>
              <w:t>Tarshish, David and Krumer</w:t>
            </w:r>
            <w:r w:rsidRPr="008053A4">
              <w:rPr>
                <w:rFonts w:ascii="Cambria Math" w:hAnsi="Cambria Math" w:cs="Cambria Math"/>
                <w:sz w:val="24"/>
                <w:szCs w:val="24"/>
              </w:rPr>
              <w:t>‑</w:t>
            </w:r>
            <w:r w:rsidRPr="008053A4">
              <w:rPr>
                <w:sz w:val="24"/>
                <w:szCs w:val="24"/>
              </w:rPr>
              <w:t>Nevo (2025) argue that advocacy arrangements</w:t>
            </w:r>
            <w:r>
              <w:rPr>
                <w:sz w:val="24"/>
                <w:szCs w:val="24"/>
              </w:rPr>
              <w:t xml:space="preserve">, </w:t>
            </w:r>
            <w:r w:rsidRPr="008053A4">
              <w:rPr>
                <w:sz w:val="24"/>
                <w:szCs w:val="24"/>
              </w:rPr>
              <w:t>especially those grounded in trauma</w:t>
            </w:r>
            <w:r w:rsidRPr="008053A4">
              <w:rPr>
                <w:rFonts w:ascii="Cambria Math" w:hAnsi="Cambria Math" w:cs="Cambria Math"/>
                <w:sz w:val="24"/>
                <w:szCs w:val="24"/>
              </w:rPr>
              <w:t>‑</w:t>
            </w:r>
            <w:r w:rsidRPr="008053A4">
              <w:rPr>
                <w:sz w:val="24"/>
                <w:szCs w:val="24"/>
              </w:rPr>
              <w:t>informed principles</w:t>
            </w:r>
            <w:r>
              <w:rPr>
                <w:sz w:val="24"/>
                <w:szCs w:val="24"/>
              </w:rPr>
              <w:t xml:space="preserve">, </w:t>
            </w:r>
            <w:r w:rsidRPr="008053A4">
              <w:rPr>
                <w:sz w:val="24"/>
                <w:szCs w:val="24"/>
              </w:rPr>
              <w:t>play a crucial role in addressing these inequalities by actively amplifying service users’ voices and challenging the structural barriers that limit their participation in decision</w:t>
            </w:r>
            <w:r w:rsidRPr="008053A4">
              <w:rPr>
                <w:rFonts w:ascii="Cambria Math" w:hAnsi="Cambria Math" w:cs="Cambria Math"/>
                <w:sz w:val="24"/>
                <w:szCs w:val="24"/>
              </w:rPr>
              <w:t>‑</w:t>
            </w:r>
            <w:r w:rsidRPr="008053A4">
              <w:rPr>
                <w:sz w:val="24"/>
                <w:szCs w:val="24"/>
              </w:rPr>
              <w:t>making.</w:t>
            </w:r>
            <w:r>
              <w:rPr>
                <w:sz w:val="24"/>
                <w:szCs w:val="24"/>
              </w:rPr>
              <w:t xml:space="preserve"> Subsequently, in the case of individual 2, I must ensure that robust advocacy arrangements remain in place. Also, this has heightened my awareness to actively promote advocacy arrangements for all cases.</w:t>
            </w:r>
          </w:p>
          <w:p w14:paraId="1792BF2E" w14:textId="77777777" w:rsidR="00882101" w:rsidRDefault="00882101" w:rsidP="00882101">
            <w:pPr>
              <w:spacing w:line="300" w:lineRule="atLeast"/>
              <w:jc w:val="both"/>
              <w:rPr>
                <w:b/>
                <w:bCs/>
                <w:sz w:val="24"/>
                <w:szCs w:val="24"/>
              </w:rPr>
            </w:pPr>
          </w:p>
          <w:p w14:paraId="73BD085F" w14:textId="77777777" w:rsidR="00882101" w:rsidRPr="00FC2A4C" w:rsidRDefault="00882101" w:rsidP="00882101">
            <w:pPr>
              <w:spacing w:line="300" w:lineRule="atLeast"/>
              <w:jc w:val="both"/>
              <w:rPr>
                <w:sz w:val="24"/>
                <w:szCs w:val="24"/>
              </w:rPr>
            </w:pPr>
            <w:r w:rsidRPr="00536B86">
              <w:rPr>
                <w:sz w:val="24"/>
                <w:szCs w:val="24"/>
              </w:rPr>
              <w:t xml:space="preserve">Overall, this case has taught me that there is </w:t>
            </w:r>
            <w:r>
              <w:rPr>
                <w:sz w:val="24"/>
                <w:szCs w:val="24"/>
              </w:rPr>
              <w:t xml:space="preserve">a </w:t>
            </w:r>
            <w:r w:rsidRPr="00536B86">
              <w:rPr>
                <w:sz w:val="24"/>
                <w:szCs w:val="24"/>
              </w:rPr>
              <w:t>balance to be achieved between early prevention that is proportionate to the risks. I was able to justify a time</w:t>
            </w:r>
            <w:r w:rsidRPr="00536B86">
              <w:rPr>
                <w:rFonts w:ascii="Cambria Math" w:hAnsi="Cambria Math" w:cs="Cambria Math"/>
                <w:sz w:val="24"/>
                <w:szCs w:val="24"/>
              </w:rPr>
              <w:t>‑</w:t>
            </w:r>
            <w:r w:rsidRPr="00536B86">
              <w:rPr>
                <w:sz w:val="24"/>
                <w:szCs w:val="24"/>
              </w:rPr>
              <w:t xml:space="preserve">limited, reviewable restriction and pursue Court oversight where less restrictive options had failed. </w:t>
            </w:r>
            <w:r>
              <w:rPr>
                <w:sz w:val="24"/>
                <w:szCs w:val="24"/>
              </w:rPr>
              <w:t xml:space="preserve">However, it has highlighted that I need to consider my personal ethics and biases, ensuring these are challenged and explored in formal supervision. Also, there is a demonstration that the application of multiple legislation can often be complex in nature; therefore, early advocacy arrangements and consistent revision of its application is vital to ensure the rights of the individual are upheld whilst keeping them safeguarded. </w:t>
            </w:r>
          </w:p>
          <w:p w14:paraId="08F3A661" w14:textId="77777777" w:rsidR="00882101" w:rsidRPr="00882101" w:rsidRDefault="00882101" w:rsidP="00FF7EBB">
            <w:pPr>
              <w:jc w:val="both"/>
              <w:rPr>
                <w:iCs/>
                <w:sz w:val="24"/>
                <w:szCs w:val="24"/>
              </w:rPr>
            </w:pPr>
          </w:p>
          <w:p w14:paraId="20370495" w14:textId="79B79501" w:rsidR="00D3203C" w:rsidRDefault="00D3203C" w:rsidP="00FF7EBB">
            <w:pPr>
              <w:jc w:val="both"/>
              <w:rPr>
                <w:i/>
                <w:sz w:val="24"/>
                <w:szCs w:val="24"/>
              </w:rPr>
            </w:pPr>
          </w:p>
          <w:p w14:paraId="12DC2F24" w14:textId="30F02501" w:rsidR="00D3203C" w:rsidRPr="00882101" w:rsidRDefault="00882101" w:rsidP="00FF7EBB">
            <w:pPr>
              <w:jc w:val="both"/>
              <w:rPr>
                <w:iCs/>
                <w:sz w:val="24"/>
                <w:szCs w:val="24"/>
              </w:rPr>
            </w:pPr>
            <w:r w:rsidRPr="00882101">
              <w:rPr>
                <w:iCs/>
                <w:sz w:val="24"/>
                <w:szCs w:val="24"/>
              </w:rPr>
              <w:t>3984</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73CA1" w14:textId="77777777" w:rsidR="00B552B1" w:rsidRDefault="00B552B1">
      <w:r>
        <w:separator/>
      </w:r>
    </w:p>
  </w:endnote>
  <w:endnote w:type="continuationSeparator" w:id="0">
    <w:p w14:paraId="3D665E77" w14:textId="77777777" w:rsidR="00B552B1" w:rsidRDefault="00B55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E1DED" w14:textId="77777777" w:rsidR="00B552B1" w:rsidRDefault="00B552B1">
      <w:r>
        <w:separator/>
      </w:r>
    </w:p>
  </w:footnote>
  <w:footnote w:type="continuationSeparator" w:id="0">
    <w:p w14:paraId="47B12C54" w14:textId="77777777" w:rsidR="00B552B1" w:rsidRDefault="00B552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4F22"/>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644"/>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198"/>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2101"/>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2B1"/>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B7444"/>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4301</Words>
  <Characters>24522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Wright</cp:lastModifiedBy>
  <cp:revision>4</cp:revision>
  <cp:lastPrinted>2020-02-11T19:20:00Z</cp:lastPrinted>
  <dcterms:created xsi:type="dcterms:W3CDTF">2026-02-25T10:52:00Z</dcterms:created>
  <dcterms:modified xsi:type="dcterms:W3CDTF">2026-02-25T10:54:00Z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1051d37c-c94c-499a-8606-be248b83b3ef</vt:lpwstr>
  </property>
</Properties>
</file>