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A39269" w14:textId="77777777" w:rsidR="00A85028" w:rsidRDefault="00A85028" w:rsidP="00BD59BD">
      <w:pPr>
        <w:jc w:val="center"/>
        <w:rPr>
          <w:b/>
          <w:sz w:val="32"/>
          <w:szCs w:val="32"/>
        </w:rPr>
      </w:pPr>
    </w:p>
    <w:p w14:paraId="5BD5B698" w14:textId="77777777" w:rsidR="00A85028" w:rsidRDefault="00A85028" w:rsidP="00BD59BD">
      <w:pPr>
        <w:jc w:val="center"/>
        <w:rPr>
          <w:b/>
          <w:sz w:val="32"/>
          <w:szCs w:val="32"/>
        </w:rPr>
      </w:pPr>
    </w:p>
    <w:p w14:paraId="6D66B03D" w14:textId="77777777" w:rsidR="00A85028" w:rsidRDefault="00A85028" w:rsidP="00BD59BD">
      <w:pPr>
        <w:jc w:val="center"/>
        <w:rPr>
          <w:b/>
          <w:sz w:val="32"/>
          <w:szCs w:val="32"/>
        </w:rPr>
      </w:pPr>
    </w:p>
    <w:p w14:paraId="3FB5150D" w14:textId="77777777" w:rsidR="00A85028" w:rsidRDefault="00A85028" w:rsidP="00BD59BD">
      <w:pPr>
        <w:jc w:val="center"/>
        <w:rPr>
          <w:b/>
          <w:sz w:val="32"/>
          <w:szCs w:val="32"/>
        </w:rPr>
      </w:pPr>
    </w:p>
    <w:p w14:paraId="02D21AFB" w14:textId="77777777" w:rsidR="00A85028" w:rsidRDefault="00A85028" w:rsidP="00BD59BD">
      <w:pPr>
        <w:jc w:val="center"/>
        <w:rPr>
          <w:b/>
          <w:sz w:val="32"/>
          <w:szCs w:val="32"/>
        </w:rPr>
      </w:pPr>
    </w:p>
    <w:p w14:paraId="2C7E95B4" w14:textId="77777777" w:rsidR="00A85028" w:rsidRDefault="00A85028" w:rsidP="00BD59BD">
      <w:pPr>
        <w:jc w:val="center"/>
        <w:rPr>
          <w:b/>
          <w:sz w:val="32"/>
          <w:szCs w:val="32"/>
        </w:rPr>
      </w:pPr>
    </w:p>
    <w:p w14:paraId="6CBCB5B6" w14:textId="77777777" w:rsidR="00A85028" w:rsidRDefault="00A85028" w:rsidP="00BD59BD">
      <w:pPr>
        <w:jc w:val="center"/>
        <w:rPr>
          <w:b/>
          <w:sz w:val="32"/>
          <w:szCs w:val="32"/>
        </w:rPr>
      </w:pPr>
    </w:p>
    <w:p w14:paraId="1E1032EB" w14:textId="08F16335" w:rsidR="00BD59BD" w:rsidRDefault="00A85028" w:rsidP="00BD59BD">
      <w:pPr>
        <w:jc w:val="center"/>
        <w:rPr>
          <w:b/>
          <w:sz w:val="32"/>
          <w:szCs w:val="32"/>
        </w:rPr>
      </w:pPr>
      <w:r w:rsidRPr="00A85028">
        <w:rPr>
          <w:b/>
          <w:sz w:val="32"/>
          <w:szCs w:val="32"/>
        </w:rPr>
        <w:t>PSYCHOLOGY IN HEALTH AND SOCIAL CARE</w:t>
      </w:r>
      <w:r w:rsidR="00385D18">
        <w:rPr>
          <w:b/>
          <w:sz w:val="32"/>
          <w:szCs w:val="32"/>
        </w:rPr>
        <w:br/>
      </w:r>
      <w:r w:rsidR="00385D18">
        <w:rPr>
          <w:b/>
          <w:sz w:val="32"/>
          <w:szCs w:val="32"/>
        </w:rPr>
        <w:br/>
      </w:r>
      <w:r w:rsidR="00385D18">
        <w:rPr>
          <w:b/>
          <w:sz w:val="32"/>
          <w:szCs w:val="32"/>
        </w:rPr>
        <w:br/>
      </w:r>
    </w:p>
    <w:p w14:paraId="2E6BC63F" w14:textId="24C6E0C5" w:rsidR="00385D18" w:rsidRDefault="00385D18" w:rsidP="00BD59BD">
      <w:pPr>
        <w:jc w:val="center"/>
        <w:rPr>
          <w:b/>
          <w:sz w:val="32"/>
          <w:szCs w:val="32"/>
        </w:rPr>
      </w:pPr>
      <w:r>
        <w:rPr>
          <w:b/>
          <w:sz w:val="32"/>
          <w:szCs w:val="32"/>
        </w:rPr>
        <w:t>Module Code: LCHS4010</w:t>
      </w:r>
      <w:r>
        <w:rPr>
          <w:b/>
          <w:sz w:val="32"/>
          <w:szCs w:val="32"/>
        </w:rPr>
        <w:br/>
        <w:t>Assignment 2: Written Task</w:t>
      </w:r>
      <w:r>
        <w:rPr>
          <w:b/>
          <w:sz w:val="32"/>
          <w:szCs w:val="32"/>
        </w:rPr>
        <w:br/>
        <w:t>Student name: Halima Yasin</w:t>
      </w:r>
    </w:p>
    <w:p w14:paraId="154F1F68" w14:textId="24C6915F" w:rsidR="00385D18" w:rsidRDefault="00385D18" w:rsidP="00BD59BD">
      <w:pPr>
        <w:jc w:val="center"/>
        <w:rPr>
          <w:b/>
          <w:sz w:val="32"/>
          <w:szCs w:val="32"/>
        </w:rPr>
      </w:pPr>
      <w:r>
        <w:rPr>
          <w:b/>
          <w:sz w:val="32"/>
          <w:szCs w:val="32"/>
        </w:rPr>
        <w:t>Student Number: 2422668</w:t>
      </w:r>
    </w:p>
    <w:p w14:paraId="1D10F493" w14:textId="1C2E44EE" w:rsidR="00385D18" w:rsidRDefault="00385D18" w:rsidP="00BD59BD">
      <w:pPr>
        <w:jc w:val="center"/>
        <w:rPr>
          <w:b/>
          <w:sz w:val="32"/>
          <w:szCs w:val="32"/>
        </w:rPr>
      </w:pPr>
      <w:r>
        <w:rPr>
          <w:b/>
          <w:sz w:val="32"/>
          <w:szCs w:val="32"/>
        </w:rPr>
        <w:t>Submission Date: 18</w:t>
      </w:r>
      <w:r w:rsidRPr="00385D18">
        <w:rPr>
          <w:b/>
          <w:sz w:val="32"/>
          <w:szCs w:val="32"/>
          <w:vertAlign w:val="superscript"/>
        </w:rPr>
        <w:t>th</w:t>
      </w:r>
      <w:r>
        <w:rPr>
          <w:b/>
          <w:sz w:val="32"/>
          <w:szCs w:val="32"/>
        </w:rPr>
        <w:t xml:space="preserve"> November 2025</w:t>
      </w:r>
    </w:p>
    <w:p w14:paraId="76C19130" w14:textId="77777777" w:rsidR="00BD59BD" w:rsidRDefault="00BD59BD" w:rsidP="00BD59BD">
      <w:pPr>
        <w:rPr>
          <w:b/>
          <w:sz w:val="32"/>
          <w:szCs w:val="32"/>
        </w:rPr>
      </w:pPr>
      <w:r>
        <w:rPr>
          <w:b/>
          <w:sz w:val="32"/>
          <w:szCs w:val="32"/>
        </w:rPr>
        <w:br w:type="page"/>
      </w:r>
    </w:p>
    <w:p w14:paraId="449B8225" w14:textId="77777777" w:rsidR="00385D18" w:rsidRDefault="00385D18" w:rsidP="00BD59BD">
      <w:pPr>
        <w:rPr>
          <w:b/>
          <w:sz w:val="32"/>
          <w:szCs w:val="32"/>
        </w:rPr>
      </w:pPr>
    </w:p>
    <w:sdt>
      <w:sdtPr>
        <w:rPr>
          <w:rFonts w:ascii="Arial" w:eastAsia="Arial" w:hAnsi="Arial" w:cs="Arial"/>
          <w:color w:val="auto"/>
          <w:sz w:val="22"/>
          <w:szCs w:val="22"/>
          <w:lang w:val="en-GB" w:eastAsia="en-IN"/>
        </w:rPr>
        <w:id w:val="-1348562574"/>
        <w:docPartObj>
          <w:docPartGallery w:val="Table of Contents"/>
          <w:docPartUnique/>
        </w:docPartObj>
      </w:sdtPr>
      <w:sdtEndPr>
        <w:rPr>
          <w:b/>
          <w:bCs/>
          <w:noProof/>
        </w:rPr>
      </w:sdtEndPr>
      <w:sdtContent>
        <w:p w14:paraId="07691952" w14:textId="6EB95A6F" w:rsidR="00BD59BD" w:rsidRPr="00BD59BD" w:rsidRDefault="00BD59BD" w:rsidP="00BD59BD">
          <w:pPr>
            <w:pStyle w:val="TOCHeading"/>
            <w:spacing w:before="0"/>
            <w:jc w:val="center"/>
            <w:rPr>
              <w:rFonts w:ascii="Arial" w:hAnsi="Arial" w:cs="Arial"/>
              <w:b/>
              <w:bCs/>
              <w:color w:val="000000" w:themeColor="text1"/>
              <w:sz w:val="28"/>
              <w:szCs w:val="28"/>
            </w:rPr>
          </w:pPr>
          <w:r w:rsidRPr="00BD59BD">
            <w:rPr>
              <w:rFonts w:ascii="Arial" w:hAnsi="Arial" w:cs="Arial"/>
              <w:b/>
              <w:bCs/>
              <w:color w:val="000000" w:themeColor="text1"/>
              <w:sz w:val="28"/>
              <w:szCs w:val="28"/>
            </w:rPr>
            <w:t>Table of Contents</w:t>
          </w:r>
        </w:p>
        <w:p w14:paraId="6125F24A" w14:textId="23B374BF" w:rsidR="00BD59BD" w:rsidRDefault="00BD59BD" w:rsidP="00BD59BD">
          <w:pPr>
            <w:pStyle w:val="TOC1"/>
            <w:tabs>
              <w:tab w:val="right" w:leader="dot" w:pos="9019"/>
            </w:tabs>
            <w:spacing w:after="0"/>
            <w:rPr>
              <w:noProof/>
            </w:rPr>
          </w:pPr>
          <w:r>
            <w:fldChar w:fldCharType="begin"/>
          </w:r>
          <w:r>
            <w:instrText xml:space="preserve"> TOC \o "1-3" \h \z \u </w:instrText>
          </w:r>
          <w:r>
            <w:fldChar w:fldCharType="separate"/>
          </w:r>
          <w:hyperlink w:anchor="_Toc213495808" w:history="1">
            <w:r w:rsidRPr="002737DF">
              <w:rPr>
                <w:rStyle w:val="Hyperlink"/>
                <w:noProof/>
              </w:rPr>
              <w:t>1. Context</w:t>
            </w:r>
            <w:r>
              <w:rPr>
                <w:noProof/>
                <w:webHidden/>
              </w:rPr>
              <w:tab/>
            </w:r>
            <w:r>
              <w:rPr>
                <w:noProof/>
                <w:webHidden/>
              </w:rPr>
              <w:fldChar w:fldCharType="begin"/>
            </w:r>
            <w:r>
              <w:rPr>
                <w:noProof/>
                <w:webHidden/>
              </w:rPr>
              <w:instrText xml:space="preserve"> PAGEREF _Toc213495808 \h </w:instrText>
            </w:r>
            <w:r>
              <w:rPr>
                <w:noProof/>
                <w:webHidden/>
              </w:rPr>
            </w:r>
            <w:r>
              <w:rPr>
                <w:noProof/>
                <w:webHidden/>
              </w:rPr>
              <w:fldChar w:fldCharType="separate"/>
            </w:r>
            <w:r>
              <w:rPr>
                <w:noProof/>
                <w:webHidden/>
              </w:rPr>
              <w:t>3</w:t>
            </w:r>
            <w:r>
              <w:rPr>
                <w:noProof/>
                <w:webHidden/>
              </w:rPr>
              <w:fldChar w:fldCharType="end"/>
            </w:r>
          </w:hyperlink>
        </w:p>
        <w:p w14:paraId="07CCE19E" w14:textId="2A117AD9" w:rsidR="00BD59BD" w:rsidRDefault="00BD59BD" w:rsidP="00BD59BD">
          <w:pPr>
            <w:pStyle w:val="TOC1"/>
            <w:tabs>
              <w:tab w:val="right" w:leader="dot" w:pos="9019"/>
            </w:tabs>
            <w:spacing w:after="0"/>
            <w:rPr>
              <w:noProof/>
            </w:rPr>
          </w:pPr>
          <w:hyperlink w:anchor="_Toc213495809" w:history="1">
            <w:r w:rsidRPr="002737DF">
              <w:rPr>
                <w:rStyle w:val="Hyperlink"/>
                <w:noProof/>
              </w:rPr>
              <w:t>2. Comparison and contrast of two theories</w:t>
            </w:r>
            <w:r>
              <w:rPr>
                <w:noProof/>
                <w:webHidden/>
              </w:rPr>
              <w:tab/>
            </w:r>
            <w:r>
              <w:rPr>
                <w:noProof/>
                <w:webHidden/>
              </w:rPr>
              <w:fldChar w:fldCharType="begin"/>
            </w:r>
            <w:r>
              <w:rPr>
                <w:noProof/>
                <w:webHidden/>
              </w:rPr>
              <w:instrText xml:space="preserve"> PAGEREF _Toc213495809 \h </w:instrText>
            </w:r>
            <w:r>
              <w:rPr>
                <w:noProof/>
                <w:webHidden/>
              </w:rPr>
            </w:r>
            <w:r>
              <w:rPr>
                <w:noProof/>
                <w:webHidden/>
              </w:rPr>
              <w:fldChar w:fldCharType="separate"/>
            </w:r>
            <w:r>
              <w:rPr>
                <w:noProof/>
                <w:webHidden/>
              </w:rPr>
              <w:t>3</w:t>
            </w:r>
            <w:r>
              <w:rPr>
                <w:noProof/>
                <w:webHidden/>
              </w:rPr>
              <w:fldChar w:fldCharType="end"/>
            </w:r>
          </w:hyperlink>
        </w:p>
        <w:p w14:paraId="59F830FB" w14:textId="3875C253" w:rsidR="00BD59BD" w:rsidRDefault="00BD59BD" w:rsidP="00BD59BD">
          <w:pPr>
            <w:pStyle w:val="TOC1"/>
            <w:tabs>
              <w:tab w:val="right" w:leader="dot" w:pos="9019"/>
            </w:tabs>
            <w:spacing w:after="0"/>
            <w:rPr>
              <w:noProof/>
            </w:rPr>
          </w:pPr>
          <w:hyperlink w:anchor="_Toc213495810" w:history="1">
            <w:r w:rsidRPr="002737DF">
              <w:rPr>
                <w:rStyle w:val="Hyperlink"/>
                <w:noProof/>
              </w:rPr>
              <w:t>3. Application in the Health and Social Care Context</w:t>
            </w:r>
            <w:r>
              <w:rPr>
                <w:noProof/>
                <w:webHidden/>
              </w:rPr>
              <w:tab/>
            </w:r>
            <w:r>
              <w:rPr>
                <w:noProof/>
                <w:webHidden/>
              </w:rPr>
              <w:fldChar w:fldCharType="begin"/>
            </w:r>
            <w:r>
              <w:rPr>
                <w:noProof/>
                <w:webHidden/>
              </w:rPr>
              <w:instrText xml:space="preserve"> PAGEREF _Toc213495810 \h </w:instrText>
            </w:r>
            <w:r>
              <w:rPr>
                <w:noProof/>
                <w:webHidden/>
              </w:rPr>
            </w:r>
            <w:r>
              <w:rPr>
                <w:noProof/>
                <w:webHidden/>
              </w:rPr>
              <w:fldChar w:fldCharType="separate"/>
            </w:r>
            <w:r>
              <w:rPr>
                <w:noProof/>
                <w:webHidden/>
              </w:rPr>
              <w:t>4</w:t>
            </w:r>
            <w:r>
              <w:rPr>
                <w:noProof/>
                <w:webHidden/>
              </w:rPr>
              <w:fldChar w:fldCharType="end"/>
            </w:r>
          </w:hyperlink>
        </w:p>
        <w:p w14:paraId="217BEB12" w14:textId="78A4F411" w:rsidR="00BD59BD" w:rsidRDefault="00BD59BD" w:rsidP="00BD59BD">
          <w:pPr>
            <w:pStyle w:val="TOC1"/>
            <w:tabs>
              <w:tab w:val="right" w:leader="dot" w:pos="9019"/>
            </w:tabs>
            <w:spacing w:after="0"/>
            <w:rPr>
              <w:noProof/>
            </w:rPr>
          </w:pPr>
          <w:hyperlink w:anchor="_Toc213495811" w:history="1">
            <w:r w:rsidRPr="002737DF">
              <w:rPr>
                <w:rStyle w:val="Hyperlink"/>
                <w:noProof/>
              </w:rPr>
              <w:t>4. Conclusion</w:t>
            </w:r>
            <w:r>
              <w:rPr>
                <w:noProof/>
                <w:webHidden/>
              </w:rPr>
              <w:tab/>
            </w:r>
            <w:r>
              <w:rPr>
                <w:noProof/>
                <w:webHidden/>
              </w:rPr>
              <w:fldChar w:fldCharType="begin"/>
            </w:r>
            <w:r>
              <w:rPr>
                <w:noProof/>
                <w:webHidden/>
              </w:rPr>
              <w:instrText xml:space="preserve"> PAGEREF _Toc213495811 \h </w:instrText>
            </w:r>
            <w:r>
              <w:rPr>
                <w:noProof/>
                <w:webHidden/>
              </w:rPr>
            </w:r>
            <w:r>
              <w:rPr>
                <w:noProof/>
                <w:webHidden/>
              </w:rPr>
              <w:fldChar w:fldCharType="separate"/>
            </w:r>
            <w:r>
              <w:rPr>
                <w:noProof/>
                <w:webHidden/>
              </w:rPr>
              <w:t>6</w:t>
            </w:r>
            <w:r>
              <w:rPr>
                <w:noProof/>
                <w:webHidden/>
              </w:rPr>
              <w:fldChar w:fldCharType="end"/>
            </w:r>
          </w:hyperlink>
        </w:p>
        <w:p w14:paraId="29F5DBDF" w14:textId="228C58E8" w:rsidR="00BD59BD" w:rsidRDefault="00BD59BD" w:rsidP="00BD59BD">
          <w:pPr>
            <w:pStyle w:val="TOC1"/>
            <w:tabs>
              <w:tab w:val="right" w:leader="dot" w:pos="9019"/>
            </w:tabs>
            <w:spacing w:after="0"/>
            <w:rPr>
              <w:noProof/>
            </w:rPr>
          </w:pPr>
          <w:hyperlink w:anchor="_Toc213495812" w:history="1">
            <w:r w:rsidRPr="002737DF">
              <w:rPr>
                <w:rStyle w:val="Hyperlink"/>
                <w:noProof/>
              </w:rPr>
              <w:t>References</w:t>
            </w:r>
            <w:r>
              <w:rPr>
                <w:noProof/>
                <w:webHidden/>
              </w:rPr>
              <w:tab/>
            </w:r>
            <w:r>
              <w:rPr>
                <w:noProof/>
                <w:webHidden/>
              </w:rPr>
              <w:fldChar w:fldCharType="begin"/>
            </w:r>
            <w:r>
              <w:rPr>
                <w:noProof/>
                <w:webHidden/>
              </w:rPr>
              <w:instrText xml:space="preserve"> PAGEREF _Toc213495812 \h </w:instrText>
            </w:r>
            <w:r>
              <w:rPr>
                <w:noProof/>
                <w:webHidden/>
              </w:rPr>
            </w:r>
            <w:r>
              <w:rPr>
                <w:noProof/>
                <w:webHidden/>
              </w:rPr>
              <w:fldChar w:fldCharType="separate"/>
            </w:r>
            <w:r>
              <w:rPr>
                <w:noProof/>
                <w:webHidden/>
              </w:rPr>
              <w:t>7</w:t>
            </w:r>
            <w:r>
              <w:rPr>
                <w:noProof/>
                <w:webHidden/>
              </w:rPr>
              <w:fldChar w:fldCharType="end"/>
            </w:r>
          </w:hyperlink>
        </w:p>
        <w:p w14:paraId="65FD1170" w14:textId="7D3B8063" w:rsidR="00BD59BD" w:rsidRDefault="00BD59BD" w:rsidP="00BD59BD">
          <w:r>
            <w:rPr>
              <w:b/>
              <w:bCs/>
              <w:noProof/>
            </w:rPr>
            <w:fldChar w:fldCharType="end"/>
          </w:r>
        </w:p>
      </w:sdtContent>
    </w:sdt>
    <w:p w14:paraId="00000001" w14:textId="6E7E1A3D" w:rsidR="00B03382" w:rsidRPr="00A85028" w:rsidRDefault="00A85028" w:rsidP="00BD59BD">
      <w:pPr>
        <w:jc w:val="center"/>
      </w:pPr>
      <w:r w:rsidRPr="00A85028">
        <w:br w:type="page"/>
      </w:r>
    </w:p>
    <w:p w14:paraId="00000002" w14:textId="77777777" w:rsidR="00B03382" w:rsidRDefault="006C196E" w:rsidP="00BD59BD">
      <w:pPr>
        <w:pStyle w:val="Heading1"/>
        <w:spacing w:before="0" w:after="0"/>
      </w:pPr>
      <w:bookmarkStart w:id="0" w:name="_fguhu37wcvi4" w:colFirst="0" w:colLast="0"/>
      <w:bookmarkStart w:id="1" w:name="_Toc213495808"/>
      <w:bookmarkEnd w:id="0"/>
      <w:r>
        <w:lastRenderedPageBreak/>
        <w:t>1. Context</w:t>
      </w:r>
      <w:bookmarkEnd w:id="1"/>
      <w:r>
        <w:t xml:space="preserve"> </w:t>
      </w:r>
    </w:p>
    <w:p w14:paraId="00000003" w14:textId="586F0246" w:rsidR="00B03382" w:rsidRDefault="006C196E" w:rsidP="00BD59BD">
      <w:r>
        <w:t xml:space="preserve">The report is about dementia care unit, which provides round-the-clock services to senior people who have varying levels of cognitive disabilities. The environment will be designed in a manner that promotes safety, familiarity and emotional well-being and to the best extent, dignity and independence. They usually have memory lapses, confusion, mood swings, communication and daily activities. The workers in this kind of environment like the nurses, carers and support workers, must find a balance between physical support and emotional, psychological support. The identified person-centred approaches, which the care home embraced, are useful in preserving the identity, autonomy, and the sense of belonging of each. Social interaction, routine, and cognitive stimulation are the significant components of therapeutic care yet, in the process, the barriers of isolation, anxiety, and behavioural issues are often </w:t>
      </w:r>
      <w:r w:rsidR="00890B3A">
        <w:t>present.</w:t>
      </w:r>
      <w:r>
        <w:t xml:space="preserve"> The knowledge of the ageing theories, such as the Social Disengagement Theory and the Activity Theory will enable the professionals to explain the behavioural patterns, develop meaningful interventions and create environments that enhance the psychological resilience and social connectedness of people with dementia.</w:t>
      </w:r>
      <w:r w:rsidR="009315F5">
        <w:t xml:space="preserve"> </w:t>
      </w:r>
      <w:r w:rsidR="00890B3A">
        <w:t xml:space="preserve">   </w:t>
      </w:r>
      <w:r w:rsidR="009315F5">
        <w:t xml:space="preserve">The focus of this report will be the social disengagement theory and the activity </w:t>
      </w:r>
      <w:r w:rsidR="00890B3A">
        <w:t>theory;</w:t>
      </w:r>
      <w:r w:rsidR="009315F5">
        <w:t xml:space="preserve"> the differences of ageing and behaviour will be explained which can occur later in life.</w:t>
      </w:r>
      <w:r w:rsidR="00890B3A">
        <w:t xml:space="preserve"> Care staff can understand these theories to help with meaningful interventions, independence, support wellbeing and social connection in dementia care.</w:t>
      </w:r>
    </w:p>
    <w:p w14:paraId="190BB8B7" w14:textId="77777777" w:rsidR="009315F5" w:rsidRDefault="009315F5" w:rsidP="00BD59BD">
      <w:pPr>
        <w:pStyle w:val="Heading1"/>
        <w:spacing w:before="0" w:after="0"/>
      </w:pPr>
      <w:bookmarkStart w:id="2" w:name="_kdyloadybsuv" w:colFirst="0" w:colLast="0"/>
      <w:bookmarkStart w:id="3" w:name="_Toc213495809"/>
      <w:bookmarkEnd w:id="2"/>
    </w:p>
    <w:p w14:paraId="00000004" w14:textId="2F77913E" w:rsidR="00B03382" w:rsidRDefault="006C196E" w:rsidP="00BD59BD">
      <w:pPr>
        <w:pStyle w:val="Heading1"/>
        <w:spacing w:before="0" w:after="0"/>
      </w:pPr>
      <w:r>
        <w:t>2. Comparison and contrast of two theories</w:t>
      </w:r>
      <w:bookmarkEnd w:id="3"/>
      <w:r>
        <w:t xml:space="preserve"> </w:t>
      </w:r>
    </w:p>
    <w:p w14:paraId="00000005" w14:textId="77777777" w:rsidR="00B03382" w:rsidRDefault="006C196E" w:rsidP="00BD59BD">
      <w:pPr>
        <w:rPr>
          <w:b/>
          <w:i/>
        </w:rPr>
      </w:pPr>
      <w:r>
        <w:rPr>
          <w:b/>
          <w:i/>
        </w:rPr>
        <w:t>Social Disengagement Theory</w:t>
      </w:r>
    </w:p>
    <w:p w14:paraId="00000006" w14:textId="77777777" w:rsidR="00B03382" w:rsidRDefault="006C196E" w:rsidP="00BD59BD">
      <w:r>
        <w:t>The Social Disengagement Theory is based on the idea that there is a natural and reciprocal withdrawal of older adults and society with ageing (Austen and Hutchinson, 2021). Aging also causes physical deterioration, deterioration of social roles, and altered relationships, leading to reduced social activities among people. According to Ragini and Salwan (2022), this withdrawal is not only inevitable but also healthy, as it gives the older people time to psychologically adjust to death without society being denied a chance to fill their social positions. In the case of adults 65 years and above, the processes of disengagement can be in the form of retirement, loss of friends or spouses or decreased participation in community life (Bowman and Lim, 2022). The theory has, however, been criticized because of its deterministic perception, as it posits that all older adults like isolation or less interactivity. In reality, disengagement differs with regard to health, personality and cultural background (</w:t>
      </w:r>
      <w:proofErr w:type="spellStart"/>
      <w:r>
        <w:t>Gonot-Schoupinsky</w:t>
      </w:r>
      <w:proofErr w:type="spellEnd"/>
      <w:r>
        <w:t xml:space="preserve"> </w:t>
      </w:r>
      <w:r>
        <w:rPr>
          <w:i/>
        </w:rPr>
        <w:t>et al.</w:t>
      </w:r>
      <w:r>
        <w:t xml:space="preserve"> 2022). However, despite these criticisms, it offers an understanding of the emotional adaptation process of a large proportion of the older population, particularly those who are experiencing chronic conditions such as dementia.</w:t>
      </w:r>
    </w:p>
    <w:p w14:paraId="00000007" w14:textId="77777777" w:rsidR="00B03382" w:rsidRDefault="006C196E" w:rsidP="00BD59BD">
      <w:pPr>
        <w:rPr>
          <w:b/>
          <w:i/>
        </w:rPr>
      </w:pPr>
      <w:r>
        <w:rPr>
          <w:b/>
          <w:i/>
        </w:rPr>
        <w:lastRenderedPageBreak/>
        <w:t>Activity Theory</w:t>
      </w:r>
    </w:p>
    <w:p w14:paraId="00000008" w14:textId="2AB6404C" w:rsidR="00B03382" w:rsidRDefault="006C196E" w:rsidP="00BD59BD">
      <w:r>
        <w:t xml:space="preserve">Contrastingly, the Activity Theory postulates that ageing successfully comes as a result of elderly people being active, social and having roles which give them purpose and self-esteem (Hunt, 2024). The author postulated that later life satisfaction is determined by how well one can replace the lost roles, e.g. in retirement or bereavement, with another new social or recreational role. Teles and Ribeiro (2022), state that active engagement contributes to mental health, self-image and cognition. The involvement in activities, volunteering, or social life enhances the quality of life and delays the onset of cognitive impairment in old (over 65) adults. Dementia care can be structured using activities such as music therapy, art activities or reminiscence therapy to stimulate the memories and social bonding (Bar-Tur, 2021). Though the theory may not be physical or cognitive inclined, it lays an emphasis on significant participation in the process of promoting emotional </w:t>
      </w:r>
      <w:r w:rsidR="002818D2">
        <w:t>well-being</w:t>
      </w:r>
      <w:r>
        <w:t>. The two theories taken together provide contradicting and complementary notions about ageing in that one emphasizes the withdrawal and the other involvement.</w:t>
      </w:r>
    </w:p>
    <w:p w14:paraId="079B33D9" w14:textId="77777777" w:rsidR="002818D2" w:rsidRDefault="002818D2" w:rsidP="00BD59BD"/>
    <w:p w14:paraId="00000009" w14:textId="77777777" w:rsidR="00B03382" w:rsidRDefault="006C196E" w:rsidP="00BD59BD">
      <w:pPr>
        <w:pStyle w:val="Heading1"/>
        <w:spacing w:before="0" w:after="0"/>
      </w:pPr>
      <w:bookmarkStart w:id="4" w:name="_exwur33lqi7j" w:colFirst="0" w:colLast="0"/>
      <w:bookmarkStart w:id="5" w:name="_Toc213495810"/>
      <w:bookmarkEnd w:id="4"/>
      <w:r>
        <w:t>3. Application in the Health and Social Care Context</w:t>
      </w:r>
      <w:bookmarkEnd w:id="5"/>
      <w:r>
        <w:t xml:space="preserve"> </w:t>
      </w:r>
    </w:p>
    <w:p w14:paraId="0000000A" w14:textId="77777777" w:rsidR="00B03382" w:rsidRDefault="006C196E" w:rsidP="00BD59BD">
      <w:pPr>
        <w:rPr>
          <w:b/>
          <w:i/>
        </w:rPr>
      </w:pPr>
      <w:r>
        <w:rPr>
          <w:b/>
          <w:i/>
        </w:rPr>
        <w:t>Social Disengagement Theory Application.</w:t>
      </w:r>
    </w:p>
    <w:p w14:paraId="0000000B" w14:textId="77777777" w:rsidR="00B03382" w:rsidRDefault="006C196E" w:rsidP="00BD59BD">
      <w:r>
        <w:t xml:space="preserve">The Social Disengagement Theory may be applied to a dementia care home to enable the professionals to comprehend the reasons why the residents are inclined to avoid socializing or engaging in normal activities. Dementia can result in confusion, anxiety, and communication deficiency, which in turn will serve as the cause of social isolation (Iguodala-Cole </w:t>
      </w:r>
      <w:r>
        <w:rPr>
          <w:i/>
        </w:rPr>
        <w:t>et al.</w:t>
      </w:r>
      <w:r>
        <w:t xml:space="preserve"> 2022). The practice of this theory would enable the staff to understand that withdrawal does not necessarily imply neglect or inadequate care, but is part of an adaptive process to certain people. An example of this is a resident who prefers quiet or weak stimulation, he or she may be stating that his/her state of calmness psychologically is needed because the cognitive functions have decoded (Graff </w:t>
      </w:r>
      <w:r>
        <w:rPr>
          <w:i/>
        </w:rPr>
        <w:t xml:space="preserve">et al. </w:t>
      </w:r>
      <w:r>
        <w:t>2023). This information can assist the carers to provide the appropriate one-to-one emotional assistance rather than forcing them to become the members of the group activities which may be traumatizing.</w:t>
      </w:r>
    </w:p>
    <w:p w14:paraId="0000000C" w14:textId="77777777" w:rsidR="00B03382" w:rsidRDefault="006C196E" w:rsidP="00BD59BD">
      <w:r>
        <w:t xml:space="preserve">Nevertheless, emotional loneliness or depression may also be caused by disengagement unless one pays close attention to it. Employees should be able to draw the line between social exclusion and voluntary withdrawal (Whear </w:t>
      </w:r>
      <w:r>
        <w:rPr>
          <w:i/>
        </w:rPr>
        <w:t>et al.</w:t>
      </w:r>
      <w:r>
        <w:t xml:space="preserve"> 2023). The frequent measurements, mild interactions, and offering well-known sensory stimuli (e.g., personal music playlists or photo albums) may be used to make sure the residents feel emotionally engaged without interfering with autonomy. There are issues of a lack of time by the staff to provide individualized attention, and there is a problem of privacy versus social needs of residents (Iguodala-Cole </w:t>
      </w:r>
      <w:r>
        <w:rPr>
          <w:i/>
        </w:rPr>
        <w:t xml:space="preserve">et al. </w:t>
      </w:r>
      <w:r>
        <w:t xml:space="preserve">2022). Ways to overcome these issues would be through the adoption of </w:t>
      </w:r>
      <w:r>
        <w:lastRenderedPageBreak/>
        <w:t>key worker systems, whereby each carer has direct emotional contact with a given resident and by applying multidisciplinary collaborations to observe behaviour and social interaction changes.</w:t>
      </w:r>
    </w:p>
    <w:p w14:paraId="5F58B8B8" w14:textId="77777777" w:rsidR="002818D2" w:rsidRDefault="002818D2" w:rsidP="00BD59BD"/>
    <w:p w14:paraId="0000000D" w14:textId="77777777" w:rsidR="00B03382" w:rsidRDefault="006C196E" w:rsidP="00BD59BD">
      <w:pPr>
        <w:rPr>
          <w:b/>
          <w:i/>
        </w:rPr>
      </w:pPr>
      <w:r>
        <w:rPr>
          <w:b/>
          <w:i/>
        </w:rPr>
        <w:t>Activity Theory Application.</w:t>
      </w:r>
    </w:p>
    <w:p w14:paraId="0000000E" w14:textId="77777777" w:rsidR="00B03382" w:rsidRDefault="006C196E" w:rsidP="00BD59BD">
      <w:r>
        <w:t xml:space="preserve">The Activity Theory especially applies in the encouragement of quality of life in dementia care homes (Shryock and Meeks, 2022). It focuses on keeping physically, mentally, and socially active, and this can be used to minimize behavioural issues and delay cognitive decline. Reminiscence therapy, gardening, light exercises, music and art therapy are effective interventions. Using an example, the residents should be asked to participate in group singing or storytelling as a way of enabling memory and the sense of identity. Research has shown that meaningful engagement can be used to reduce agitation and mood in patients with dementia (Goodall </w:t>
      </w:r>
      <w:r>
        <w:rPr>
          <w:i/>
        </w:rPr>
        <w:t xml:space="preserve">et al. </w:t>
      </w:r>
      <w:r>
        <w:t>2021).</w:t>
      </w:r>
    </w:p>
    <w:p w14:paraId="0000000F" w14:textId="77777777" w:rsidR="00B03382" w:rsidRDefault="006C196E" w:rsidP="00BD59BD">
      <w:r>
        <w:t>The life history work can assist the staff to develop personalized activity plans which capture past interests of the residents thereby promoting a sense of continuity.</w:t>
      </w:r>
      <w:r>
        <w:rPr>
          <w:b/>
        </w:rPr>
        <w:t xml:space="preserve"> </w:t>
      </w:r>
      <w:r>
        <w:t xml:space="preserve">An example of this is that a retired teacher may like to contribute to reading stories to others, or the former gardener may like watering the plants (Bar-Tur, 2021). These methods are in line with the principles of person-centred care that promote dignity and purpose. The obstacles to the use of this theory are physical weaknesses, deterioration of the mind, and the variability of motivation in residents. There are also possibilities of resource constraints, which may restrict the scope of activities provided (Tlili </w:t>
      </w:r>
      <w:r>
        <w:rPr>
          <w:i/>
        </w:rPr>
        <w:t>et al</w:t>
      </w:r>
      <w:r>
        <w:t>. 2022). To overcome these barriers, professionals may modify the activities according to the individual's abilities, i.e. by using simplified tasks, tactile materials or reduced sessions, as a way of avoiding fatigue. Engagement opportunities may also be extended to families and volunteers to strengthen the support networks of emotions.</w:t>
      </w:r>
    </w:p>
    <w:p w14:paraId="1FFC811E" w14:textId="77777777" w:rsidR="002818D2" w:rsidRDefault="002818D2" w:rsidP="00BD59BD"/>
    <w:p w14:paraId="00000010" w14:textId="77777777" w:rsidR="00B03382" w:rsidRDefault="006C196E" w:rsidP="00BD59BD">
      <w:pPr>
        <w:rPr>
          <w:b/>
          <w:i/>
        </w:rPr>
      </w:pPr>
      <w:r>
        <w:rPr>
          <w:b/>
          <w:i/>
        </w:rPr>
        <w:t>Critical Evaluation</w:t>
      </w:r>
    </w:p>
    <w:p w14:paraId="00000011" w14:textId="77777777" w:rsidR="00B03382" w:rsidRDefault="006C196E" w:rsidP="00BD59BD">
      <w:r>
        <w:t xml:space="preserve">The two theories provide useful information and have different orientations. Social Disengagement Theory aids care professionals in appreciating the psychological adjustment to ageing and loss, which is crucial whenever handling residents who keep to themselves or display withdrawal characteristics as stated by Hunt (2024). Nevertheless, when it is administered strictly, it may cause the acceptance of social neglect or lesser stimulation. On the other hand, the Activity Theory encourages empowerment, cognitive stimulation and social inclusion; all important in the care of dementia. Nonetheless, it can have unrealistic demands among the citizens with severe symptoms, who are incapable of participating in activities (Whear </w:t>
      </w:r>
      <w:r>
        <w:rPr>
          <w:i/>
        </w:rPr>
        <w:t>et al</w:t>
      </w:r>
      <w:r>
        <w:t xml:space="preserve">. 2023). An integrated approach is therefore most effective. Experts should evaluate the cognitive as well as emotional states of each resident to determine whether to promote social participation or honour a wish for disengagement. The theory draws on two </w:t>
      </w:r>
      <w:r>
        <w:lastRenderedPageBreak/>
        <w:t>different elements call for personalized care requiring activity and rest, involvement and reflection.</w:t>
      </w:r>
    </w:p>
    <w:p w14:paraId="45084A43" w14:textId="77777777" w:rsidR="002818D2" w:rsidRDefault="002818D2" w:rsidP="00BD59BD"/>
    <w:p w14:paraId="00000012" w14:textId="77777777" w:rsidR="00B03382" w:rsidRDefault="006C196E" w:rsidP="00BD59BD">
      <w:r>
        <w:rPr>
          <w:b/>
          <w:i/>
        </w:rPr>
        <w:t>Strategies for Professionals</w:t>
      </w:r>
      <w:r>
        <w:t>.</w:t>
      </w:r>
    </w:p>
    <w:p w14:paraId="00000013" w14:textId="77777777" w:rsidR="00B03382" w:rsidRDefault="006C196E" w:rsidP="00BD59BD">
      <w:r>
        <w:t xml:space="preserve">1. Every resident is regularly assessed to determine their preferences, skills and emotional state and how much involvement is appropriate (Kirschmann </w:t>
      </w:r>
      <w:r>
        <w:rPr>
          <w:i/>
        </w:rPr>
        <w:t>et al.</w:t>
      </w:r>
      <w:r>
        <w:t xml:space="preserve"> 2025).</w:t>
      </w:r>
    </w:p>
    <w:p w14:paraId="00000014" w14:textId="77777777" w:rsidR="00B03382" w:rsidRDefault="006C196E" w:rsidP="00BD59BD">
      <w:r>
        <w:t>2. Planning Activities with Flexible Options with groups as well as individual activities, depending on the energy of the person and mental capacity.</w:t>
      </w:r>
    </w:p>
    <w:p w14:paraId="00000015" w14:textId="77777777" w:rsidR="00B03382" w:rsidRDefault="006C196E" w:rsidP="00BD59BD">
      <w:r>
        <w:t xml:space="preserve">3. Staff Training must equip the care staff with psychological knowledge of the ageing theories (Hauser </w:t>
      </w:r>
      <w:r>
        <w:rPr>
          <w:i/>
        </w:rPr>
        <w:t>et al</w:t>
      </w:r>
      <w:r>
        <w:t xml:space="preserve">. 2022). These theories help understand behaviours better and contribute towards fostering compassion rather than judgment. </w:t>
      </w:r>
    </w:p>
    <w:p w14:paraId="00000016" w14:textId="77777777" w:rsidR="00B03382" w:rsidRDefault="006C196E" w:rsidP="00BD59BD">
      <w:r>
        <w:t xml:space="preserve">4. Encouraging family visits or phone calls helps a child’s emotional health with a parent (Mellow </w:t>
      </w:r>
      <w:r>
        <w:rPr>
          <w:i/>
        </w:rPr>
        <w:t>et al</w:t>
      </w:r>
      <w:r>
        <w:t>. 2025).</w:t>
      </w:r>
    </w:p>
    <w:p w14:paraId="61C7F437" w14:textId="77777777" w:rsidR="002818D2" w:rsidRDefault="002818D2" w:rsidP="00BD59BD"/>
    <w:p w14:paraId="00000017" w14:textId="29A1F8DE" w:rsidR="00B03382" w:rsidRDefault="00A85028" w:rsidP="00BD59BD">
      <w:pPr>
        <w:pStyle w:val="Heading1"/>
        <w:spacing w:before="0" w:after="0"/>
      </w:pPr>
      <w:bookmarkStart w:id="6" w:name="_ar8gm18wbr5s" w:colFirst="0" w:colLast="0"/>
      <w:bookmarkStart w:id="7" w:name="_Toc213495811"/>
      <w:bookmarkEnd w:id="6"/>
      <w:r>
        <w:t xml:space="preserve">4. </w:t>
      </w:r>
      <w:r w:rsidR="006C196E">
        <w:t>Conclusion</w:t>
      </w:r>
      <w:bookmarkEnd w:id="7"/>
      <w:r w:rsidR="006C196E">
        <w:t xml:space="preserve"> </w:t>
      </w:r>
    </w:p>
    <w:p w14:paraId="00000018" w14:textId="0F4DE8CE" w:rsidR="00A85028" w:rsidRDefault="006C196E" w:rsidP="00BD59BD">
      <w:r>
        <w:t xml:space="preserve">Hence, the paper </w:t>
      </w:r>
      <w:r w:rsidR="003C0F84">
        <w:t>highlights</w:t>
      </w:r>
      <w:r>
        <w:t xml:space="preserve"> the importance of one’s social and psychological well-being and constant engagement. Though the Disengagement Theory explains a natural withdrawal of older adults and their emotional adaptation, the Activity Theory strikes a different note concerning engagement and purposeful living for mental and emotional health. Combining both approaches in a dementia care home provides both balance; residents need calmness and privacy, while also being active and connected. Assessing someone takes skill, </w:t>
      </w:r>
      <w:r w:rsidR="003C0F84">
        <w:t>requires</w:t>
      </w:r>
      <w:r>
        <w:t xml:space="preserve"> techniques, and flexibility. By joining these theories ultimately upholding dignity, autonomy, and quality of life for older adults living with dementia.</w:t>
      </w:r>
      <w:r w:rsidR="003C0F84">
        <w:t xml:space="preserve"> As dementia progresses adults can behave and respond differently these theories can help staff understand why. Professionals can be guided by planning person-centred routines, appropriate communications and meaningful activities. Overall, together </w:t>
      </w:r>
      <w:r w:rsidR="00C3223A">
        <w:t>both</w:t>
      </w:r>
      <w:r w:rsidR="003C0F84">
        <w:t xml:space="preserve"> theories can lead to effective dementia care by being more structured and compassionate.</w:t>
      </w:r>
    </w:p>
    <w:p w14:paraId="24DD766C" w14:textId="77777777" w:rsidR="00A85028" w:rsidRDefault="00A85028" w:rsidP="00BD59BD">
      <w:r>
        <w:br w:type="page"/>
      </w:r>
    </w:p>
    <w:p w14:paraId="67D110C0" w14:textId="7F3DC79C" w:rsidR="00BD59BD" w:rsidRPr="00BD59BD" w:rsidRDefault="00A85028" w:rsidP="00BD59BD">
      <w:pPr>
        <w:pStyle w:val="Heading1"/>
        <w:spacing w:before="0" w:after="0"/>
        <w:rPr>
          <w:sz w:val="22"/>
          <w:szCs w:val="22"/>
        </w:rPr>
      </w:pPr>
      <w:bookmarkStart w:id="8" w:name="_Toc213495812"/>
      <w:r>
        <w:lastRenderedPageBreak/>
        <w:t>References</w:t>
      </w:r>
      <w:bookmarkEnd w:id="8"/>
      <w:r>
        <w:t xml:space="preserve"> </w:t>
      </w:r>
    </w:p>
    <w:p w14:paraId="5A7C7CED" w14:textId="77777777" w:rsidR="00BD59BD" w:rsidRPr="00F87C98" w:rsidRDefault="00BD59BD" w:rsidP="00BD59BD">
      <w:pPr>
        <w:rPr>
          <w:color w:val="222222"/>
          <w:shd w:val="clear" w:color="auto" w:fill="FFFFFF"/>
        </w:rPr>
      </w:pPr>
      <w:r w:rsidRPr="00F87C98">
        <w:rPr>
          <w:color w:val="222222"/>
          <w:shd w:val="clear" w:color="auto" w:fill="FFFFFF"/>
        </w:rPr>
        <w:t>Austen, K. and Hutchinson, M., 2021. An aged life has less value: A qualitative analysis of moral disengagement and care failures evident in Royal Commission oral testimony. </w:t>
      </w:r>
      <w:r w:rsidRPr="00F87C98">
        <w:rPr>
          <w:i/>
          <w:iCs/>
          <w:color w:val="222222"/>
          <w:shd w:val="clear" w:color="auto" w:fill="FFFFFF"/>
        </w:rPr>
        <w:t>Journal of Clinical Nursing</w:t>
      </w:r>
      <w:r w:rsidRPr="00F87C98">
        <w:rPr>
          <w:color w:val="222222"/>
          <w:shd w:val="clear" w:color="auto" w:fill="FFFFFF"/>
        </w:rPr>
        <w:t>, </w:t>
      </w:r>
      <w:r w:rsidRPr="00F87C98">
        <w:rPr>
          <w:i/>
          <w:iCs/>
          <w:color w:val="222222"/>
          <w:shd w:val="clear" w:color="auto" w:fill="FFFFFF"/>
        </w:rPr>
        <w:t>30</w:t>
      </w:r>
      <w:r w:rsidRPr="00F87C98">
        <w:rPr>
          <w:color w:val="222222"/>
          <w:shd w:val="clear" w:color="auto" w:fill="FFFFFF"/>
        </w:rPr>
        <w:t>(23-24), pp.3563-3576.</w:t>
      </w:r>
    </w:p>
    <w:p w14:paraId="74D16E81" w14:textId="77777777" w:rsidR="00BD59BD" w:rsidRPr="00F87C98" w:rsidRDefault="00BD59BD" w:rsidP="00BD59BD">
      <w:pPr>
        <w:rPr>
          <w:color w:val="222222"/>
          <w:shd w:val="clear" w:color="auto" w:fill="FFFFFF"/>
        </w:rPr>
      </w:pPr>
      <w:r w:rsidRPr="00F87C98">
        <w:rPr>
          <w:color w:val="222222"/>
          <w:shd w:val="clear" w:color="auto" w:fill="FFFFFF"/>
        </w:rPr>
        <w:t>Bar-Tur, L., 2021. Fostering well-being in the elderly: Translating theories on positive aging to practical approaches. </w:t>
      </w:r>
      <w:r w:rsidRPr="00F87C98">
        <w:rPr>
          <w:i/>
          <w:iCs/>
          <w:color w:val="222222"/>
          <w:shd w:val="clear" w:color="auto" w:fill="FFFFFF"/>
        </w:rPr>
        <w:t>Frontiers in medicine</w:t>
      </w:r>
      <w:r w:rsidRPr="00F87C98">
        <w:rPr>
          <w:color w:val="222222"/>
          <w:shd w:val="clear" w:color="auto" w:fill="FFFFFF"/>
        </w:rPr>
        <w:t>, </w:t>
      </w:r>
      <w:r w:rsidRPr="00F87C98">
        <w:rPr>
          <w:i/>
          <w:iCs/>
          <w:color w:val="222222"/>
          <w:shd w:val="clear" w:color="auto" w:fill="FFFFFF"/>
        </w:rPr>
        <w:t>8</w:t>
      </w:r>
      <w:r w:rsidRPr="00F87C98">
        <w:rPr>
          <w:color w:val="222222"/>
          <w:shd w:val="clear" w:color="auto" w:fill="FFFFFF"/>
        </w:rPr>
        <w:t>, p.517226.</w:t>
      </w:r>
    </w:p>
    <w:p w14:paraId="2A4E25B8" w14:textId="77777777" w:rsidR="00BD59BD" w:rsidRPr="00F87C98" w:rsidRDefault="00BD59BD" w:rsidP="00BD59BD">
      <w:pPr>
        <w:rPr>
          <w:color w:val="222222"/>
          <w:shd w:val="clear" w:color="auto" w:fill="FFFFFF"/>
        </w:rPr>
      </w:pPr>
      <w:r w:rsidRPr="00F87C98">
        <w:rPr>
          <w:color w:val="222222"/>
          <w:shd w:val="clear" w:color="auto" w:fill="FFFFFF"/>
        </w:rPr>
        <w:t xml:space="preserve">Bowman, C. and Lim, W.M., 2022. Promising practices for social connectedness, fall prevention, and improved cognition: Should social care be prescribed? Should life be </w:t>
      </w:r>
      <w:proofErr w:type="gramStart"/>
      <w:r w:rsidRPr="00F87C98">
        <w:rPr>
          <w:color w:val="222222"/>
          <w:shd w:val="clear" w:color="auto" w:fill="FFFFFF"/>
        </w:rPr>
        <w:t>medicalized?.</w:t>
      </w:r>
      <w:proofErr w:type="gramEnd"/>
      <w:r w:rsidRPr="00F87C98">
        <w:rPr>
          <w:color w:val="222222"/>
          <w:shd w:val="clear" w:color="auto" w:fill="FFFFFF"/>
        </w:rPr>
        <w:t> </w:t>
      </w:r>
      <w:r w:rsidRPr="00F87C98">
        <w:rPr>
          <w:i/>
          <w:iCs/>
          <w:color w:val="222222"/>
          <w:shd w:val="clear" w:color="auto" w:fill="FFFFFF"/>
        </w:rPr>
        <w:t>Activities, Adaptation &amp; Aging</w:t>
      </w:r>
      <w:r w:rsidRPr="00F87C98">
        <w:rPr>
          <w:color w:val="222222"/>
          <w:shd w:val="clear" w:color="auto" w:fill="FFFFFF"/>
        </w:rPr>
        <w:t>, </w:t>
      </w:r>
      <w:r w:rsidRPr="00F87C98">
        <w:rPr>
          <w:i/>
          <w:iCs/>
          <w:color w:val="222222"/>
          <w:shd w:val="clear" w:color="auto" w:fill="FFFFFF"/>
        </w:rPr>
        <w:t>46</w:t>
      </w:r>
      <w:r w:rsidRPr="00F87C98">
        <w:rPr>
          <w:color w:val="222222"/>
          <w:shd w:val="clear" w:color="auto" w:fill="FFFFFF"/>
        </w:rPr>
        <w:t>(2), pp.91-95.</w:t>
      </w:r>
    </w:p>
    <w:p w14:paraId="1309C988" w14:textId="77777777" w:rsidR="00BD59BD" w:rsidRPr="00F87C98" w:rsidRDefault="00BD59BD" w:rsidP="00BD59BD">
      <w:pPr>
        <w:rPr>
          <w:color w:val="222222"/>
          <w:shd w:val="clear" w:color="auto" w:fill="FFFFFF"/>
        </w:rPr>
      </w:pPr>
      <w:r w:rsidRPr="00F87C98">
        <w:rPr>
          <w:color w:val="222222"/>
          <w:shd w:val="clear" w:color="auto" w:fill="FFFFFF"/>
        </w:rPr>
        <w:t>Gonot-Schoupinsky, F., Garip, G. and Sheffield, D., 2022. The engage-disengage model as an inclusive model for the promotion of healthy and successful aging in the oldest-old. </w:t>
      </w:r>
      <w:r w:rsidRPr="00F87C98">
        <w:rPr>
          <w:i/>
          <w:iCs/>
          <w:color w:val="222222"/>
          <w:shd w:val="clear" w:color="auto" w:fill="FFFFFF"/>
        </w:rPr>
        <w:t>Activities, Adaptation &amp; Aging</w:t>
      </w:r>
      <w:r w:rsidRPr="00F87C98">
        <w:rPr>
          <w:color w:val="222222"/>
          <w:shd w:val="clear" w:color="auto" w:fill="FFFFFF"/>
        </w:rPr>
        <w:t>, </w:t>
      </w:r>
      <w:r w:rsidRPr="00F87C98">
        <w:rPr>
          <w:i/>
          <w:iCs/>
          <w:color w:val="222222"/>
          <w:shd w:val="clear" w:color="auto" w:fill="FFFFFF"/>
        </w:rPr>
        <w:t>46</w:t>
      </w:r>
      <w:r w:rsidRPr="00F87C98">
        <w:rPr>
          <w:color w:val="222222"/>
          <w:shd w:val="clear" w:color="auto" w:fill="FFFFFF"/>
        </w:rPr>
        <w:t>(2), pp.159-181.</w:t>
      </w:r>
    </w:p>
    <w:p w14:paraId="79851708" w14:textId="77777777" w:rsidR="00BD59BD" w:rsidRPr="00F87C98" w:rsidRDefault="00BD59BD" w:rsidP="00BD59BD">
      <w:pPr>
        <w:rPr>
          <w:color w:val="222222"/>
          <w:shd w:val="clear" w:color="auto" w:fill="FFFFFF"/>
        </w:rPr>
      </w:pPr>
      <w:r w:rsidRPr="00F87C98">
        <w:rPr>
          <w:color w:val="222222"/>
          <w:shd w:val="clear" w:color="auto" w:fill="FFFFFF"/>
        </w:rPr>
        <w:t>Goodall, G., Taraldsen, K. and Serrano, J.A., 2021. The use of technology in creating individualized, meaningful activities for people living with dementia: A systematic review. </w:t>
      </w:r>
      <w:r w:rsidRPr="00F87C98">
        <w:rPr>
          <w:i/>
          <w:iCs/>
          <w:color w:val="222222"/>
          <w:shd w:val="clear" w:color="auto" w:fill="FFFFFF"/>
        </w:rPr>
        <w:t>Dementia</w:t>
      </w:r>
      <w:r w:rsidRPr="00F87C98">
        <w:rPr>
          <w:color w:val="222222"/>
          <w:shd w:val="clear" w:color="auto" w:fill="FFFFFF"/>
        </w:rPr>
        <w:t>, </w:t>
      </w:r>
      <w:r w:rsidRPr="00F87C98">
        <w:rPr>
          <w:i/>
          <w:iCs/>
          <w:color w:val="222222"/>
          <w:shd w:val="clear" w:color="auto" w:fill="FFFFFF"/>
        </w:rPr>
        <w:t>20</w:t>
      </w:r>
      <w:r w:rsidRPr="00F87C98">
        <w:rPr>
          <w:color w:val="222222"/>
          <w:shd w:val="clear" w:color="auto" w:fill="FFFFFF"/>
        </w:rPr>
        <w:t>(4), pp.1442-1469.</w:t>
      </w:r>
    </w:p>
    <w:p w14:paraId="01D189B1" w14:textId="77777777" w:rsidR="00BD59BD" w:rsidRPr="00F87C98" w:rsidRDefault="00BD59BD" w:rsidP="00BD59BD">
      <w:pPr>
        <w:rPr>
          <w:color w:val="222222"/>
          <w:shd w:val="clear" w:color="auto" w:fill="FFFFFF"/>
        </w:rPr>
      </w:pPr>
      <w:r w:rsidRPr="00F87C98">
        <w:rPr>
          <w:color w:val="222222"/>
          <w:shd w:val="clear" w:color="auto" w:fill="FFFFFF"/>
        </w:rPr>
        <w:t>Graff, L., Timm, H. and Thuesen, J., 2023. Organizational narratives in rehabilitation-focused dementia care–Negotiating identities, interventions and personhood. </w:t>
      </w:r>
      <w:r w:rsidRPr="00F87C98">
        <w:rPr>
          <w:i/>
          <w:iCs/>
          <w:color w:val="222222"/>
          <w:shd w:val="clear" w:color="auto" w:fill="FFFFFF"/>
        </w:rPr>
        <w:t>Dementia</w:t>
      </w:r>
      <w:r w:rsidRPr="00F87C98">
        <w:rPr>
          <w:color w:val="222222"/>
          <w:shd w:val="clear" w:color="auto" w:fill="FFFFFF"/>
        </w:rPr>
        <w:t>, </w:t>
      </w:r>
      <w:r w:rsidRPr="00F87C98">
        <w:rPr>
          <w:i/>
          <w:iCs/>
          <w:color w:val="222222"/>
          <w:shd w:val="clear" w:color="auto" w:fill="FFFFFF"/>
        </w:rPr>
        <w:t>22</w:t>
      </w:r>
      <w:r w:rsidRPr="00F87C98">
        <w:rPr>
          <w:color w:val="222222"/>
          <w:shd w:val="clear" w:color="auto" w:fill="FFFFFF"/>
        </w:rPr>
        <w:t>(4), pp.709-726.</w:t>
      </w:r>
    </w:p>
    <w:p w14:paraId="5E9C0179" w14:textId="77777777" w:rsidR="00BD59BD" w:rsidRPr="00F87C98" w:rsidRDefault="00BD59BD" w:rsidP="00BD59BD">
      <w:pPr>
        <w:rPr>
          <w:color w:val="222222"/>
          <w:shd w:val="clear" w:color="auto" w:fill="FFFFFF"/>
        </w:rPr>
      </w:pPr>
      <w:r w:rsidRPr="00F87C98">
        <w:rPr>
          <w:color w:val="222222"/>
          <w:shd w:val="clear" w:color="auto" w:fill="FFFFFF"/>
        </w:rPr>
        <w:t>Hauser, C., Kupka-Klepsch, E., Haslinger-Baumann, E. and Werner, F., 2022. Designing digital tools for quality assurance in 24-hour home-care in Austria. </w:t>
      </w:r>
      <w:r w:rsidRPr="00F87C98">
        <w:rPr>
          <w:i/>
          <w:iCs/>
          <w:color w:val="222222"/>
          <w:shd w:val="clear" w:color="auto" w:fill="FFFFFF"/>
        </w:rPr>
        <w:t>Human Affairs</w:t>
      </w:r>
      <w:r w:rsidRPr="00F87C98">
        <w:rPr>
          <w:color w:val="222222"/>
          <w:shd w:val="clear" w:color="auto" w:fill="FFFFFF"/>
        </w:rPr>
        <w:t>, </w:t>
      </w:r>
      <w:r w:rsidRPr="00F87C98">
        <w:rPr>
          <w:i/>
          <w:iCs/>
          <w:color w:val="222222"/>
          <w:shd w:val="clear" w:color="auto" w:fill="FFFFFF"/>
        </w:rPr>
        <w:t>32</w:t>
      </w:r>
      <w:r w:rsidRPr="00F87C98">
        <w:rPr>
          <w:color w:val="222222"/>
          <w:shd w:val="clear" w:color="auto" w:fill="FFFFFF"/>
        </w:rPr>
        <w:t>(2), pp.213-227.</w:t>
      </w:r>
    </w:p>
    <w:p w14:paraId="21F16550" w14:textId="77777777" w:rsidR="00BD59BD" w:rsidRPr="00F87C98" w:rsidRDefault="00BD59BD" w:rsidP="00BD59BD">
      <w:pPr>
        <w:rPr>
          <w:color w:val="222222"/>
          <w:shd w:val="clear" w:color="auto" w:fill="FFFFFF"/>
        </w:rPr>
      </w:pPr>
      <w:r w:rsidRPr="00F87C98">
        <w:rPr>
          <w:color w:val="222222"/>
          <w:shd w:val="clear" w:color="auto" w:fill="FFFFFF"/>
        </w:rPr>
        <w:t>Hunt, L.A., 2024. Theories of Aging. In </w:t>
      </w:r>
      <w:r w:rsidRPr="00F87C98">
        <w:rPr>
          <w:i/>
          <w:iCs/>
          <w:color w:val="222222"/>
          <w:shd w:val="clear" w:color="auto" w:fill="FFFFFF"/>
        </w:rPr>
        <w:t>Work and the Older Person</w:t>
      </w:r>
      <w:r w:rsidRPr="00F87C98">
        <w:rPr>
          <w:color w:val="222222"/>
          <w:shd w:val="clear" w:color="auto" w:fill="FFFFFF"/>
        </w:rPr>
        <w:t> (pp. 25-36). Routledge.</w:t>
      </w:r>
    </w:p>
    <w:p w14:paraId="44C87D30" w14:textId="77777777" w:rsidR="00BD59BD" w:rsidRPr="00F87C98" w:rsidRDefault="00BD59BD" w:rsidP="00BD59BD">
      <w:pPr>
        <w:rPr>
          <w:color w:val="222222"/>
          <w:shd w:val="clear" w:color="auto" w:fill="FFFFFF"/>
        </w:rPr>
      </w:pPr>
      <w:r w:rsidRPr="00F87C98">
        <w:rPr>
          <w:color w:val="222222"/>
          <w:shd w:val="clear" w:color="auto" w:fill="FFFFFF"/>
        </w:rPr>
        <w:t xml:space="preserve">Iguodala-Cole, H.I., Ebenezer, K.O. and </w:t>
      </w:r>
      <w:proofErr w:type="spellStart"/>
      <w:r w:rsidRPr="00F87C98">
        <w:rPr>
          <w:color w:val="222222"/>
          <w:shd w:val="clear" w:color="auto" w:fill="FFFFFF"/>
        </w:rPr>
        <w:t>Ukawuilulu</w:t>
      </w:r>
      <w:proofErr w:type="spellEnd"/>
      <w:r w:rsidRPr="00F87C98">
        <w:rPr>
          <w:color w:val="222222"/>
          <w:shd w:val="clear" w:color="auto" w:fill="FFFFFF"/>
        </w:rPr>
        <w:t>, J.O., 2022. Dementia in work place: a theoretical examination of the risk factors. </w:t>
      </w:r>
      <w:r w:rsidRPr="00F87C98">
        <w:rPr>
          <w:i/>
          <w:iCs/>
          <w:color w:val="222222"/>
          <w:shd w:val="clear" w:color="auto" w:fill="FFFFFF"/>
        </w:rPr>
        <w:t>Int. J. Sci. Manag. Stud</w:t>
      </w:r>
      <w:r w:rsidRPr="00F87C98">
        <w:rPr>
          <w:color w:val="222222"/>
          <w:shd w:val="clear" w:color="auto" w:fill="FFFFFF"/>
        </w:rPr>
        <w:t>, </w:t>
      </w:r>
      <w:r w:rsidRPr="00F87C98">
        <w:rPr>
          <w:i/>
          <w:iCs/>
          <w:color w:val="222222"/>
          <w:shd w:val="clear" w:color="auto" w:fill="FFFFFF"/>
        </w:rPr>
        <w:t>5</w:t>
      </w:r>
      <w:r w:rsidRPr="00F87C98">
        <w:rPr>
          <w:color w:val="222222"/>
          <w:shd w:val="clear" w:color="auto" w:fill="FFFFFF"/>
        </w:rPr>
        <w:t>, pp.63-84.</w:t>
      </w:r>
    </w:p>
    <w:p w14:paraId="5A776D15" w14:textId="77777777" w:rsidR="00BD59BD" w:rsidRPr="00F87C98" w:rsidRDefault="00BD59BD" w:rsidP="00BD59BD">
      <w:pPr>
        <w:rPr>
          <w:color w:val="222222"/>
          <w:shd w:val="clear" w:color="auto" w:fill="FFFFFF"/>
        </w:rPr>
      </w:pPr>
      <w:r w:rsidRPr="00F87C98">
        <w:rPr>
          <w:color w:val="222222"/>
          <w:shd w:val="clear" w:color="auto" w:fill="FFFFFF"/>
        </w:rPr>
        <w:t xml:space="preserve">Kirschmann, J.M., </w:t>
      </w:r>
      <w:proofErr w:type="spellStart"/>
      <w:r w:rsidRPr="00F87C98">
        <w:rPr>
          <w:color w:val="222222"/>
          <w:shd w:val="clear" w:color="auto" w:fill="FFFFFF"/>
        </w:rPr>
        <w:t>Cepni</w:t>
      </w:r>
      <w:proofErr w:type="spellEnd"/>
      <w:r w:rsidRPr="00F87C98">
        <w:rPr>
          <w:color w:val="222222"/>
          <w:shd w:val="clear" w:color="auto" w:fill="FFFFFF"/>
        </w:rPr>
        <w:t>, A. and Johnston, C.A., 2025. Considering the 24-Hour Activity Cycle in Older Adults. </w:t>
      </w:r>
      <w:r w:rsidRPr="00F87C98">
        <w:rPr>
          <w:i/>
          <w:iCs/>
          <w:color w:val="222222"/>
          <w:shd w:val="clear" w:color="auto" w:fill="FFFFFF"/>
        </w:rPr>
        <w:t>American Journal of Lifestyle Medicine</w:t>
      </w:r>
      <w:r w:rsidRPr="00F87C98">
        <w:rPr>
          <w:color w:val="222222"/>
          <w:shd w:val="clear" w:color="auto" w:fill="FFFFFF"/>
        </w:rPr>
        <w:t>, </w:t>
      </w:r>
      <w:r w:rsidRPr="00F87C98">
        <w:rPr>
          <w:i/>
          <w:iCs/>
          <w:color w:val="222222"/>
          <w:shd w:val="clear" w:color="auto" w:fill="FFFFFF"/>
        </w:rPr>
        <w:t>19</w:t>
      </w:r>
      <w:r w:rsidRPr="00F87C98">
        <w:rPr>
          <w:color w:val="222222"/>
          <w:shd w:val="clear" w:color="auto" w:fill="FFFFFF"/>
        </w:rPr>
        <w:t>(1), pp.26-29.</w:t>
      </w:r>
    </w:p>
    <w:p w14:paraId="32A0A5E2" w14:textId="77777777" w:rsidR="00BD59BD" w:rsidRPr="00E36F86" w:rsidRDefault="00BD59BD" w:rsidP="00BD59BD">
      <w:r w:rsidRPr="00F87C98">
        <w:rPr>
          <w:color w:val="222222"/>
          <w:shd w:val="clear" w:color="auto" w:fill="FFFFFF"/>
        </w:rPr>
        <w:t xml:space="preserve">Mellow, M.L., Blake, H.T., Ferguson, T., Robins, B., </w:t>
      </w:r>
      <w:proofErr w:type="spellStart"/>
      <w:r w:rsidRPr="00F87C98">
        <w:rPr>
          <w:color w:val="222222"/>
          <w:shd w:val="clear" w:color="auto" w:fill="FFFFFF"/>
        </w:rPr>
        <w:t>Dumuid</w:t>
      </w:r>
      <w:proofErr w:type="spellEnd"/>
      <w:r w:rsidRPr="00F87C98">
        <w:rPr>
          <w:color w:val="222222"/>
          <w:shd w:val="clear" w:color="auto" w:fill="FFFFFF"/>
        </w:rPr>
        <w:t xml:space="preserve">, D., Olds, T., Stanford, T., Laver, K., </w:t>
      </w:r>
      <w:proofErr w:type="spellStart"/>
      <w:r w:rsidRPr="00F87C98">
        <w:rPr>
          <w:color w:val="222222"/>
          <w:shd w:val="clear" w:color="auto" w:fill="FFFFFF"/>
        </w:rPr>
        <w:t>Keage</w:t>
      </w:r>
      <w:proofErr w:type="spellEnd"/>
      <w:r w:rsidRPr="00F87C98">
        <w:rPr>
          <w:color w:val="222222"/>
          <w:shd w:val="clear" w:color="auto" w:fill="FFFFFF"/>
        </w:rPr>
        <w:t>, H.A., Coates, A.M. and Wade, A.T., 2025. ‘Small Steps’ towards improving 24-hour time-use behaviours to decrease the risk of dementia: protocol for a personalised, web-based randomised controlled trial in community-dwelling older adults. </w:t>
      </w:r>
      <w:proofErr w:type="spellStart"/>
      <w:r w:rsidRPr="00F87C98">
        <w:rPr>
          <w:i/>
          <w:iCs/>
          <w:color w:val="222222"/>
          <w:shd w:val="clear" w:color="auto" w:fill="FFFFFF"/>
        </w:rPr>
        <w:t>medRxiv</w:t>
      </w:r>
      <w:proofErr w:type="spellEnd"/>
      <w:r w:rsidRPr="00F87C98">
        <w:rPr>
          <w:color w:val="222222"/>
          <w:shd w:val="clear" w:color="auto" w:fill="FFFFFF"/>
        </w:rPr>
        <w:t>, pp.2025-05.</w:t>
      </w:r>
    </w:p>
    <w:p w14:paraId="58088E1D" w14:textId="77777777" w:rsidR="00BD59BD" w:rsidRPr="00F87C98" w:rsidRDefault="00BD59BD" w:rsidP="00BD59BD">
      <w:pPr>
        <w:rPr>
          <w:color w:val="222222"/>
          <w:shd w:val="clear" w:color="auto" w:fill="FFFFFF"/>
        </w:rPr>
      </w:pPr>
      <w:r w:rsidRPr="00F87C98">
        <w:rPr>
          <w:color w:val="222222"/>
          <w:shd w:val="clear" w:color="auto" w:fill="FFFFFF"/>
        </w:rPr>
        <w:t>Ragini, K. and Salwan, M.K., 2022. </w:t>
      </w:r>
      <w:r w:rsidRPr="00F87C98">
        <w:rPr>
          <w:i/>
          <w:iCs/>
          <w:color w:val="222222"/>
          <w:shd w:val="clear" w:color="auto" w:fill="FFFFFF"/>
        </w:rPr>
        <w:t>Disengagement theory</w:t>
      </w:r>
      <w:r w:rsidRPr="00F87C98">
        <w:rPr>
          <w:color w:val="222222"/>
          <w:shd w:val="clear" w:color="auto" w:fill="FFFFFF"/>
        </w:rPr>
        <w:t> [online]</w:t>
      </w:r>
    </w:p>
    <w:p w14:paraId="5B40E585" w14:textId="77777777" w:rsidR="00BD59BD" w:rsidRPr="00F87C98" w:rsidRDefault="00BD59BD" w:rsidP="00BD59BD">
      <w:pPr>
        <w:rPr>
          <w:color w:val="222222"/>
          <w:shd w:val="clear" w:color="auto" w:fill="FFFFFF"/>
        </w:rPr>
      </w:pPr>
      <w:r w:rsidRPr="00F87C98">
        <w:rPr>
          <w:color w:val="222222"/>
          <w:shd w:val="clear" w:color="auto" w:fill="FFFFFF"/>
        </w:rPr>
        <w:t>Shryock, S.K. and Meeks, S., 2022. Activity, activity personalization, and well-being in nursing home residents with and without cognitive impairment: An integrative review. </w:t>
      </w:r>
      <w:r w:rsidRPr="00F87C98">
        <w:rPr>
          <w:i/>
          <w:iCs/>
          <w:color w:val="222222"/>
          <w:shd w:val="clear" w:color="auto" w:fill="FFFFFF"/>
        </w:rPr>
        <w:t>Clinical Gerontologist</w:t>
      </w:r>
      <w:r w:rsidRPr="00F87C98">
        <w:rPr>
          <w:color w:val="222222"/>
          <w:shd w:val="clear" w:color="auto" w:fill="FFFFFF"/>
        </w:rPr>
        <w:t>, </w:t>
      </w:r>
      <w:r w:rsidRPr="00F87C98">
        <w:rPr>
          <w:i/>
          <w:iCs/>
          <w:color w:val="222222"/>
          <w:shd w:val="clear" w:color="auto" w:fill="FFFFFF"/>
        </w:rPr>
        <w:t>45</w:t>
      </w:r>
      <w:r w:rsidRPr="00F87C98">
        <w:rPr>
          <w:color w:val="222222"/>
          <w:shd w:val="clear" w:color="auto" w:fill="FFFFFF"/>
        </w:rPr>
        <w:t>(5), pp.1058-1072.</w:t>
      </w:r>
    </w:p>
    <w:p w14:paraId="63B20A3D" w14:textId="77777777" w:rsidR="00BD59BD" w:rsidRPr="00F87C98" w:rsidRDefault="00BD59BD" w:rsidP="00BD59BD">
      <w:pPr>
        <w:rPr>
          <w:color w:val="222222"/>
          <w:shd w:val="clear" w:color="auto" w:fill="FFFFFF"/>
        </w:rPr>
      </w:pPr>
      <w:r w:rsidRPr="00F87C98">
        <w:rPr>
          <w:color w:val="222222"/>
          <w:shd w:val="clear" w:color="auto" w:fill="FFFFFF"/>
        </w:rPr>
        <w:t>Teles, S. and Ribeiro, O., 2022. Activity theory. In </w:t>
      </w:r>
      <w:proofErr w:type="spellStart"/>
      <w:r w:rsidRPr="00F87C98">
        <w:rPr>
          <w:i/>
          <w:iCs/>
          <w:color w:val="222222"/>
          <w:shd w:val="clear" w:color="auto" w:fill="FFFFFF"/>
        </w:rPr>
        <w:t>Encyclopedia</w:t>
      </w:r>
      <w:proofErr w:type="spellEnd"/>
      <w:r w:rsidRPr="00F87C98">
        <w:rPr>
          <w:i/>
          <w:iCs/>
          <w:color w:val="222222"/>
          <w:shd w:val="clear" w:color="auto" w:fill="FFFFFF"/>
        </w:rPr>
        <w:t xml:space="preserve"> of Gerontology and Population Aging</w:t>
      </w:r>
      <w:r w:rsidRPr="00F87C98">
        <w:rPr>
          <w:color w:val="222222"/>
          <w:shd w:val="clear" w:color="auto" w:fill="FFFFFF"/>
        </w:rPr>
        <w:t> (pp. 36-44). Cham: Springer International Publishing.</w:t>
      </w:r>
    </w:p>
    <w:p w14:paraId="403FA7B8" w14:textId="77777777" w:rsidR="00BD59BD" w:rsidRPr="00F87C98" w:rsidRDefault="00BD59BD" w:rsidP="00BD59BD">
      <w:pPr>
        <w:rPr>
          <w:color w:val="222222"/>
          <w:shd w:val="clear" w:color="auto" w:fill="FFFFFF"/>
        </w:rPr>
      </w:pPr>
      <w:r w:rsidRPr="00F87C98">
        <w:rPr>
          <w:color w:val="222222"/>
          <w:shd w:val="clear" w:color="auto" w:fill="FFFFFF"/>
        </w:rPr>
        <w:lastRenderedPageBreak/>
        <w:t>Tlili, A., Denden, M., Duan, A., Padilla-Zea, N., Huang, R., Sun, T. and Burgos, D., 2022. Game-based learning for learners with disabilities—What is next? A systematic literature review from the activity theory perspective. </w:t>
      </w:r>
      <w:r w:rsidRPr="00F87C98">
        <w:rPr>
          <w:i/>
          <w:iCs/>
          <w:color w:val="222222"/>
          <w:shd w:val="clear" w:color="auto" w:fill="FFFFFF"/>
        </w:rPr>
        <w:t>Frontiers in psychology</w:t>
      </w:r>
      <w:r w:rsidRPr="00F87C98">
        <w:rPr>
          <w:color w:val="222222"/>
          <w:shd w:val="clear" w:color="auto" w:fill="FFFFFF"/>
        </w:rPr>
        <w:t>, </w:t>
      </w:r>
      <w:r w:rsidRPr="00F87C98">
        <w:rPr>
          <w:i/>
          <w:iCs/>
          <w:color w:val="222222"/>
          <w:shd w:val="clear" w:color="auto" w:fill="FFFFFF"/>
        </w:rPr>
        <w:t>12</w:t>
      </w:r>
      <w:r w:rsidRPr="00F87C98">
        <w:rPr>
          <w:color w:val="222222"/>
          <w:shd w:val="clear" w:color="auto" w:fill="FFFFFF"/>
        </w:rPr>
        <w:t>, p.8146</w:t>
      </w:r>
    </w:p>
    <w:p w14:paraId="65120459" w14:textId="77777777" w:rsidR="00BD59BD" w:rsidRPr="00F87C98" w:rsidRDefault="00BD59BD" w:rsidP="00BD59BD">
      <w:pPr>
        <w:rPr>
          <w:color w:val="222222"/>
          <w:shd w:val="clear" w:color="auto" w:fill="FFFFFF"/>
        </w:rPr>
      </w:pPr>
      <w:r w:rsidRPr="00F87C98">
        <w:rPr>
          <w:color w:val="222222"/>
          <w:shd w:val="clear" w:color="auto" w:fill="FFFFFF"/>
        </w:rPr>
        <w:t>Whear, R., Campbell, F., Rogers, M., Sutton, A., Robinson</w:t>
      </w:r>
      <w:r w:rsidRPr="00F87C98">
        <w:rPr>
          <w:rFonts w:ascii="Cambria Math" w:hAnsi="Cambria Math" w:cs="Cambria Math"/>
          <w:color w:val="222222"/>
          <w:shd w:val="clear" w:color="auto" w:fill="FFFFFF"/>
        </w:rPr>
        <w:t>‐</w:t>
      </w:r>
      <w:r w:rsidRPr="00F87C98">
        <w:rPr>
          <w:color w:val="222222"/>
          <w:shd w:val="clear" w:color="auto" w:fill="FFFFFF"/>
        </w:rPr>
        <w:t>Carter, E., Sharpe, R., Cohen, S., Fergy, R., Garside, R., Kneale, D. and Melendez</w:t>
      </w:r>
      <w:r w:rsidRPr="00F87C98">
        <w:rPr>
          <w:rFonts w:ascii="Cambria Math" w:hAnsi="Cambria Math" w:cs="Cambria Math"/>
          <w:color w:val="222222"/>
          <w:shd w:val="clear" w:color="auto" w:fill="FFFFFF"/>
        </w:rPr>
        <w:t>‐</w:t>
      </w:r>
      <w:r w:rsidRPr="00F87C98">
        <w:rPr>
          <w:color w:val="222222"/>
          <w:shd w:val="clear" w:color="auto" w:fill="FFFFFF"/>
        </w:rPr>
        <w:t xml:space="preserve">Torres, G.J., 2023. What is the effect of intergenerational activities on the wellbeing and mental health of older </w:t>
      </w:r>
      <w:proofErr w:type="gramStart"/>
      <w:r w:rsidRPr="00F87C98">
        <w:rPr>
          <w:color w:val="222222"/>
          <w:shd w:val="clear" w:color="auto" w:fill="FFFFFF"/>
        </w:rPr>
        <w:t>people?:</w:t>
      </w:r>
      <w:proofErr w:type="gramEnd"/>
      <w:r w:rsidRPr="00F87C98">
        <w:rPr>
          <w:color w:val="222222"/>
          <w:shd w:val="clear" w:color="auto" w:fill="FFFFFF"/>
        </w:rPr>
        <w:t xml:space="preserve"> A systematic review. </w:t>
      </w:r>
      <w:r w:rsidRPr="00F87C98">
        <w:rPr>
          <w:i/>
          <w:iCs/>
          <w:color w:val="222222"/>
          <w:shd w:val="clear" w:color="auto" w:fill="FFFFFF"/>
        </w:rPr>
        <w:t>Campbell systematic reviews</w:t>
      </w:r>
      <w:r w:rsidRPr="00F87C98">
        <w:rPr>
          <w:color w:val="222222"/>
          <w:shd w:val="clear" w:color="auto" w:fill="FFFFFF"/>
        </w:rPr>
        <w:t>, </w:t>
      </w:r>
      <w:r w:rsidRPr="00F87C98">
        <w:rPr>
          <w:i/>
          <w:iCs/>
          <w:color w:val="222222"/>
          <w:shd w:val="clear" w:color="auto" w:fill="FFFFFF"/>
        </w:rPr>
        <w:t>19</w:t>
      </w:r>
      <w:r w:rsidRPr="00F87C98">
        <w:rPr>
          <w:color w:val="222222"/>
          <w:shd w:val="clear" w:color="auto" w:fill="FFFFFF"/>
        </w:rPr>
        <w:t>(4), p.e1355.</w:t>
      </w:r>
    </w:p>
    <w:p w14:paraId="39477305" w14:textId="77777777" w:rsidR="00A85028" w:rsidRDefault="00A85028" w:rsidP="00BD59BD"/>
    <w:p w14:paraId="00000019" w14:textId="77777777" w:rsidR="00B03382" w:rsidRDefault="00B03382" w:rsidP="00BD59BD"/>
    <w:p w14:paraId="0000001A" w14:textId="77777777" w:rsidR="00B03382" w:rsidRDefault="00B03382" w:rsidP="00BD59BD"/>
    <w:p w14:paraId="0000001B" w14:textId="77777777" w:rsidR="00B03382" w:rsidRDefault="00B03382" w:rsidP="00BD59BD"/>
    <w:sectPr w:rsidR="00B03382" w:rsidSect="00385D18">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2584DB" w14:textId="77777777" w:rsidR="00CB18F2" w:rsidRDefault="00CB18F2" w:rsidP="00BD59BD">
      <w:pPr>
        <w:spacing w:line="240" w:lineRule="auto"/>
      </w:pPr>
      <w:r>
        <w:separator/>
      </w:r>
    </w:p>
  </w:endnote>
  <w:endnote w:type="continuationSeparator" w:id="0">
    <w:p w14:paraId="4A996DC3" w14:textId="77777777" w:rsidR="00CB18F2" w:rsidRDefault="00CB18F2" w:rsidP="00BD59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8B9DD73-4FF5-4D35-9F85-19694FD84AEC}"/>
  </w:font>
  <w:font w:name="Cambria Math">
    <w:panose1 w:val="02040503050406030204"/>
    <w:charset w:val="00"/>
    <w:family w:val="roman"/>
    <w:pitch w:val="variable"/>
    <w:sig w:usb0="E00006FF" w:usb1="420024FF" w:usb2="02000000" w:usb3="00000000" w:csb0="0000019F" w:csb1="00000000"/>
    <w:embedRegular r:id="rId2" w:fontKey="{64A8C560-22CC-484C-85CF-FBA50D9466D4}"/>
  </w:font>
  <w:font w:name="Cambria">
    <w:panose1 w:val="02040503050406030204"/>
    <w:charset w:val="00"/>
    <w:family w:val="roman"/>
    <w:pitch w:val="variable"/>
    <w:sig w:usb0="E00006FF" w:usb1="420024FF" w:usb2="02000000" w:usb3="00000000" w:csb0="0000019F" w:csb1="00000000"/>
    <w:embedRegular r:id="rId3" w:fontKey="{3F018E5D-64F0-4695-A2DB-5150E5E9D07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5618502"/>
      <w:docPartObj>
        <w:docPartGallery w:val="Page Numbers (Bottom of Page)"/>
        <w:docPartUnique/>
      </w:docPartObj>
    </w:sdtPr>
    <w:sdtEndPr>
      <w:rPr>
        <w:noProof/>
        <w:sz w:val="20"/>
        <w:szCs w:val="20"/>
      </w:rPr>
    </w:sdtEndPr>
    <w:sdtContent>
      <w:p w14:paraId="5C515A57" w14:textId="7FD6220F" w:rsidR="00BD59BD" w:rsidRPr="00BD59BD" w:rsidRDefault="00BD59BD" w:rsidP="00BD59BD">
        <w:pPr>
          <w:pStyle w:val="Footer"/>
          <w:spacing w:line="360" w:lineRule="auto"/>
          <w:jc w:val="right"/>
          <w:rPr>
            <w:sz w:val="20"/>
            <w:szCs w:val="20"/>
          </w:rPr>
        </w:pPr>
        <w:r w:rsidRPr="00BD59BD">
          <w:rPr>
            <w:sz w:val="20"/>
            <w:szCs w:val="20"/>
          </w:rPr>
          <w:fldChar w:fldCharType="begin"/>
        </w:r>
        <w:r w:rsidRPr="00BD59BD">
          <w:rPr>
            <w:sz w:val="20"/>
            <w:szCs w:val="20"/>
          </w:rPr>
          <w:instrText xml:space="preserve"> PAGE   \* MERGEFORMAT </w:instrText>
        </w:r>
        <w:r w:rsidRPr="00BD59BD">
          <w:rPr>
            <w:sz w:val="20"/>
            <w:szCs w:val="20"/>
          </w:rPr>
          <w:fldChar w:fldCharType="separate"/>
        </w:r>
        <w:r w:rsidRPr="00BD59BD">
          <w:rPr>
            <w:noProof/>
            <w:sz w:val="20"/>
            <w:szCs w:val="20"/>
          </w:rPr>
          <w:t>2</w:t>
        </w:r>
        <w:r w:rsidRPr="00BD59BD">
          <w:rPr>
            <w:noProof/>
            <w:sz w:val="20"/>
            <w:szCs w:val="20"/>
          </w:rPr>
          <w:fldChar w:fldCharType="end"/>
        </w:r>
      </w:p>
    </w:sdtContent>
  </w:sdt>
  <w:p w14:paraId="77D8E957" w14:textId="77777777" w:rsidR="00BD59BD" w:rsidRDefault="00BD59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3E783" w14:textId="77777777" w:rsidR="00CB18F2" w:rsidRDefault="00CB18F2" w:rsidP="00BD59BD">
      <w:pPr>
        <w:spacing w:line="240" w:lineRule="auto"/>
      </w:pPr>
      <w:r>
        <w:separator/>
      </w:r>
    </w:p>
  </w:footnote>
  <w:footnote w:type="continuationSeparator" w:id="0">
    <w:p w14:paraId="12A5A008" w14:textId="77777777" w:rsidR="00CB18F2" w:rsidRDefault="00CB18F2" w:rsidP="00BD59B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3382"/>
    <w:rsid w:val="002818D2"/>
    <w:rsid w:val="00385D18"/>
    <w:rsid w:val="003C0F84"/>
    <w:rsid w:val="006C196E"/>
    <w:rsid w:val="00890B3A"/>
    <w:rsid w:val="009315F5"/>
    <w:rsid w:val="00A85028"/>
    <w:rsid w:val="00A87E0F"/>
    <w:rsid w:val="00B03382"/>
    <w:rsid w:val="00BD59BD"/>
    <w:rsid w:val="00C3223A"/>
    <w:rsid w:val="00CB18F2"/>
    <w:rsid w:val="00D407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403C6E"/>
  <w15:docId w15:val="{F3E18B67-4993-4968-91F3-38D6EE6C8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D59BD"/>
    <w:pPr>
      <w:tabs>
        <w:tab w:val="center" w:pos="4513"/>
        <w:tab w:val="right" w:pos="9026"/>
      </w:tabs>
      <w:spacing w:line="240" w:lineRule="auto"/>
    </w:pPr>
  </w:style>
  <w:style w:type="character" w:customStyle="1" w:styleId="HeaderChar">
    <w:name w:val="Header Char"/>
    <w:basedOn w:val="DefaultParagraphFont"/>
    <w:link w:val="Header"/>
    <w:uiPriority w:val="99"/>
    <w:rsid w:val="00BD59BD"/>
  </w:style>
  <w:style w:type="paragraph" w:styleId="Footer">
    <w:name w:val="footer"/>
    <w:basedOn w:val="Normal"/>
    <w:link w:val="FooterChar"/>
    <w:uiPriority w:val="99"/>
    <w:unhideWhenUsed/>
    <w:rsid w:val="00BD59BD"/>
    <w:pPr>
      <w:tabs>
        <w:tab w:val="center" w:pos="4513"/>
        <w:tab w:val="right" w:pos="9026"/>
      </w:tabs>
      <w:spacing w:line="240" w:lineRule="auto"/>
    </w:pPr>
  </w:style>
  <w:style w:type="character" w:customStyle="1" w:styleId="FooterChar">
    <w:name w:val="Footer Char"/>
    <w:basedOn w:val="DefaultParagraphFont"/>
    <w:link w:val="Footer"/>
    <w:uiPriority w:val="99"/>
    <w:rsid w:val="00BD59BD"/>
  </w:style>
  <w:style w:type="paragraph" w:styleId="TOCHeading">
    <w:name w:val="TOC Heading"/>
    <w:basedOn w:val="Heading1"/>
    <w:next w:val="Normal"/>
    <w:uiPriority w:val="39"/>
    <w:unhideWhenUsed/>
    <w:qFormat/>
    <w:rsid w:val="00BD59B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D59BD"/>
    <w:pPr>
      <w:spacing w:after="100"/>
    </w:pPr>
  </w:style>
  <w:style w:type="character" w:styleId="Hyperlink">
    <w:name w:val="Hyperlink"/>
    <w:basedOn w:val="DefaultParagraphFont"/>
    <w:uiPriority w:val="99"/>
    <w:unhideWhenUsed/>
    <w:rsid w:val="00BD59B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920F05-256B-4742-8E01-91617AC5A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8</Pages>
  <Words>2182</Words>
  <Characters>12443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44730</dc:creator>
  <cp:lastModifiedBy>Halima Yasin (2422668)</cp:lastModifiedBy>
  <cp:revision>3</cp:revision>
  <dcterms:created xsi:type="dcterms:W3CDTF">2025-11-14T09:15:00Z</dcterms:created>
  <dcterms:modified xsi:type="dcterms:W3CDTF">2025-11-14T10:15:00Z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e34b5dbc-0a64-4b39-9d62-f0829313f069</vt:lpwstr>
  </property>
</Properties>
</file>