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84DC2" w14:textId="77777777" w:rsidR="00132FD6" w:rsidRDefault="00AE1160">
      <w:pPr>
        <w:spacing w:before="200" w:after="200" w:line="360" w:lineRule="auto"/>
        <w:jc w:val="both"/>
        <w:rPr>
          <w:rFonts w:ascii="Times New Roman" w:eastAsia="Times New Roman" w:hAnsi="Times New Roman" w:cs="Times New Roman"/>
        </w:rPr>
      </w:pPr>
      <w:r>
        <w:rPr>
          <w:noProof/>
        </w:rPr>
        <w:drawing>
          <wp:anchor distT="19050" distB="19050" distL="19050" distR="19050" simplePos="0" relativeHeight="251658240" behindDoc="0" locked="0" layoutInCell="1" hidden="0" allowOverlap="1" wp14:anchorId="5F31A2A2" wp14:editId="0E3908A1">
            <wp:simplePos x="0" y="0"/>
            <wp:positionH relativeFrom="page">
              <wp:posOffset>323850</wp:posOffset>
            </wp:positionH>
            <wp:positionV relativeFrom="page">
              <wp:posOffset>314325</wp:posOffset>
            </wp:positionV>
            <wp:extent cx="1250156" cy="500063"/>
            <wp:effectExtent l="0" t="0" r="0" b="0"/>
            <wp:wrapSquare wrapText="bothSides" distT="19050" distB="19050" distL="19050" distR="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250156" cy="500063"/>
                    </a:xfrm>
                    <a:prstGeom prst="rect">
                      <a:avLst/>
                    </a:prstGeom>
                    <a:ln/>
                  </pic:spPr>
                </pic:pic>
              </a:graphicData>
            </a:graphic>
          </wp:anchor>
        </w:drawing>
      </w:r>
    </w:p>
    <w:p w14:paraId="2EBBDA4D" w14:textId="77777777" w:rsidR="00132FD6" w:rsidRDefault="00AE1160">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MODULE CODE: LCBB4012 </w:t>
      </w:r>
    </w:p>
    <w:p w14:paraId="77B2991B" w14:textId="77777777" w:rsidR="00132FD6" w:rsidRDefault="00AE1160">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MODULE: ACADEMIC SKILLS</w:t>
      </w:r>
    </w:p>
    <w:p w14:paraId="19A8988C" w14:textId="77777777" w:rsidR="00132FD6" w:rsidRDefault="00AE1160">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MODULE  LEADER: DR PIYUMIKA K. GAMAGE</w:t>
      </w:r>
    </w:p>
    <w:p w14:paraId="73F0F05F" w14:textId="77777777" w:rsidR="00132FD6" w:rsidRDefault="00AE1160">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INDIVIDUAL WRITTEN REPORT</w:t>
      </w:r>
    </w:p>
    <w:p w14:paraId="7D427195" w14:textId="77777777" w:rsidR="00132FD6" w:rsidRDefault="00132FD6">
      <w:pPr>
        <w:spacing w:before="200" w:after="200" w:line="360" w:lineRule="auto"/>
        <w:jc w:val="center"/>
        <w:rPr>
          <w:rFonts w:ascii="Times New Roman" w:eastAsia="Times New Roman" w:hAnsi="Times New Roman" w:cs="Times New Roman"/>
          <w:b/>
          <w:bCs/>
          <w:sz w:val="36"/>
          <w:szCs w:val="36"/>
        </w:rPr>
      </w:pPr>
    </w:p>
    <w:p w14:paraId="790C51BE" w14:textId="77777777" w:rsidR="00132FD6" w:rsidRDefault="00132FD6">
      <w:pPr>
        <w:spacing w:before="200" w:after="200" w:line="360" w:lineRule="auto"/>
        <w:jc w:val="center"/>
        <w:rPr>
          <w:rFonts w:ascii="Times New Roman" w:eastAsia="Times New Roman" w:hAnsi="Times New Roman" w:cs="Times New Roman"/>
          <w:b/>
          <w:bCs/>
          <w:sz w:val="36"/>
          <w:szCs w:val="36"/>
        </w:rPr>
      </w:pPr>
    </w:p>
    <w:p w14:paraId="68A8E686" w14:textId="77777777" w:rsidR="00132FD6" w:rsidRDefault="00132FD6">
      <w:pPr>
        <w:spacing w:before="200" w:after="200" w:line="360" w:lineRule="auto"/>
        <w:jc w:val="center"/>
        <w:rPr>
          <w:rFonts w:ascii="Times New Roman" w:eastAsia="Times New Roman" w:hAnsi="Times New Roman" w:cs="Times New Roman"/>
          <w:b/>
          <w:bCs/>
          <w:sz w:val="36"/>
          <w:szCs w:val="36"/>
        </w:rPr>
      </w:pPr>
    </w:p>
    <w:p w14:paraId="32A0904D" w14:textId="77777777" w:rsidR="00132FD6" w:rsidRDefault="00AE1160">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STUDENT NAME:</w:t>
      </w:r>
    </w:p>
    <w:p w14:paraId="03B51062" w14:textId="0C2CB5F3" w:rsidR="00FC38F2" w:rsidRDefault="00FC38F2">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Mariana Cijmaru</w:t>
      </w:r>
    </w:p>
    <w:p w14:paraId="54CCA9D8" w14:textId="1860750B" w:rsidR="00132FD6" w:rsidRDefault="00AE1160" w:rsidP="00977B5D">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STUDENT ID:</w:t>
      </w:r>
    </w:p>
    <w:p w14:paraId="36C1D8F5" w14:textId="719732EF" w:rsidR="00977B5D" w:rsidRPr="00977B5D" w:rsidRDefault="00A81BEC" w:rsidP="00977B5D">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2526357</w:t>
      </w:r>
    </w:p>
    <w:sdt>
      <w:sdtPr>
        <w:id w:val="67227271"/>
        <w:docPartObj>
          <w:docPartGallery w:val="Table of Contents"/>
          <w:docPartUnique/>
        </w:docPartObj>
      </w:sdtPr>
      <w:sdtEndPr/>
      <w:sdtContent>
        <w:p w14:paraId="4A9CB56F" w14:textId="77777777" w:rsidR="00132FD6" w:rsidRDefault="00AE1160">
          <w:pPr>
            <w:widowControl w:val="0"/>
            <w:tabs>
              <w:tab w:val="right" w:pos="9360"/>
            </w:tabs>
            <w:spacing w:before="60" w:after="200" w:line="360" w:lineRule="auto"/>
            <w:jc w:val="center"/>
            <w:rPr>
              <w:rFonts w:ascii="Times New Roman" w:eastAsia="Times New Roman" w:hAnsi="Times New Roman" w:cs="Times New Roman"/>
              <w:b/>
              <w:bCs/>
              <w:sz w:val="28"/>
              <w:szCs w:val="28"/>
            </w:rPr>
          </w:pPr>
          <w:r>
            <w:fldChar w:fldCharType="begin"/>
          </w:r>
          <w:r>
            <w:instrText xml:space="preserve"> TOC \h \u \z \t "Heading 1,1,Heading 2,2,Heading 3,3,Heading 4,4,Heading 5,5,Heading 6,6,"</w:instrText>
          </w:r>
          <w:r>
            <w:fldChar w:fldCharType="separate"/>
          </w:r>
          <w:r>
            <w:rPr>
              <w:rFonts w:ascii="Times New Roman" w:eastAsia="Times New Roman" w:hAnsi="Times New Roman" w:cs="Times New Roman"/>
              <w:b/>
              <w:bCs/>
              <w:sz w:val="28"/>
              <w:szCs w:val="28"/>
            </w:rPr>
            <w:t>Table of Contents</w:t>
          </w:r>
        </w:p>
        <w:p w14:paraId="78E947BA" w14:textId="77777777" w:rsidR="00132FD6" w:rsidRDefault="00AE1160">
          <w:pPr>
            <w:widowControl w:val="0"/>
            <w:tabs>
              <w:tab w:val="right" w:pos="9360"/>
            </w:tabs>
            <w:spacing w:before="60" w:after="200" w:line="360" w:lineRule="auto"/>
            <w:jc w:val="both"/>
            <w:rPr>
              <w:rFonts w:ascii="Times New Roman" w:eastAsia="Times New Roman" w:hAnsi="Times New Roman" w:cs="Times New Roman"/>
              <w:color w:val="000000"/>
              <w:sz w:val="24"/>
              <w:szCs w:val="24"/>
            </w:rPr>
          </w:pPr>
          <w:hyperlink w:anchor="_79pgdx3wmb4c">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_79pgdx3wmb4c \h </w:instrText>
          </w:r>
          <w:r>
            <w:fldChar w:fldCharType="separate"/>
          </w:r>
          <w:r>
            <w:rPr>
              <w:rFonts w:ascii="Times New Roman" w:eastAsia="Times New Roman" w:hAnsi="Times New Roman" w:cs="Times New Roman"/>
              <w:sz w:val="24"/>
              <w:szCs w:val="24"/>
            </w:rPr>
            <w:t>1</w:t>
          </w:r>
          <w:hyperlink w:anchor="_79pgdx3wmb4c" w:history="1"/>
        </w:p>
        <w:p w14:paraId="287193B2" w14:textId="77777777" w:rsidR="00132FD6" w:rsidRDefault="00AE1160">
          <w:pPr>
            <w:widowControl w:val="0"/>
            <w:tabs>
              <w:tab w:val="right" w:pos="9360"/>
            </w:tabs>
            <w:spacing w:before="60" w:after="200" w:line="360" w:lineRule="auto"/>
            <w:jc w:val="both"/>
            <w:rPr>
              <w:rFonts w:ascii="Times New Roman" w:eastAsia="Times New Roman" w:hAnsi="Times New Roman" w:cs="Times New Roman"/>
              <w:color w:val="000000"/>
              <w:sz w:val="24"/>
              <w:szCs w:val="24"/>
            </w:rPr>
          </w:pPr>
          <w:r>
            <w:fldChar w:fldCharType="end"/>
          </w:r>
          <w:hyperlink w:anchor="_r198195uzg65">
            <w:r>
              <w:rPr>
                <w:rFonts w:ascii="Times New Roman" w:eastAsia="Times New Roman" w:hAnsi="Times New Roman" w:cs="Times New Roman"/>
                <w:color w:val="000000"/>
                <w:sz w:val="24"/>
                <w:szCs w:val="24"/>
              </w:rPr>
              <w:t>Definition of Critical Thinking</w:t>
            </w:r>
            <w:r>
              <w:rPr>
                <w:rFonts w:ascii="Times New Roman" w:eastAsia="Times New Roman" w:hAnsi="Times New Roman" w:cs="Times New Roman"/>
                <w:color w:val="000000"/>
                <w:sz w:val="24"/>
                <w:szCs w:val="24"/>
              </w:rPr>
              <w:tab/>
            </w:r>
          </w:hyperlink>
          <w:r>
            <w:fldChar w:fldCharType="begin"/>
          </w:r>
          <w:r>
            <w:instrText xml:space="preserve"> PAGEREF _r198195uzg65 \h </w:instrText>
          </w:r>
          <w:r>
            <w:fldChar w:fldCharType="separate"/>
          </w:r>
          <w:r>
            <w:rPr>
              <w:rFonts w:ascii="Times New Roman" w:eastAsia="Times New Roman" w:hAnsi="Times New Roman" w:cs="Times New Roman"/>
              <w:sz w:val="24"/>
              <w:szCs w:val="24"/>
            </w:rPr>
            <w:t>1</w:t>
          </w:r>
          <w:hyperlink w:anchor="_r198195uzg65" w:history="1"/>
        </w:p>
        <w:p w14:paraId="283BE783" w14:textId="77777777" w:rsidR="00132FD6" w:rsidRDefault="00AE1160">
          <w:pPr>
            <w:widowControl w:val="0"/>
            <w:tabs>
              <w:tab w:val="right" w:pos="9360"/>
            </w:tabs>
            <w:spacing w:before="60" w:after="200" w:line="360" w:lineRule="auto"/>
            <w:jc w:val="both"/>
            <w:rPr>
              <w:rFonts w:ascii="Times New Roman" w:eastAsia="Times New Roman" w:hAnsi="Times New Roman" w:cs="Times New Roman"/>
              <w:color w:val="000000"/>
              <w:sz w:val="24"/>
              <w:szCs w:val="24"/>
            </w:rPr>
          </w:pPr>
          <w:r>
            <w:fldChar w:fldCharType="end"/>
          </w:r>
          <w:hyperlink w:anchor="_dt5a8kqvxx9h">
            <w:r>
              <w:rPr>
                <w:rFonts w:ascii="Times New Roman" w:eastAsia="Times New Roman" w:hAnsi="Times New Roman" w:cs="Times New Roman"/>
                <w:color w:val="000000"/>
                <w:sz w:val="24"/>
                <w:szCs w:val="24"/>
              </w:rPr>
              <w:t>Importance of Critical Thinking</w:t>
            </w:r>
            <w:r>
              <w:rPr>
                <w:rFonts w:ascii="Times New Roman" w:eastAsia="Times New Roman" w:hAnsi="Times New Roman" w:cs="Times New Roman"/>
                <w:color w:val="000000"/>
                <w:sz w:val="24"/>
                <w:szCs w:val="24"/>
              </w:rPr>
              <w:tab/>
            </w:r>
          </w:hyperlink>
          <w:r>
            <w:fldChar w:fldCharType="begin"/>
          </w:r>
          <w:r>
            <w:instrText xml:space="preserve"> PAGEREF _dt5a8kqvxx9h \h </w:instrText>
          </w:r>
          <w:r>
            <w:fldChar w:fldCharType="separate"/>
          </w:r>
          <w:r>
            <w:rPr>
              <w:rFonts w:ascii="Times New Roman" w:eastAsia="Times New Roman" w:hAnsi="Times New Roman" w:cs="Times New Roman"/>
              <w:sz w:val="24"/>
              <w:szCs w:val="24"/>
            </w:rPr>
            <w:t>2</w:t>
          </w:r>
          <w:hyperlink w:anchor="_dt5a8kqvxx9h" w:history="1"/>
        </w:p>
        <w:p w14:paraId="1D2D49E2" w14:textId="77777777" w:rsidR="00132FD6" w:rsidRDefault="00AE1160">
          <w:pPr>
            <w:widowControl w:val="0"/>
            <w:tabs>
              <w:tab w:val="right" w:pos="9360"/>
            </w:tabs>
            <w:spacing w:before="60" w:after="200" w:line="360" w:lineRule="auto"/>
            <w:jc w:val="both"/>
            <w:rPr>
              <w:rFonts w:ascii="Times New Roman" w:eastAsia="Times New Roman" w:hAnsi="Times New Roman" w:cs="Times New Roman"/>
              <w:color w:val="000000"/>
              <w:sz w:val="24"/>
              <w:szCs w:val="24"/>
            </w:rPr>
          </w:pPr>
          <w:r>
            <w:fldChar w:fldCharType="end"/>
          </w:r>
          <w:hyperlink w:anchor="_a4b4f94h18fx">
            <w:r>
              <w:rPr>
                <w:rFonts w:ascii="Times New Roman" w:eastAsia="Times New Roman" w:hAnsi="Times New Roman" w:cs="Times New Roman"/>
                <w:color w:val="000000"/>
                <w:sz w:val="24"/>
                <w:szCs w:val="24"/>
              </w:rPr>
              <w:t>Critical Thinking Strategies</w:t>
            </w:r>
            <w:r>
              <w:rPr>
                <w:rFonts w:ascii="Times New Roman" w:eastAsia="Times New Roman" w:hAnsi="Times New Roman" w:cs="Times New Roman"/>
                <w:color w:val="000000"/>
                <w:sz w:val="24"/>
                <w:szCs w:val="24"/>
              </w:rPr>
              <w:tab/>
            </w:r>
          </w:hyperlink>
          <w:r>
            <w:fldChar w:fldCharType="begin"/>
          </w:r>
          <w:r>
            <w:instrText xml:space="preserve"> PAGEREF _a4b4f94h18fx \h </w:instrText>
          </w:r>
          <w:r>
            <w:fldChar w:fldCharType="separate"/>
          </w:r>
          <w:r>
            <w:rPr>
              <w:rFonts w:ascii="Times New Roman" w:eastAsia="Times New Roman" w:hAnsi="Times New Roman" w:cs="Times New Roman"/>
              <w:sz w:val="24"/>
              <w:szCs w:val="24"/>
            </w:rPr>
            <w:t>2</w:t>
          </w:r>
          <w:hyperlink w:anchor="_a4b4f94h18fx" w:history="1"/>
        </w:p>
        <w:p w14:paraId="6D782CE7" w14:textId="77777777" w:rsidR="00132FD6" w:rsidRDefault="00AE1160">
          <w:pPr>
            <w:widowControl w:val="0"/>
            <w:tabs>
              <w:tab w:val="right" w:pos="9360"/>
            </w:tabs>
            <w:spacing w:before="60" w:after="200" w:line="360" w:lineRule="auto"/>
            <w:jc w:val="both"/>
            <w:rPr>
              <w:rFonts w:ascii="Times New Roman" w:eastAsia="Times New Roman" w:hAnsi="Times New Roman" w:cs="Times New Roman"/>
              <w:color w:val="000000"/>
              <w:sz w:val="24"/>
              <w:szCs w:val="24"/>
            </w:rPr>
          </w:pPr>
          <w:r>
            <w:fldChar w:fldCharType="end"/>
          </w:r>
          <w:hyperlink w:anchor="_ayzxcqp8agi6">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_ayzxcqp8agi6 \h </w:instrText>
          </w:r>
          <w:r>
            <w:fldChar w:fldCharType="separate"/>
          </w:r>
          <w:r>
            <w:rPr>
              <w:rFonts w:ascii="Times New Roman" w:eastAsia="Times New Roman" w:hAnsi="Times New Roman" w:cs="Times New Roman"/>
              <w:sz w:val="24"/>
              <w:szCs w:val="24"/>
            </w:rPr>
            <w:t>3</w:t>
          </w:r>
          <w:hyperlink w:anchor="_ayzxcqp8agi6" w:history="1"/>
        </w:p>
        <w:p w14:paraId="365F96E6" w14:textId="77777777" w:rsidR="00132FD6" w:rsidRDefault="00AE1160">
          <w:pPr>
            <w:widowControl w:val="0"/>
            <w:tabs>
              <w:tab w:val="right" w:pos="9360"/>
            </w:tabs>
            <w:spacing w:before="60" w:after="200" w:line="360" w:lineRule="auto"/>
            <w:jc w:val="both"/>
          </w:pPr>
          <w:r>
            <w:fldChar w:fldCharType="end"/>
          </w:r>
          <w:hyperlink w:anchor="_7tiiilxfa6yv">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_7tiiilxfa6yv \h </w:instrText>
          </w:r>
          <w:r>
            <w:fldChar w:fldCharType="separate"/>
          </w:r>
          <w:r>
            <w:rPr>
              <w:rFonts w:ascii="Times New Roman" w:eastAsia="Times New Roman" w:hAnsi="Times New Roman" w:cs="Times New Roman"/>
              <w:sz w:val="24"/>
              <w:szCs w:val="24"/>
            </w:rPr>
            <w:t>4</w:t>
          </w:r>
          <w:r>
            <w:fldChar w:fldCharType="end"/>
          </w:r>
          <w:r>
            <w:fldChar w:fldCharType="end"/>
          </w:r>
        </w:p>
      </w:sdtContent>
    </w:sdt>
    <w:p w14:paraId="0C2CCE80" w14:textId="77777777" w:rsidR="00132FD6" w:rsidRDefault="00AE1160">
      <w:pPr>
        <w:widowControl w:val="0"/>
        <w:tabs>
          <w:tab w:val="right" w:pos="9360"/>
        </w:tabs>
        <w:spacing w:before="60" w:after="200" w:line="360" w:lineRule="auto"/>
        <w:jc w:val="both"/>
        <w:rPr>
          <w:rFonts w:ascii="Times New Roman" w:eastAsia="Times New Roman" w:hAnsi="Times New Roman" w:cs="Times New Roman"/>
          <w:color w:val="000000"/>
          <w:sz w:val="24"/>
          <w:szCs w:val="24"/>
        </w:rPr>
      </w:pPr>
      <w:bookmarkStart w:id="0" w:name="_92epcghqnyvd" w:colFirst="0" w:colLast="0"/>
      <w:bookmarkEnd w:id="0"/>
      <w:r>
        <w:br w:type="page"/>
      </w:r>
    </w:p>
    <w:p w14:paraId="2DFAA8EB" w14:textId="77777777" w:rsidR="00132FD6" w:rsidRDefault="00AE1160">
      <w:pPr>
        <w:pStyle w:val="Heading1"/>
      </w:pPr>
      <w:bookmarkStart w:id="1" w:name="_79pgdx3wmb4c" w:colFirst="0" w:colLast="0"/>
      <w:bookmarkEnd w:id="1"/>
      <w:r>
        <w:t>Introduction</w:t>
      </w:r>
    </w:p>
    <w:p w14:paraId="042EFD7E" w14:textId="77777777" w:rsidR="00132FD6" w:rsidRDefault="00AE1160">
      <w:pPr>
        <w:spacing w:before="200" w:after="200"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Academic success in a higher educational institution is built upon critical thinking (Jaramillo Gómez </w:t>
      </w:r>
      <w:r>
        <w:rPr>
          <w:rFonts w:ascii="Times New Roman" w:eastAsia="Times New Roman" w:hAnsi="Times New Roman" w:cs="Times New Roman"/>
          <w:i/>
          <w:iCs/>
          <w:color w:val="1F1F1F"/>
          <w:sz w:val="24"/>
          <w:szCs w:val="24"/>
        </w:rPr>
        <w:t xml:space="preserve">et al., </w:t>
      </w:r>
      <w:r>
        <w:rPr>
          <w:rFonts w:ascii="Times New Roman" w:eastAsia="Times New Roman" w:hAnsi="Times New Roman" w:cs="Times New Roman"/>
          <w:color w:val="1F1F1F"/>
          <w:sz w:val="24"/>
          <w:szCs w:val="24"/>
        </w:rPr>
        <w:t>2025). It allows the students to think and process intricate information as opposed to receiving facts passively. This report examines how critical thinking is multidimensional hence the need to have it in the university setting. In particular, the notion is characterised in the following sections, its scholarly value is considered, and the strategies relevant to the implementation of the concept are discussed.</w:t>
      </w:r>
    </w:p>
    <w:p w14:paraId="19BF6E24" w14:textId="77777777" w:rsidR="00132FD6" w:rsidRDefault="00AE1160">
      <w:pPr>
        <w:pStyle w:val="Heading1"/>
      </w:pPr>
      <w:bookmarkStart w:id="2" w:name="_r198195uzg65" w:colFirst="0" w:colLast="0"/>
      <w:bookmarkEnd w:id="2"/>
      <w:r>
        <w:t>Definition of Critical Thinking</w:t>
      </w:r>
    </w:p>
    <w:p w14:paraId="5FF12ABA"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thinking refers to the intellectually disciplined act of conceptualising, applying, analysing, synthesising, and evaluating information obtained through observation, experience, or reflection to be active and skillful (Elder and Paul, 2022). It is beyond mere memorisation, and it involves organised systemic study of the objective. Critical thinking can help individuals create informed points of view that are based on empirical data and not subjective and biased (Dinsmore and Fryer, 2023). It is a process that involves clarity, accuracy and precision.</w:t>
      </w:r>
    </w:p>
    <w:p w14:paraId="4200FEA2" w14:textId="77777777" w:rsidR="00132FD6" w:rsidRDefault="00AE1160">
      <w:pPr>
        <w:spacing w:before="240" w:after="240"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sz w:val="24"/>
          <w:szCs w:val="24"/>
        </w:rPr>
        <w:t>Moreover, there is a high level of self-regulation and meta-cognition in this cognitive process. Scholars such as Waller (2022) believe that critical thinking is not only a set of particular skills but an enduring attitude towards questioning. It requires one to question the status quo and one must be intellectually honest. In the context of business management, it refers to evaluating market data and organisational theories from a perspective of scepticism and harshness, in a way that the conclusions will be strong, defensible, and relevant to practical situations (Celestin et al., 2025). It is the capacity to reflect on thinking and in the process continuously enhance it. It is therefore a necessary quality in students who would want to attain the most academic and professional success in a contemporary world that is fast becoming increasingly demanding and multidimensional.</w:t>
      </w:r>
    </w:p>
    <w:p w14:paraId="3B355742" w14:textId="77777777" w:rsidR="00132FD6" w:rsidRDefault="00AE1160">
      <w:pPr>
        <w:pStyle w:val="Heading1"/>
      </w:pPr>
      <w:bookmarkStart w:id="3" w:name="_dt5a8kqvxx9h" w:colFirst="0" w:colLast="0"/>
      <w:bookmarkEnd w:id="3"/>
      <w:r>
        <w:t>Importance of Critical Thinking</w:t>
      </w:r>
    </w:p>
    <w:p w14:paraId="0861409E"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thinking is extremely vital to academic success since it directly manifests in the capacity of a student to deliver quality work (Prihandoko, Morganna and Amalia, 2024). Assessment at the higher education level often requires evaluation and analysis, as opposed to mere description. Therefore, students are in a position to synthesise different perspectives and formulate appealing and logical arguments. This ability is necessary to make it through the enormous amounts of scholarly literature that have to be met during the research process in order to know the valid and invalid sources of data.</w:t>
      </w:r>
    </w:p>
    <w:p w14:paraId="15F8A55F" w14:textId="77777777" w:rsidR="00132FD6" w:rsidRDefault="00AE1160">
      <w:pPr>
        <w:spacing w:before="240" w:after="240"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sz w:val="24"/>
          <w:szCs w:val="24"/>
        </w:rPr>
        <w:t>As an illustration, assessing the corporate social responsibility model, a student should examine the drawbacks of the Pyramid of Carroll instead of just reading the levels (He, 2023). Through critical questioning, the student will be able to juxtapose the theoretical frameworks and the current industry practises. Such a level of analysis shows a greater degree of intellectual involvement, which is normally linked to high academic achievement. Finally, critical thinking is an independent learning process that will equip students with the challenges of professional decision-making and problem-solving strategies. Thus, the skill to challenge information and re-combine new concepts is still a crucial element of the learning process that will help scholars meet the high intellectual standards of modern degree programmes (Zamiri and Esmaeili, 2024). Moreover, this able reflection enables the creation of new solutions to the long run academic issues in the sphere and the improvement of the overall level of university education.</w:t>
      </w:r>
    </w:p>
    <w:p w14:paraId="7EECFB49" w14:textId="77777777" w:rsidR="00132FD6" w:rsidRDefault="00AE1160">
      <w:pPr>
        <w:pStyle w:val="Heading1"/>
      </w:pPr>
      <w:bookmarkStart w:id="4" w:name="_a4b4f94h18fx" w:colFirst="0" w:colLast="0"/>
      <w:bookmarkEnd w:id="4"/>
      <w:r>
        <w:t>Critical Thinking Strategies</w:t>
      </w:r>
    </w:p>
    <w:p w14:paraId="64710E30"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Socratic Questioning method is one of the efficient tools to form critical thinking in academic settings (Dalim, Ishak and Hamzah, 2022). This is a rigorous procedure of questioning the reasonableness and soundness of an argument. Probing questions about what evidence supports a statement, what other ways an assertion can be interpreted, etc., allow students to reveal deficits in their knowledge and in what they read. This approach stimulates the investigation of the deeper causes and mechanisms of up-to-date phenomena, leading to strict academic production (Rahmawati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2022).</w:t>
      </w:r>
    </w:p>
    <w:p w14:paraId="603A2C37" w14:textId="77777777" w:rsidR="00132FD6" w:rsidRDefault="00AE1160">
      <w:pPr>
        <w:spacing w:before="240" w:after="240"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sz w:val="24"/>
          <w:szCs w:val="24"/>
        </w:rPr>
        <w:t>To execute this strategy, it is necessary to practise regularly throughout seminars and independent-study time. When learning with academic journals, the students are to systematically ask these questions about the methodology and conclusions that the authors make (Prakong, 2024). This active participation also turns the reading process into an active intake of information into a demanding exercise of theoretical soundness. With time, the tendency to question enhances the power to think in an independent and critical manner. Therefore, the Socratic method is an effective means of honing the analytical ability, so that any scholarly work is both of intellectual and empirical quality (Bowker, Younger and Thomson, 2026). This initiative helps students to attain clarity and depth in their written assignments.</w:t>
      </w:r>
    </w:p>
    <w:p w14:paraId="32BF1F96" w14:textId="77777777" w:rsidR="00132FD6" w:rsidRDefault="00AE1160">
      <w:pPr>
        <w:pStyle w:val="Heading1"/>
      </w:pPr>
      <w:bookmarkStart w:id="5" w:name="_ayzxcqp8agi6" w:colFirst="0" w:colLast="0"/>
      <w:bookmarkEnd w:id="5"/>
      <w:r>
        <w:t>Conclusion</w:t>
      </w:r>
    </w:p>
    <w:p w14:paraId="692B7CA8" w14:textId="77777777" w:rsidR="00132FD6" w:rsidRDefault="00AE1160">
      <w:pPr>
        <w:spacing w:before="200" w:after="200" w:line="360" w:lineRule="auto"/>
        <w:jc w:val="both"/>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Therefore, critical thinking is a necessary tool to survive the demands of a higher education. By establishing the concept of what the term means, recognising its effect on academic achievement, and introducing structure-based questioning techniques, students are able to greatly increase their academic output. As shown, it is crucial to go beyond description to critical analysis to attain excellence and equip oneself to face the professional demands of the contemporary world.</w:t>
      </w:r>
    </w:p>
    <w:p w14:paraId="445A1797" w14:textId="77777777" w:rsidR="00132FD6" w:rsidRDefault="00132FD6">
      <w:pPr>
        <w:spacing w:before="200" w:after="200" w:line="360" w:lineRule="auto"/>
        <w:jc w:val="both"/>
        <w:rPr>
          <w:rFonts w:ascii="Times New Roman" w:eastAsia="Times New Roman" w:hAnsi="Times New Roman" w:cs="Times New Roman"/>
          <w:color w:val="1F1F1F"/>
          <w:sz w:val="24"/>
          <w:szCs w:val="24"/>
        </w:rPr>
      </w:pPr>
    </w:p>
    <w:p w14:paraId="4F47DE89" w14:textId="77777777" w:rsidR="00132FD6" w:rsidRDefault="00AE1160">
      <w:pPr>
        <w:spacing w:before="200" w:after="200" w:line="360" w:lineRule="auto"/>
        <w:jc w:val="both"/>
        <w:rPr>
          <w:rFonts w:ascii="Times New Roman" w:eastAsia="Times New Roman" w:hAnsi="Times New Roman" w:cs="Times New Roman"/>
          <w:b/>
          <w:bCs/>
          <w:sz w:val="24"/>
          <w:szCs w:val="24"/>
        </w:rPr>
      </w:pPr>
      <w:r>
        <w:br w:type="page"/>
      </w:r>
    </w:p>
    <w:p w14:paraId="13311014" w14:textId="77777777" w:rsidR="00132FD6" w:rsidRDefault="00AE1160">
      <w:pPr>
        <w:pStyle w:val="Heading1"/>
      </w:pPr>
      <w:bookmarkStart w:id="6" w:name="_7tiiilxfa6yv" w:colFirst="0" w:colLast="0"/>
      <w:bookmarkEnd w:id="6"/>
      <w:r>
        <w:t>References</w:t>
      </w:r>
    </w:p>
    <w:p w14:paraId="5C428EBA"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Bowker, M., Younger, A. and Thomson, R., (2026). How would Socrates debrief? Five tools using original Socratic dialogue. MedEdPublish, 16(5), p.5.</w:t>
      </w:r>
    </w:p>
    <w:p w14:paraId="006A7002"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Celestin, M., Vasuki, M., Kumar, A.D. and Asamoah, P.J., (2025). AI-Driven Risk Forecasting Theory. International American Council for Research &amp; Development.</w:t>
      </w:r>
    </w:p>
    <w:p w14:paraId="0E57A890"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Dalim, S.F., Ishak, A.S. and Hamzah, L.M., (2022). Promoting students’ critical thinking through socratic method: Views and challenges. Asian Journal of University Education (AJUE), 18(4), pp.1034–1047.</w:t>
      </w:r>
    </w:p>
    <w:p w14:paraId="53EA59C1"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Dinsmore, D.L. and Fryer, L.K., (2023). Critical thinking and its relation to strategic processing. Educational Psychology Review, 35(1), p.36.</w:t>
      </w:r>
    </w:p>
    <w:p w14:paraId="6082245B"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Elder, L. and Paul, R., (2022). Critical thinking. Routledge.</w:t>
      </w:r>
      <w:hyperlink r:id="rId7">
        <w:r>
          <w:rPr>
            <w:rFonts w:ascii="Times New Roman" w:eastAsia="Times New Roman" w:hAnsi="Times New Roman" w:cs="Times New Roman"/>
            <w:sz w:val="24"/>
            <w:szCs w:val="24"/>
          </w:rPr>
          <w:t xml:space="preserve"> https://doi.org/10.4324/9781138609877-REE215-1</w:t>
        </w:r>
      </w:hyperlink>
    </w:p>
    <w:p w14:paraId="7BB9941E"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 S., (2023). Corporate social responsibility in higher education: Concept, content, improvement. (Doctoral dissertation, University of Glasgow).</w:t>
      </w:r>
    </w:p>
    <w:p w14:paraId="197433AB"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Jaramillo Gómez, D.L., Álvarez Maestre, A.J., Parada Trujillo, A.E., Pérez Fuentes, C.A., Bedoya Ortiz, D.H. and Sanabria Alarcón, R.K., (2025). Determining factors for the development of critical thinking in higher education. Journal of Intelligence, 13(6), p.59.</w:t>
      </w:r>
    </w:p>
    <w:p w14:paraId="19EEE8D6"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Prakong, S., (2024). The role of critical thinking in enhancing students’ problem-solving abilities in higher education. Journal of Education, Humanities, and Social Research, 1(1), pp.10–16.</w:t>
      </w:r>
    </w:p>
    <w:p w14:paraId="7D6718AE"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Prihandoko, L.A., Morganna, R. and Amalia, S.N., (2024). Self-efficacy and metacognition as the mediated effects of growth mindset on academic writing performance. Journal of Language and Education, 10(2 (38)), pp.108–122.</w:t>
      </w:r>
    </w:p>
    <w:p w14:paraId="772ABB3A"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Rahmawati, D., Vahlia, I., Mustika, M., Yunarti, T. and Nurhanurawati, N., (2022). Socrates questions to optimize students critical thinking. Al-Jabar: Jurnal Pendidikan Matematika, 13(2), pp.372–382.</w:t>
      </w:r>
    </w:p>
    <w:p w14:paraId="3D5D8F31"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Waller, B.N., (2022). Critical thinking: Consider the verdict. Waveland Press.</w:t>
      </w:r>
    </w:p>
    <w:p w14:paraId="494B0CAA" w14:textId="77777777" w:rsidR="00132FD6" w:rsidRDefault="00AE116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Zamiri, M. and Esmaeili, A., (2024). Strategies, methods, and supports for developing skills within learning communities: A systematic review of the literature. Administrative Sciences, 14(9), p.231.</w:t>
      </w:r>
    </w:p>
    <w:sectPr w:rsidR="00132FD6">
      <w:footerReference w:type="default" r:id="rId8"/>
      <w:footerReference w:type="firs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36A83" w14:textId="77777777" w:rsidR="00AE1160" w:rsidRDefault="00AE1160">
      <w:pPr>
        <w:spacing w:line="240" w:lineRule="auto"/>
      </w:pPr>
      <w:r>
        <w:separator/>
      </w:r>
    </w:p>
  </w:endnote>
  <w:endnote w:type="continuationSeparator" w:id="0">
    <w:p w14:paraId="3C783CE6" w14:textId="77777777" w:rsidR="00AE1160" w:rsidRDefault="00AE11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9771A" w14:textId="77777777" w:rsidR="00132FD6" w:rsidRDefault="00AE116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D3E18" w14:textId="77777777" w:rsidR="00132FD6" w:rsidRDefault="00132FD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9AEC5" w14:textId="77777777" w:rsidR="00AE1160" w:rsidRDefault="00AE1160">
      <w:pPr>
        <w:spacing w:line="240" w:lineRule="auto"/>
      </w:pPr>
      <w:r>
        <w:separator/>
      </w:r>
    </w:p>
  </w:footnote>
  <w:footnote w:type="continuationSeparator" w:id="0">
    <w:p w14:paraId="4FD0A38A" w14:textId="77777777" w:rsidR="00AE1160" w:rsidRDefault="00AE116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2FD6"/>
    <w:rsid w:val="00132FD6"/>
    <w:rsid w:val="007253A1"/>
    <w:rsid w:val="00977B5D"/>
    <w:rsid w:val="00A81BEC"/>
    <w:rsid w:val="00A934C3"/>
    <w:rsid w:val="00AE1160"/>
    <w:rsid w:val="00BB448C"/>
    <w:rsid w:val="00F64E28"/>
    <w:rsid w:val="00FC3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BE9D96"/>
  <w15:docId w15:val="{F941CC62-33CB-BB46-8C4F-04DB18C70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hyperlink" Target="https://doi.org/10.4324/9781138609877-REE215-1"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1307</Words>
  <Characters>7451</Characters>
  <Application>Microsoft Office Word</Application>
  <DocSecurity>0</DocSecurity>
  <Lines>62</Lines>
  <Paragraphs>17</Paragraphs>
  <ScaleCrop>false</ScaleCrop>
  <Company/>
  <LinksUpToDate>false</LinksUpToDate>
  <CharactersWithSpaces>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Neata HE34989</cp:lastModifiedBy>
  <cp:revision>2</cp:revision>
  <dcterms:created xsi:type="dcterms:W3CDTF">2026-03-20T10:14:00Z</dcterms:created>
  <dcterms:modified xsi:type="dcterms:W3CDTF">2026-03-20T10:14:00Z</dcterms:modified>
</cp:coreProperties>
</file>