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7ABEFB" w14:textId="77777777" w:rsidR="001D676C" w:rsidRPr="001D676C" w:rsidRDefault="001D676C" w:rsidP="001D676C">
      <w:pPr>
        <w:spacing w:after="72" w:line="240" w:lineRule="auto"/>
        <w:textAlignment w:val="baseline"/>
        <w:outlineLvl w:val="3"/>
        <w:rPr>
          <w:rFonts w:ascii="inherit" w:eastAsia="Times New Roman" w:hAnsi="inherit" w:cs="Times New Roman"/>
          <w:b/>
          <w:bCs/>
          <w:color w:val="333333"/>
          <w:sz w:val="27"/>
          <w:szCs w:val="27"/>
          <w:lang w:eastAsia="en-GB"/>
        </w:rPr>
      </w:pPr>
      <w:r w:rsidRPr="001D676C">
        <w:rPr>
          <w:rFonts w:ascii="inherit" w:eastAsia="Times New Roman" w:hAnsi="inherit" w:cs="Times New Roman"/>
          <w:b/>
          <w:bCs/>
          <w:color w:val="333333"/>
          <w:sz w:val="27"/>
          <w:szCs w:val="27"/>
          <w:lang w:eastAsia="en-GB"/>
        </w:rPr>
        <w:t>You have answered 4 out of 10 questions correctly.</w:t>
      </w:r>
    </w:p>
    <w:p w14:paraId="7DFD5FB9" w14:textId="77777777" w:rsidR="001D676C" w:rsidRPr="001D676C" w:rsidRDefault="001D676C" w:rsidP="001D676C">
      <w:pPr>
        <w:spacing w:after="150" w:line="240" w:lineRule="auto"/>
        <w:textAlignment w:val="baseline"/>
        <w:outlineLvl w:val="3"/>
        <w:rPr>
          <w:rFonts w:ascii="inherit" w:eastAsia="Times New Roman" w:hAnsi="inherit" w:cs="Times New Roman"/>
          <w:b/>
          <w:bCs/>
          <w:color w:val="333333"/>
          <w:sz w:val="27"/>
          <w:szCs w:val="27"/>
          <w:lang w:eastAsia="en-GB"/>
        </w:rPr>
      </w:pPr>
      <w:r w:rsidRPr="001D676C">
        <w:rPr>
          <w:rFonts w:ascii="inherit" w:eastAsia="Times New Roman" w:hAnsi="inherit" w:cs="Times New Roman"/>
          <w:b/>
          <w:bCs/>
          <w:color w:val="333333"/>
          <w:sz w:val="27"/>
          <w:szCs w:val="27"/>
          <w:lang w:eastAsia="en-GB"/>
        </w:rPr>
        <w:t>Your percentage score is 40%.</w:t>
      </w:r>
    </w:p>
    <w:p w14:paraId="7C4E336A" w14:textId="77777777" w:rsidR="001D676C" w:rsidRPr="001D676C" w:rsidRDefault="001D676C" w:rsidP="001D676C">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0" w:name="1"/>
      <w:bookmarkEnd w:id="0"/>
      <w:r w:rsidRPr="001D676C">
        <w:rPr>
          <w:rFonts w:ascii="inherit" w:eastAsia="Times New Roman" w:hAnsi="inherit" w:cs="Times New Roman"/>
          <w:b/>
          <w:bCs/>
          <w:color w:val="86A600"/>
          <w:sz w:val="25"/>
          <w:szCs w:val="25"/>
          <w:lang w:eastAsia="en-GB"/>
        </w:rPr>
        <w:t>Question 1</w:t>
      </w:r>
    </w:p>
    <w:p w14:paraId="5F176969" w14:textId="77777777" w:rsidR="001D676C" w:rsidRPr="001D676C" w:rsidRDefault="001D676C" w:rsidP="001D676C">
      <w:pPr>
        <w:spacing w:after="24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color w:val="000000"/>
          <w:sz w:val="25"/>
          <w:szCs w:val="25"/>
          <w:lang w:eastAsia="en-GB"/>
        </w:rPr>
        <w:t>What is the core rationale for the preliminary rulings procedure?</w:t>
      </w:r>
    </w:p>
    <w:p w14:paraId="2033BD62" w14:textId="77777777" w:rsidR="001D676C" w:rsidRPr="001D676C" w:rsidRDefault="001D676C" w:rsidP="001D676C">
      <w:pPr>
        <w:spacing w:after="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b/>
          <w:bCs/>
          <w:color w:val="000000"/>
          <w:sz w:val="25"/>
          <w:szCs w:val="25"/>
          <w:bdr w:val="none" w:sz="0" w:space="0" w:color="auto" w:frame="1"/>
          <w:lang w:eastAsia="en-GB"/>
        </w:rPr>
        <w:t>Your answer:</w:t>
      </w:r>
    </w:p>
    <w:p w14:paraId="7BF52314" w14:textId="77777777" w:rsidR="001D676C" w:rsidRPr="001D676C" w:rsidRDefault="001D676C" w:rsidP="001D676C">
      <w:pPr>
        <w:spacing w:after="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b/>
          <w:bCs/>
          <w:color w:val="86A600"/>
          <w:sz w:val="25"/>
          <w:szCs w:val="25"/>
          <w:bdr w:val="none" w:sz="0" w:space="0" w:color="auto" w:frame="1"/>
          <w:lang w:eastAsia="en-GB"/>
        </w:rPr>
        <w:t>d) </w:t>
      </w:r>
      <w:r w:rsidRPr="001D676C">
        <w:rPr>
          <w:rFonts w:ascii="inherit" w:eastAsia="Times New Roman" w:hAnsi="inherit" w:cs="Times New Roman"/>
          <w:color w:val="000000"/>
          <w:sz w:val="25"/>
          <w:szCs w:val="25"/>
          <w:lang w:eastAsia="en-GB"/>
        </w:rPr>
        <w:t>To ensure the uniform and consistent interpretation of EU law.</w:t>
      </w:r>
    </w:p>
    <w:p w14:paraId="064FA53D" w14:textId="77777777" w:rsidR="001D676C" w:rsidRPr="001D676C" w:rsidRDefault="001D676C" w:rsidP="001D676C">
      <w:pPr>
        <w:spacing w:after="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b/>
          <w:bCs/>
          <w:color w:val="000000"/>
          <w:sz w:val="25"/>
          <w:szCs w:val="25"/>
          <w:bdr w:val="none" w:sz="0" w:space="0" w:color="auto" w:frame="1"/>
          <w:lang w:eastAsia="en-GB"/>
        </w:rPr>
        <w:t>Feedback:</w:t>
      </w:r>
    </w:p>
    <w:p w14:paraId="3882C916" w14:textId="77777777" w:rsidR="001D676C" w:rsidRPr="001D676C" w:rsidRDefault="001D676C" w:rsidP="001D676C">
      <w:pPr>
        <w:spacing w:after="15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color w:val="000000"/>
          <w:sz w:val="25"/>
          <w:szCs w:val="25"/>
          <w:lang w:eastAsia="en-GB"/>
        </w:rPr>
        <w:t>The core rationale for the preliminary rulings procedure is the uniform and consistent interpretation of EU law across the national courts. However, Article 267 has even broader significance. Through this mechanism, the Court of Justice has been able to develop major legal principles such as supremacy, direct effect, indirect effect and State liability.</w:t>
      </w:r>
      <w:r w:rsidRPr="001D676C">
        <w:rPr>
          <w:rFonts w:ascii="inherit" w:eastAsia="Times New Roman" w:hAnsi="inherit" w:cs="Times New Roman"/>
          <w:color w:val="000000"/>
          <w:sz w:val="25"/>
          <w:szCs w:val="25"/>
          <w:lang w:eastAsia="en-GB"/>
        </w:rPr>
        <w:br/>
      </w:r>
      <w:r w:rsidRPr="001D676C">
        <w:rPr>
          <w:rFonts w:ascii="inherit" w:eastAsia="Times New Roman" w:hAnsi="inherit" w:cs="Times New Roman"/>
          <w:b/>
          <w:bCs/>
          <w:color w:val="000000"/>
          <w:sz w:val="25"/>
          <w:szCs w:val="25"/>
          <w:bdr w:val="none" w:sz="0" w:space="0" w:color="auto" w:frame="1"/>
          <w:lang w:eastAsia="en-GB"/>
        </w:rPr>
        <w:t>Page reference:</w:t>
      </w:r>
      <w:r w:rsidRPr="001D676C">
        <w:rPr>
          <w:rFonts w:ascii="inherit" w:eastAsia="Times New Roman" w:hAnsi="inherit" w:cs="Times New Roman"/>
          <w:color w:val="000000"/>
          <w:sz w:val="25"/>
          <w:szCs w:val="25"/>
          <w:lang w:eastAsia="en-GB"/>
        </w:rPr>
        <w:t> 188</w:t>
      </w:r>
    </w:p>
    <w:p w14:paraId="0C69261D" w14:textId="77777777" w:rsidR="001D676C" w:rsidRPr="001D676C" w:rsidRDefault="001D676C" w:rsidP="001D676C">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1" w:name="2"/>
      <w:bookmarkEnd w:id="1"/>
      <w:r w:rsidRPr="001D676C">
        <w:rPr>
          <w:rFonts w:ascii="inherit" w:eastAsia="Times New Roman" w:hAnsi="inherit" w:cs="Times New Roman"/>
          <w:b/>
          <w:bCs/>
          <w:color w:val="86A600"/>
          <w:sz w:val="25"/>
          <w:szCs w:val="25"/>
          <w:lang w:eastAsia="en-GB"/>
        </w:rPr>
        <w:t>Question 2</w:t>
      </w:r>
    </w:p>
    <w:p w14:paraId="38E7E733" w14:textId="77777777" w:rsidR="001D676C" w:rsidRPr="001D676C" w:rsidRDefault="001D676C" w:rsidP="001D676C">
      <w:pPr>
        <w:spacing w:after="24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color w:val="000000"/>
          <w:sz w:val="25"/>
          <w:szCs w:val="25"/>
          <w:lang w:eastAsia="en-GB"/>
        </w:rPr>
        <w:t>What is the Court of Justice's jurisdiction under Article 267 (1) TFEU?</w:t>
      </w:r>
    </w:p>
    <w:p w14:paraId="339D6000" w14:textId="77777777" w:rsidR="001D676C" w:rsidRPr="001D676C" w:rsidRDefault="001D676C" w:rsidP="001D676C">
      <w:pPr>
        <w:spacing w:after="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b/>
          <w:bCs/>
          <w:color w:val="000000"/>
          <w:sz w:val="25"/>
          <w:szCs w:val="25"/>
          <w:bdr w:val="none" w:sz="0" w:space="0" w:color="auto" w:frame="1"/>
          <w:lang w:eastAsia="en-GB"/>
        </w:rPr>
        <w:t>Your answer:</w:t>
      </w:r>
    </w:p>
    <w:p w14:paraId="3778BCFD" w14:textId="77777777" w:rsidR="001D676C" w:rsidRPr="001D676C" w:rsidRDefault="001D676C" w:rsidP="001D676C">
      <w:pPr>
        <w:spacing w:after="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b/>
          <w:bCs/>
          <w:color w:val="86A600"/>
          <w:sz w:val="25"/>
          <w:szCs w:val="25"/>
          <w:bdr w:val="none" w:sz="0" w:space="0" w:color="auto" w:frame="1"/>
          <w:lang w:eastAsia="en-GB"/>
        </w:rPr>
        <w:t>d) </w:t>
      </w:r>
      <w:r w:rsidRPr="001D676C">
        <w:rPr>
          <w:rFonts w:ascii="inherit" w:eastAsia="Times New Roman" w:hAnsi="inherit" w:cs="Times New Roman"/>
          <w:color w:val="000000"/>
          <w:sz w:val="25"/>
          <w:szCs w:val="25"/>
          <w:lang w:eastAsia="en-GB"/>
        </w:rPr>
        <w:t>To deliver preliminary rulings on the interpretation of national law.</w:t>
      </w:r>
    </w:p>
    <w:p w14:paraId="2DF6F959" w14:textId="77777777" w:rsidR="001D676C" w:rsidRPr="001D676C" w:rsidRDefault="001D676C" w:rsidP="001D676C">
      <w:pPr>
        <w:spacing w:after="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b/>
          <w:bCs/>
          <w:color w:val="000000"/>
          <w:sz w:val="25"/>
          <w:szCs w:val="25"/>
          <w:bdr w:val="none" w:sz="0" w:space="0" w:color="auto" w:frame="1"/>
          <w:lang w:eastAsia="en-GB"/>
        </w:rPr>
        <w:t>Correct answer:</w:t>
      </w:r>
    </w:p>
    <w:p w14:paraId="76C89116" w14:textId="77777777" w:rsidR="001D676C" w:rsidRPr="001D676C" w:rsidRDefault="001D676C" w:rsidP="001D676C">
      <w:pPr>
        <w:spacing w:after="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b/>
          <w:bCs/>
          <w:color w:val="86A600"/>
          <w:sz w:val="25"/>
          <w:szCs w:val="25"/>
          <w:bdr w:val="none" w:sz="0" w:space="0" w:color="auto" w:frame="1"/>
          <w:lang w:eastAsia="en-GB"/>
        </w:rPr>
        <w:t>b) </w:t>
      </w:r>
      <w:r w:rsidRPr="001D676C">
        <w:rPr>
          <w:rFonts w:ascii="inherit" w:eastAsia="Times New Roman" w:hAnsi="inherit" w:cs="Times New Roman"/>
          <w:color w:val="000000"/>
          <w:sz w:val="25"/>
          <w:szCs w:val="25"/>
          <w:lang w:eastAsia="en-GB"/>
        </w:rPr>
        <w:t>To deliver preliminary rulings on the interpretation and validity of EU law.</w:t>
      </w:r>
    </w:p>
    <w:p w14:paraId="0772FD52" w14:textId="77777777" w:rsidR="001D676C" w:rsidRPr="001D676C" w:rsidRDefault="001D676C" w:rsidP="001D676C">
      <w:pPr>
        <w:spacing w:after="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b/>
          <w:bCs/>
          <w:color w:val="000000"/>
          <w:sz w:val="25"/>
          <w:szCs w:val="25"/>
          <w:bdr w:val="none" w:sz="0" w:space="0" w:color="auto" w:frame="1"/>
          <w:lang w:eastAsia="en-GB"/>
        </w:rPr>
        <w:t>Feedback:</w:t>
      </w:r>
    </w:p>
    <w:p w14:paraId="616CDDDF" w14:textId="77777777" w:rsidR="001D676C" w:rsidRPr="001D676C" w:rsidRDefault="001D676C" w:rsidP="001D676C">
      <w:pPr>
        <w:spacing w:after="15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color w:val="000000"/>
          <w:sz w:val="25"/>
          <w:szCs w:val="25"/>
          <w:lang w:eastAsia="en-GB"/>
        </w:rPr>
        <w:t>The scope of the Court of Justice's jurisdiction is to give rulings - known as preliminary rulings - on the interpretation of the EU Treaties and of EU secondary legislation, and on the validity of secondary legislation. It has jurisdiction to give such a ruling where a national court referred questions to it. The Court has no jurisdiction to give rulings on the application of EU law, on the interpretation of national law, or on the compatibility of national law with EU law.</w:t>
      </w:r>
      <w:r w:rsidRPr="001D676C">
        <w:rPr>
          <w:rFonts w:ascii="inherit" w:eastAsia="Times New Roman" w:hAnsi="inherit" w:cs="Times New Roman"/>
          <w:color w:val="000000"/>
          <w:sz w:val="25"/>
          <w:szCs w:val="25"/>
          <w:lang w:eastAsia="en-GB"/>
        </w:rPr>
        <w:br/>
      </w:r>
      <w:r w:rsidRPr="001D676C">
        <w:rPr>
          <w:rFonts w:ascii="inherit" w:eastAsia="Times New Roman" w:hAnsi="inherit" w:cs="Times New Roman"/>
          <w:b/>
          <w:bCs/>
          <w:color w:val="000000"/>
          <w:sz w:val="25"/>
          <w:szCs w:val="25"/>
          <w:bdr w:val="none" w:sz="0" w:space="0" w:color="auto" w:frame="1"/>
          <w:lang w:eastAsia="en-GB"/>
        </w:rPr>
        <w:t>Page reference:</w:t>
      </w:r>
      <w:r w:rsidRPr="001D676C">
        <w:rPr>
          <w:rFonts w:ascii="inherit" w:eastAsia="Times New Roman" w:hAnsi="inherit" w:cs="Times New Roman"/>
          <w:color w:val="000000"/>
          <w:sz w:val="25"/>
          <w:szCs w:val="25"/>
          <w:lang w:eastAsia="en-GB"/>
        </w:rPr>
        <w:t> 187-188</w:t>
      </w:r>
    </w:p>
    <w:p w14:paraId="28889EDC" w14:textId="77777777" w:rsidR="001D676C" w:rsidRPr="001D676C" w:rsidRDefault="001D676C" w:rsidP="001D676C">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2" w:name="3"/>
      <w:bookmarkEnd w:id="2"/>
      <w:r w:rsidRPr="001D676C">
        <w:rPr>
          <w:rFonts w:ascii="inherit" w:eastAsia="Times New Roman" w:hAnsi="inherit" w:cs="Times New Roman"/>
          <w:b/>
          <w:bCs/>
          <w:color w:val="86A600"/>
          <w:sz w:val="25"/>
          <w:szCs w:val="25"/>
          <w:lang w:eastAsia="en-GB"/>
        </w:rPr>
        <w:t>Question 3</w:t>
      </w:r>
    </w:p>
    <w:p w14:paraId="1C433883" w14:textId="77777777" w:rsidR="001D676C" w:rsidRPr="001D676C" w:rsidRDefault="001D676C" w:rsidP="001D676C">
      <w:pPr>
        <w:spacing w:after="24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color w:val="000000"/>
          <w:sz w:val="25"/>
          <w:szCs w:val="25"/>
          <w:lang w:eastAsia="en-GB"/>
        </w:rPr>
        <w:t>Which courts have a discretion to refer under Article 267(2)?</w:t>
      </w:r>
    </w:p>
    <w:p w14:paraId="59DBC438" w14:textId="77777777" w:rsidR="001D676C" w:rsidRPr="001D676C" w:rsidRDefault="001D676C" w:rsidP="001D676C">
      <w:pPr>
        <w:spacing w:after="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b/>
          <w:bCs/>
          <w:color w:val="000000"/>
          <w:sz w:val="25"/>
          <w:szCs w:val="25"/>
          <w:bdr w:val="none" w:sz="0" w:space="0" w:color="auto" w:frame="1"/>
          <w:lang w:eastAsia="en-GB"/>
        </w:rPr>
        <w:t>Your answer:</w:t>
      </w:r>
    </w:p>
    <w:p w14:paraId="5F036EE2" w14:textId="77777777" w:rsidR="001D676C" w:rsidRPr="001D676C" w:rsidRDefault="001D676C" w:rsidP="001D676C">
      <w:pPr>
        <w:spacing w:after="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b/>
          <w:bCs/>
          <w:color w:val="86A600"/>
          <w:sz w:val="25"/>
          <w:szCs w:val="25"/>
          <w:bdr w:val="none" w:sz="0" w:space="0" w:color="auto" w:frame="1"/>
          <w:lang w:eastAsia="en-GB"/>
        </w:rPr>
        <w:t>c) </w:t>
      </w:r>
      <w:r w:rsidRPr="001D676C">
        <w:rPr>
          <w:rFonts w:ascii="inherit" w:eastAsia="Times New Roman" w:hAnsi="inherit" w:cs="Times New Roman"/>
          <w:color w:val="000000"/>
          <w:sz w:val="25"/>
          <w:szCs w:val="25"/>
          <w:lang w:eastAsia="en-GB"/>
        </w:rPr>
        <w:t>Any national courts or tribunals.</w:t>
      </w:r>
    </w:p>
    <w:p w14:paraId="21C1CC70" w14:textId="77777777" w:rsidR="001D676C" w:rsidRPr="001D676C" w:rsidRDefault="001D676C" w:rsidP="001D676C">
      <w:pPr>
        <w:spacing w:after="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b/>
          <w:bCs/>
          <w:color w:val="000000"/>
          <w:sz w:val="25"/>
          <w:szCs w:val="25"/>
          <w:bdr w:val="none" w:sz="0" w:space="0" w:color="auto" w:frame="1"/>
          <w:lang w:eastAsia="en-GB"/>
        </w:rPr>
        <w:t>Feedback:</w:t>
      </w:r>
    </w:p>
    <w:p w14:paraId="22CCB397" w14:textId="77777777" w:rsidR="001D676C" w:rsidRPr="001D676C" w:rsidRDefault="001D676C" w:rsidP="001D676C">
      <w:pPr>
        <w:spacing w:after="15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color w:val="000000"/>
          <w:sz w:val="25"/>
          <w:szCs w:val="25"/>
          <w:lang w:eastAsia="en-GB"/>
        </w:rPr>
        <w:t xml:space="preserve">Article 267(2) provides that 'any court or tribunal may, if it considers that a decision on the question [of EU law] is necessary to enable it to give judgment, request the ECJ to give a ruling thereon.' Courts of final appeal do not have a discretion; they are </w:t>
      </w:r>
      <w:r w:rsidRPr="001D676C">
        <w:rPr>
          <w:rFonts w:ascii="inherit" w:eastAsia="Times New Roman" w:hAnsi="inherit" w:cs="Times New Roman"/>
          <w:color w:val="000000"/>
          <w:sz w:val="25"/>
          <w:szCs w:val="25"/>
          <w:lang w:eastAsia="en-GB"/>
        </w:rPr>
        <w:lastRenderedPageBreak/>
        <w:t>obliged to make a reference.</w:t>
      </w:r>
      <w:r w:rsidRPr="001D676C">
        <w:rPr>
          <w:rFonts w:ascii="inherit" w:eastAsia="Times New Roman" w:hAnsi="inherit" w:cs="Times New Roman"/>
          <w:color w:val="000000"/>
          <w:sz w:val="25"/>
          <w:szCs w:val="25"/>
          <w:lang w:eastAsia="en-GB"/>
        </w:rPr>
        <w:br/>
      </w:r>
      <w:r w:rsidRPr="001D676C">
        <w:rPr>
          <w:rFonts w:ascii="inherit" w:eastAsia="Times New Roman" w:hAnsi="inherit" w:cs="Times New Roman"/>
          <w:b/>
          <w:bCs/>
          <w:color w:val="000000"/>
          <w:sz w:val="25"/>
          <w:szCs w:val="25"/>
          <w:bdr w:val="none" w:sz="0" w:space="0" w:color="auto" w:frame="1"/>
          <w:lang w:eastAsia="en-GB"/>
        </w:rPr>
        <w:t>Page reference:</w:t>
      </w:r>
      <w:r w:rsidRPr="001D676C">
        <w:rPr>
          <w:rFonts w:ascii="inherit" w:eastAsia="Times New Roman" w:hAnsi="inherit" w:cs="Times New Roman"/>
          <w:color w:val="000000"/>
          <w:sz w:val="25"/>
          <w:szCs w:val="25"/>
          <w:lang w:eastAsia="en-GB"/>
        </w:rPr>
        <w:t> 197</w:t>
      </w:r>
    </w:p>
    <w:p w14:paraId="22126599" w14:textId="77777777" w:rsidR="001D676C" w:rsidRPr="001D676C" w:rsidRDefault="001D676C" w:rsidP="001D676C">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3" w:name="4"/>
      <w:bookmarkEnd w:id="3"/>
      <w:r w:rsidRPr="001D676C">
        <w:rPr>
          <w:rFonts w:ascii="inherit" w:eastAsia="Times New Roman" w:hAnsi="inherit" w:cs="Times New Roman"/>
          <w:b/>
          <w:bCs/>
          <w:color w:val="86A600"/>
          <w:sz w:val="25"/>
          <w:szCs w:val="25"/>
          <w:lang w:eastAsia="en-GB"/>
        </w:rPr>
        <w:t>Question 4</w:t>
      </w:r>
    </w:p>
    <w:p w14:paraId="36D06BD6" w14:textId="77777777" w:rsidR="001D676C" w:rsidRPr="001D676C" w:rsidRDefault="001D676C" w:rsidP="001D676C">
      <w:pPr>
        <w:spacing w:after="24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color w:val="000000"/>
          <w:sz w:val="25"/>
          <w:szCs w:val="25"/>
          <w:lang w:eastAsia="en-GB"/>
        </w:rPr>
        <w:t>A provision of EU law whose meaning is clear can be termed "_______".</w:t>
      </w:r>
    </w:p>
    <w:p w14:paraId="74C5AEA1" w14:textId="77777777" w:rsidR="001D676C" w:rsidRPr="001D676C" w:rsidRDefault="001D676C" w:rsidP="001D676C">
      <w:pPr>
        <w:spacing w:after="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b/>
          <w:bCs/>
          <w:color w:val="000000"/>
          <w:sz w:val="25"/>
          <w:szCs w:val="25"/>
          <w:bdr w:val="none" w:sz="0" w:space="0" w:color="auto" w:frame="1"/>
          <w:lang w:eastAsia="en-GB"/>
        </w:rPr>
        <w:t>Your answer:</w:t>
      </w:r>
    </w:p>
    <w:p w14:paraId="5EC9580A" w14:textId="77777777" w:rsidR="001D676C" w:rsidRPr="001D676C" w:rsidRDefault="001D676C" w:rsidP="001D676C">
      <w:pPr>
        <w:spacing w:after="0" w:line="348" w:lineRule="atLeast"/>
        <w:textAlignment w:val="baseline"/>
        <w:rPr>
          <w:rFonts w:ascii="inherit" w:eastAsia="Times New Roman" w:hAnsi="inherit" w:cs="Times New Roman"/>
          <w:color w:val="000000"/>
          <w:sz w:val="25"/>
          <w:szCs w:val="25"/>
          <w:lang w:eastAsia="en-GB"/>
        </w:rPr>
      </w:pPr>
      <w:proofErr w:type="spellStart"/>
      <w:r w:rsidRPr="001D676C">
        <w:rPr>
          <w:rFonts w:ascii="inherit" w:eastAsia="Times New Roman" w:hAnsi="inherit" w:cs="Times New Roman"/>
          <w:b/>
          <w:bCs/>
          <w:color w:val="86A600"/>
          <w:sz w:val="25"/>
          <w:szCs w:val="25"/>
          <w:bdr w:val="none" w:sz="0" w:space="0" w:color="auto" w:frame="1"/>
          <w:lang w:eastAsia="en-GB"/>
        </w:rPr>
        <w:t>acte</w:t>
      </w:r>
      <w:proofErr w:type="spellEnd"/>
      <w:r w:rsidRPr="001D676C">
        <w:rPr>
          <w:rFonts w:ascii="inherit" w:eastAsia="Times New Roman" w:hAnsi="inherit" w:cs="Times New Roman"/>
          <w:b/>
          <w:bCs/>
          <w:color w:val="86A600"/>
          <w:sz w:val="25"/>
          <w:szCs w:val="25"/>
          <w:bdr w:val="none" w:sz="0" w:space="0" w:color="auto" w:frame="1"/>
          <w:lang w:eastAsia="en-GB"/>
        </w:rPr>
        <w:t xml:space="preserve"> </w:t>
      </w:r>
      <w:proofErr w:type="spellStart"/>
      <w:r w:rsidRPr="001D676C">
        <w:rPr>
          <w:rFonts w:ascii="inherit" w:eastAsia="Times New Roman" w:hAnsi="inherit" w:cs="Times New Roman"/>
          <w:b/>
          <w:bCs/>
          <w:color w:val="86A600"/>
          <w:sz w:val="25"/>
          <w:szCs w:val="25"/>
          <w:bdr w:val="none" w:sz="0" w:space="0" w:color="auto" w:frame="1"/>
          <w:lang w:eastAsia="en-GB"/>
        </w:rPr>
        <w:t>clair</w:t>
      </w:r>
      <w:proofErr w:type="spellEnd"/>
    </w:p>
    <w:p w14:paraId="6D4353B8" w14:textId="77777777" w:rsidR="001D676C" w:rsidRPr="001D676C" w:rsidRDefault="001D676C" w:rsidP="001D676C">
      <w:pPr>
        <w:spacing w:after="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b/>
          <w:bCs/>
          <w:color w:val="000000"/>
          <w:sz w:val="25"/>
          <w:szCs w:val="25"/>
          <w:bdr w:val="none" w:sz="0" w:space="0" w:color="auto" w:frame="1"/>
          <w:lang w:eastAsia="en-GB"/>
        </w:rPr>
        <w:t>Correct answer:</w:t>
      </w:r>
    </w:p>
    <w:p w14:paraId="4AEF9CC0" w14:textId="77777777" w:rsidR="001D676C" w:rsidRPr="001D676C" w:rsidRDefault="001D676C" w:rsidP="001D676C">
      <w:pPr>
        <w:spacing w:after="0" w:line="348" w:lineRule="atLeast"/>
        <w:textAlignment w:val="baseline"/>
        <w:rPr>
          <w:rFonts w:ascii="inherit" w:eastAsia="Times New Roman" w:hAnsi="inherit" w:cs="Times New Roman"/>
          <w:color w:val="000000"/>
          <w:sz w:val="25"/>
          <w:szCs w:val="25"/>
          <w:lang w:eastAsia="en-GB"/>
        </w:rPr>
      </w:pPr>
      <w:proofErr w:type="spellStart"/>
      <w:r w:rsidRPr="001D676C">
        <w:rPr>
          <w:rFonts w:ascii="inherit" w:eastAsia="Times New Roman" w:hAnsi="inherit" w:cs="Times New Roman"/>
          <w:b/>
          <w:bCs/>
          <w:color w:val="86A600"/>
          <w:sz w:val="25"/>
          <w:szCs w:val="25"/>
          <w:bdr w:val="none" w:sz="0" w:space="0" w:color="auto" w:frame="1"/>
          <w:lang w:eastAsia="en-GB"/>
        </w:rPr>
        <w:t>Acte</w:t>
      </w:r>
      <w:proofErr w:type="spellEnd"/>
      <w:r w:rsidRPr="001D676C">
        <w:rPr>
          <w:rFonts w:ascii="inherit" w:eastAsia="Times New Roman" w:hAnsi="inherit" w:cs="Times New Roman"/>
          <w:b/>
          <w:bCs/>
          <w:color w:val="86A600"/>
          <w:sz w:val="25"/>
          <w:szCs w:val="25"/>
          <w:bdr w:val="none" w:sz="0" w:space="0" w:color="auto" w:frame="1"/>
          <w:lang w:eastAsia="en-GB"/>
        </w:rPr>
        <w:t xml:space="preserve"> </w:t>
      </w:r>
      <w:proofErr w:type="spellStart"/>
      <w:r w:rsidRPr="001D676C">
        <w:rPr>
          <w:rFonts w:ascii="inherit" w:eastAsia="Times New Roman" w:hAnsi="inherit" w:cs="Times New Roman"/>
          <w:b/>
          <w:bCs/>
          <w:color w:val="86A600"/>
          <w:sz w:val="25"/>
          <w:szCs w:val="25"/>
          <w:bdr w:val="none" w:sz="0" w:space="0" w:color="auto" w:frame="1"/>
          <w:lang w:eastAsia="en-GB"/>
        </w:rPr>
        <w:t>clair</w:t>
      </w:r>
      <w:proofErr w:type="spellEnd"/>
      <w:r w:rsidRPr="001D676C">
        <w:rPr>
          <w:rFonts w:ascii="inherit" w:eastAsia="Times New Roman" w:hAnsi="inherit" w:cs="Times New Roman"/>
          <w:b/>
          <w:bCs/>
          <w:color w:val="86A600"/>
          <w:sz w:val="25"/>
          <w:szCs w:val="25"/>
          <w:bdr w:val="none" w:sz="0" w:space="0" w:color="auto" w:frame="1"/>
          <w:lang w:eastAsia="en-GB"/>
        </w:rPr>
        <w:t>.</w:t>
      </w:r>
    </w:p>
    <w:p w14:paraId="655D4298" w14:textId="77777777" w:rsidR="001D676C" w:rsidRPr="001D676C" w:rsidRDefault="001D676C" w:rsidP="001D676C">
      <w:pPr>
        <w:spacing w:after="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b/>
          <w:bCs/>
          <w:color w:val="000000"/>
          <w:sz w:val="25"/>
          <w:szCs w:val="25"/>
          <w:bdr w:val="none" w:sz="0" w:space="0" w:color="auto" w:frame="1"/>
          <w:lang w:eastAsia="en-GB"/>
        </w:rPr>
        <w:t>Feedback:</w:t>
      </w:r>
    </w:p>
    <w:p w14:paraId="45D0C10C" w14:textId="77777777" w:rsidR="001D676C" w:rsidRPr="001D676C" w:rsidRDefault="001D676C" w:rsidP="001D676C">
      <w:pPr>
        <w:spacing w:after="15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color w:val="000000"/>
          <w:sz w:val="25"/>
          <w:szCs w:val="25"/>
          <w:lang w:eastAsia="en-GB"/>
        </w:rPr>
        <w:t>The term </w:t>
      </w:r>
      <w:proofErr w:type="spellStart"/>
      <w:r w:rsidRPr="001D676C">
        <w:rPr>
          <w:rFonts w:ascii="Arial" w:eastAsia="Times New Roman" w:hAnsi="Arial" w:cs="Arial"/>
          <w:i/>
          <w:iCs/>
          <w:color w:val="000000"/>
          <w:sz w:val="25"/>
          <w:szCs w:val="25"/>
          <w:bdr w:val="none" w:sz="0" w:space="0" w:color="auto" w:frame="1"/>
          <w:lang w:eastAsia="en-GB"/>
        </w:rPr>
        <w:t>acte</w:t>
      </w:r>
      <w:proofErr w:type="spellEnd"/>
      <w:r w:rsidRPr="001D676C">
        <w:rPr>
          <w:rFonts w:ascii="Arial" w:eastAsia="Times New Roman" w:hAnsi="Arial" w:cs="Arial"/>
          <w:i/>
          <w:iCs/>
          <w:color w:val="000000"/>
          <w:sz w:val="25"/>
          <w:szCs w:val="25"/>
          <w:bdr w:val="none" w:sz="0" w:space="0" w:color="auto" w:frame="1"/>
          <w:lang w:eastAsia="en-GB"/>
        </w:rPr>
        <w:t xml:space="preserve"> </w:t>
      </w:r>
      <w:proofErr w:type="spellStart"/>
      <w:r w:rsidRPr="001D676C">
        <w:rPr>
          <w:rFonts w:ascii="Arial" w:eastAsia="Times New Roman" w:hAnsi="Arial" w:cs="Arial"/>
          <w:i/>
          <w:iCs/>
          <w:color w:val="000000"/>
          <w:sz w:val="25"/>
          <w:szCs w:val="25"/>
          <w:bdr w:val="none" w:sz="0" w:space="0" w:color="auto" w:frame="1"/>
          <w:lang w:eastAsia="en-GB"/>
        </w:rPr>
        <w:t>clair</w:t>
      </w:r>
      <w:proofErr w:type="spellEnd"/>
      <w:r w:rsidRPr="001D676C">
        <w:rPr>
          <w:rFonts w:ascii="Arial" w:eastAsia="Times New Roman" w:hAnsi="Arial" w:cs="Arial"/>
          <w:i/>
          <w:iCs/>
          <w:color w:val="000000"/>
          <w:sz w:val="25"/>
          <w:szCs w:val="25"/>
          <w:bdr w:val="none" w:sz="0" w:space="0" w:color="auto" w:frame="1"/>
          <w:lang w:eastAsia="en-GB"/>
        </w:rPr>
        <w:t>, </w:t>
      </w:r>
      <w:r w:rsidRPr="001D676C">
        <w:rPr>
          <w:rFonts w:ascii="inherit" w:eastAsia="Times New Roman" w:hAnsi="inherit" w:cs="Times New Roman"/>
          <w:color w:val="000000"/>
          <w:sz w:val="25"/>
          <w:szCs w:val="25"/>
          <w:lang w:eastAsia="en-GB"/>
        </w:rPr>
        <w:t>translated literally, means</w:t>
      </w:r>
      <w:r w:rsidRPr="001D676C">
        <w:rPr>
          <w:rFonts w:ascii="Arial" w:eastAsia="Times New Roman" w:hAnsi="Arial" w:cs="Arial"/>
          <w:i/>
          <w:iCs/>
          <w:color w:val="000000"/>
          <w:sz w:val="25"/>
          <w:szCs w:val="25"/>
          <w:bdr w:val="none" w:sz="0" w:space="0" w:color="auto" w:frame="1"/>
          <w:lang w:eastAsia="en-GB"/>
        </w:rPr>
        <w:t> </w:t>
      </w:r>
      <w:r w:rsidRPr="001D676C">
        <w:rPr>
          <w:rFonts w:ascii="inherit" w:eastAsia="Times New Roman" w:hAnsi="inherit" w:cs="Times New Roman"/>
          <w:color w:val="000000"/>
          <w:sz w:val="25"/>
          <w:szCs w:val="25"/>
          <w:lang w:eastAsia="en-GB"/>
        </w:rPr>
        <w:t>'clear act'. According to </w:t>
      </w:r>
      <w:r w:rsidRPr="001D676C">
        <w:rPr>
          <w:rFonts w:ascii="Arial" w:eastAsia="Times New Roman" w:hAnsi="Arial" w:cs="Arial"/>
          <w:i/>
          <w:iCs/>
          <w:color w:val="000000"/>
          <w:sz w:val="25"/>
          <w:szCs w:val="25"/>
          <w:bdr w:val="none" w:sz="0" w:space="0" w:color="auto" w:frame="1"/>
          <w:lang w:eastAsia="en-GB"/>
        </w:rPr>
        <w:t>CILFIT</w:t>
      </w:r>
      <w:r w:rsidRPr="001D676C">
        <w:rPr>
          <w:rFonts w:ascii="inherit" w:eastAsia="Times New Roman" w:hAnsi="inherit" w:cs="Times New Roman"/>
          <w:color w:val="000000"/>
          <w:sz w:val="25"/>
          <w:szCs w:val="25"/>
          <w:lang w:eastAsia="en-GB"/>
        </w:rPr>
        <w:t>, when the meaning of EU law is clear, there is no need to refer. However, the interpretation must be 'so obvious as to leave no scope for reasonable doubt as to its meaning.' The national court must be convinced that the matter is equally obvious to the courts of other Member States. It must bear in mind that EU law is drafted in several languages; that EU law uses terminology that is peculiar to it; that legal concepts do not necessarily have the same meaning in EU law and the law of the various Member States; and that EU law must be placed in its context.</w:t>
      </w:r>
      <w:r w:rsidRPr="001D676C">
        <w:rPr>
          <w:rFonts w:ascii="inherit" w:eastAsia="Times New Roman" w:hAnsi="inherit" w:cs="Times New Roman"/>
          <w:color w:val="000000"/>
          <w:sz w:val="25"/>
          <w:szCs w:val="25"/>
          <w:lang w:eastAsia="en-GB"/>
        </w:rPr>
        <w:br/>
      </w:r>
      <w:r w:rsidRPr="001D676C">
        <w:rPr>
          <w:rFonts w:ascii="inherit" w:eastAsia="Times New Roman" w:hAnsi="inherit" w:cs="Times New Roman"/>
          <w:b/>
          <w:bCs/>
          <w:color w:val="000000"/>
          <w:sz w:val="25"/>
          <w:szCs w:val="25"/>
          <w:bdr w:val="none" w:sz="0" w:space="0" w:color="auto" w:frame="1"/>
          <w:lang w:eastAsia="en-GB"/>
        </w:rPr>
        <w:t>Page reference:</w:t>
      </w:r>
      <w:r w:rsidRPr="001D676C">
        <w:rPr>
          <w:rFonts w:ascii="inherit" w:eastAsia="Times New Roman" w:hAnsi="inherit" w:cs="Times New Roman"/>
          <w:color w:val="000000"/>
          <w:sz w:val="25"/>
          <w:szCs w:val="25"/>
          <w:lang w:eastAsia="en-GB"/>
        </w:rPr>
        <w:t> 198</w:t>
      </w:r>
    </w:p>
    <w:p w14:paraId="748ABE8D" w14:textId="77777777" w:rsidR="001D676C" w:rsidRPr="001D676C" w:rsidRDefault="001D676C" w:rsidP="001D676C">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4" w:name="5"/>
      <w:bookmarkEnd w:id="4"/>
      <w:r w:rsidRPr="001D676C">
        <w:rPr>
          <w:rFonts w:ascii="inherit" w:eastAsia="Times New Roman" w:hAnsi="inherit" w:cs="Times New Roman"/>
          <w:b/>
          <w:bCs/>
          <w:color w:val="86A600"/>
          <w:sz w:val="25"/>
          <w:szCs w:val="25"/>
          <w:lang w:eastAsia="en-GB"/>
        </w:rPr>
        <w:t>Question 5</w:t>
      </w:r>
    </w:p>
    <w:p w14:paraId="09BD1539" w14:textId="77777777" w:rsidR="001D676C" w:rsidRPr="001D676C" w:rsidRDefault="001D676C" w:rsidP="001D676C">
      <w:pPr>
        <w:spacing w:after="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color w:val="000000"/>
          <w:sz w:val="25"/>
          <w:szCs w:val="25"/>
          <w:lang w:eastAsia="en-GB"/>
        </w:rPr>
        <w:t>How have the national courts tended to interpret '</w:t>
      </w:r>
      <w:proofErr w:type="spellStart"/>
      <w:r w:rsidRPr="001D676C">
        <w:rPr>
          <w:rFonts w:ascii="Arial" w:eastAsia="Times New Roman" w:hAnsi="Arial" w:cs="Arial"/>
          <w:i/>
          <w:iCs/>
          <w:color w:val="000000"/>
          <w:sz w:val="25"/>
          <w:szCs w:val="25"/>
          <w:bdr w:val="none" w:sz="0" w:space="0" w:color="auto" w:frame="1"/>
          <w:lang w:eastAsia="en-GB"/>
        </w:rPr>
        <w:t>acte</w:t>
      </w:r>
      <w:proofErr w:type="spellEnd"/>
      <w:r w:rsidRPr="001D676C">
        <w:rPr>
          <w:rFonts w:ascii="Arial" w:eastAsia="Times New Roman" w:hAnsi="Arial" w:cs="Arial"/>
          <w:i/>
          <w:iCs/>
          <w:color w:val="000000"/>
          <w:sz w:val="25"/>
          <w:szCs w:val="25"/>
          <w:bdr w:val="none" w:sz="0" w:space="0" w:color="auto" w:frame="1"/>
          <w:lang w:eastAsia="en-GB"/>
        </w:rPr>
        <w:t xml:space="preserve"> </w:t>
      </w:r>
      <w:proofErr w:type="spellStart"/>
      <w:r w:rsidRPr="001D676C">
        <w:rPr>
          <w:rFonts w:ascii="Arial" w:eastAsia="Times New Roman" w:hAnsi="Arial" w:cs="Arial"/>
          <w:i/>
          <w:iCs/>
          <w:color w:val="000000"/>
          <w:sz w:val="25"/>
          <w:szCs w:val="25"/>
          <w:bdr w:val="none" w:sz="0" w:space="0" w:color="auto" w:frame="1"/>
          <w:lang w:eastAsia="en-GB"/>
        </w:rPr>
        <w:t>clair</w:t>
      </w:r>
      <w:proofErr w:type="spellEnd"/>
      <w:r w:rsidRPr="001D676C">
        <w:rPr>
          <w:rFonts w:ascii="Arial" w:eastAsia="Times New Roman" w:hAnsi="Arial" w:cs="Arial"/>
          <w:i/>
          <w:iCs/>
          <w:color w:val="000000"/>
          <w:sz w:val="25"/>
          <w:szCs w:val="25"/>
          <w:bdr w:val="none" w:sz="0" w:space="0" w:color="auto" w:frame="1"/>
          <w:lang w:eastAsia="en-GB"/>
        </w:rPr>
        <w:t>'</w:t>
      </w:r>
      <w:r w:rsidRPr="001D676C">
        <w:rPr>
          <w:rFonts w:ascii="inherit" w:eastAsia="Times New Roman" w:hAnsi="inherit" w:cs="Times New Roman"/>
          <w:color w:val="000000"/>
          <w:sz w:val="25"/>
          <w:szCs w:val="25"/>
          <w:lang w:eastAsia="en-GB"/>
        </w:rPr>
        <w:t>?</w:t>
      </w:r>
    </w:p>
    <w:p w14:paraId="35E3D1B2" w14:textId="77777777" w:rsidR="001D676C" w:rsidRPr="001D676C" w:rsidRDefault="001D676C" w:rsidP="001D676C">
      <w:pPr>
        <w:spacing w:after="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b/>
          <w:bCs/>
          <w:color w:val="000000"/>
          <w:sz w:val="25"/>
          <w:szCs w:val="25"/>
          <w:bdr w:val="none" w:sz="0" w:space="0" w:color="auto" w:frame="1"/>
          <w:lang w:eastAsia="en-GB"/>
        </w:rPr>
        <w:t>Your answer:</w:t>
      </w:r>
    </w:p>
    <w:p w14:paraId="7FF07705" w14:textId="77777777" w:rsidR="001D676C" w:rsidRPr="001D676C" w:rsidRDefault="001D676C" w:rsidP="001D676C">
      <w:pPr>
        <w:spacing w:after="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b/>
          <w:bCs/>
          <w:color w:val="86A600"/>
          <w:sz w:val="25"/>
          <w:szCs w:val="25"/>
          <w:bdr w:val="none" w:sz="0" w:space="0" w:color="auto" w:frame="1"/>
          <w:lang w:eastAsia="en-GB"/>
        </w:rPr>
        <w:t>d) </w:t>
      </w:r>
      <w:r w:rsidRPr="001D676C">
        <w:rPr>
          <w:rFonts w:ascii="inherit" w:eastAsia="Times New Roman" w:hAnsi="inherit" w:cs="Times New Roman"/>
          <w:color w:val="000000"/>
          <w:sz w:val="25"/>
          <w:szCs w:val="25"/>
          <w:lang w:eastAsia="en-GB"/>
        </w:rPr>
        <w:t>More rigorously than </w:t>
      </w:r>
      <w:r w:rsidRPr="001D676C">
        <w:rPr>
          <w:rFonts w:ascii="Arial" w:eastAsia="Times New Roman" w:hAnsi="Arial" w:cs="Arial"/>
          <w:i/>
          <w:iCs/>
          <w:color w:val="000000"/>
          <w:sz w:val="25"/>
          <w:szCs w:val="25"/>
          <w:bdr w:val="none" w:sz="0" w:space="0" w:color="auto" w:frame="1"/>
          <w:lang w:eastAsia="en-GB"/>
        </w:rPr>
        <w:t>CILFIT</w:t>
      </w:r>
      <w:r w:rsidRPr="001D676C">
        <w:rPr>
          <w:rFonts w:ascii="inherit" w:eastAsia="Times New Roman" w:hAnsi="inherit" w:cs="Times New Roman"/>
          <w:color w:val="000000"/>
          <w:sz w:val="25"/>
          <w:szCs w:val="25"/>
          <w:lang w:eastAsia="en-GB"/>
        </w:rPr>
        <w:t> requires.</w:t>
      </w:r>
    </w:p>
    <w:p w14:paraId="47130775" w14:textId="77777777" w:rsidR="001D676C" w:rsidRPr="001D676C" w:rsidRDefault="001D676C" w:rsidP="001D676C">
      <w:pPr>
        <w:spacing w:after="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b/>
          <w:bCs/>
          <w:color w:val="000000"/>
          <w:sz w:val="25"/>
          <w:szCs w:val="25"/>
          <w:bdr w:val="none" w:sz="0" w:space="0" w:color="auto" w:frame="1"/>
          <w:lang w:eastAsia="en-GB"/>
        </w:rPr>
        <w:t>Correct answer:</w:t>
      </w:r>
    </w:p>
    <w:p w14:paraId="4011EB18" w14:textId="77777777" w:rsidR="001D676C" w:rsidRPr="001D676C" w:rsidRDefault="001D676C" w:rsidP="001D676C">
      <w:pPr>
        <w:spacing w:after="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b/>
          <w:bCs/>
          <w:color w:val="86A600"/>
          <w:sz w:val="25"/>
          <w:szCs w:val="25"/>
          <w:bdr w:val="none" w:sz="0" w:space="0" w:color="auto" w:frame="1"/>
          <w:lang w:eastAsia="en-GB"/>
        </w:rPr>
        <w:t>a) </w:t>
      </w:r>
      <w:r w:rsidRPr="001D676C">
        <w:rPr>
          <w:rFonts w:ascii="inherit" w:eastAsia="Times New Roman" w:hAnsi="inherit" w:cs="Times New Roman"/>
          <w:color w:val="000000"/>
          <w:sz w:val="25"/>
          <w:szCs w:val="25"/>
          <w:lang w:eastAsia="en-GB"/>
        </w:rPr>
        <w:t>More loosely than </w:t>
      </w:r>
      <w:r w:rsidRPr="001D676C">
        <w:rPr>
          <w:rFonts w:ascii="Arial" w:eastAsia="Times New Roman" w:hAnsi="Arial" w:cs="Arial"/>
          <w:i/>
          <w:iCs/>
          <w:color w:val="000000"/>
          <w:sz w:val="25"/>
          <w:szCs w:val="25"/>
          <w:bdr w:val="none" w:sz="0" w:space="0" w:color="auto" w:frame="1"/>
          <w:lang w:eastAsia="en-GB"/>
        </w:rPr>
        <w:t>CILFIT</w:t>
      </w:r>
      <w:r w:rsidRPr="001D676C">
        <w:rPr>
          <w:rFonts w:ascii="inherit" w:eastAsia="Times New Roman" w:hAnsi="inherit" w:cs="Times New Roman"/>
          <w:color w:val="000000"/>
          <w:sz w:val="25"/>
          <w:szCs w:val="25"/>
          <w:lang w:eastAsia="en-GB"/>
        </w:rPr>
        <w:t> requires.</w:t>
      </w:r>
    </w:p>
    <w:p w14:paraId="0A74DE86" w14:textId="77777777" w:rsidR="001D676C" w:rsidRPr="001D676C" w:rsidRDefault="001D676C" w:rsidP="001D676C">
      <w:pPr>
        <w:spacing w:after="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b/>
          <w:bCs/>
          <w:color w:val="000000"/>
          <w:sz w:val="25"/>
          <w:szCs w:val="25"/>
          <w:bdr w:val="none" w:sz="0" w:space="0" w:color="auto" w:frame="1"/>
          <w:lang w:eastAsia="en-GB"/>
        </w:rPr>
        <w:t>Feedback:</w:t>
      </w:r>
    </w:p>
    <w:p w14:paraId="4089763F" w14:textId="77777777" w:rsidR="001D676C" w:rsidRPr="001D676C" w:rsidRDefault="001D676C" w:rsidP="001D676C">
      <w:pPr>
        <w:spacing w:after="15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color w:val="000000"/>
          <w:sz w:val="25"/>
          <w:szCs w:val="25"/>
          <w:lang w:eastAsia="en-GB"/>
        </w:rPr>
        <w:t>The application of the </w:t>
      </w:r>
      <w:r w:rsidRPr="001D676C">
        <w:rPr>
          <w:rFonts w:ascii="Arial" w:eastAsia="Times New Roman" w:hAnsi="Arial" w:cs="Arial"/>
          <w:i/>
          <w:iCs/>
          <w:color w:val="000000"/>
          <w:sz w:val="25"/>
          <w:szCs w:val="25"/>
          <w:bdr w:val="none" w:sz="0" w:space="0" w:color="auto" w:frame="1"/>
          <w:lang w:eastAsia="en-GB"/>
        </w:rPr>
        <w:t>CILFIT</w:t>
      </w:r>
      <w:r w:rsidRPr="001D676C">
        <w:rPr>
          <w:rFonts w:ascii="inherit" w:eastAsia="Times New Roman" w:hAnsi="inherit" w:cs="Times New Roman"/>
          <w:color w:val="000000"/>
          <w:sz w:val="25"/>
          <w:szCs w:val="25"/>
          <w:lang w:eastAsia="en-GB"/>
        </w:rPr>
        <w:t> criteria for '</w:t>
      </w:r>
      <w:proofErr w:type="spellStart"/>
      <w:r w:rsidRPr="001D676C">
        <w:rPr>
          <w:rFonts w:ascii="Arial" w:eastAsia="Times New Roman" w:hAnsi="Arial" w:cs="Arial"/>
          <w:i/>
          <w:iCs/>
          <w:color w:val="000000"/>
          <w:sz w:val="25"/>
          <w:szCs w:val="25"/>
          <w:bdr w:val="none" w:sz="0" w:space="0" w:color="auto" w:frame="1"/>
          <w:lang w:eastAsia="en-GB"/>
        </w:rPr>
        <w:t>acte</w:t>
      </w:r>
      <w:proofErr w:type="spellEnd"/>
      <w:r w:rsidRPr="001D676C">
        <w:rPr>
          <w:rFonts w:ascii="Arial" w:eastAsia="Times New Roman" w:hAnsi="Arial" w:cs="Arial"/>
          <w:i/>
          <w:iCs/>
          <w:color w:val="000000"/>
          <w:sz w:val="25"/>
          <w:szCs w:val="25"/>
          <w:bdr w:val="none" w:sz="0" w:space="0" w:color="auto" w:frame="1"/>
          <w:lang w:eastAsia="en-GB"/>
        </w:rPr>
        <w:t xml:space="preserve"> </w:t>
      </w:r>
      <w:proofErr w:type="spellStart"/>
      <w:r w:rsidRPr="001D676C">
        <w:rPr>
          <w:rFonts w:ascii="Arial" w:eastAsia="Times New Roman" w:hAnsi="Arial" w:cs="Arial"/>
          <w:i/>
          <w:iCs/>
          <w:color w:val="000000"/>
          <w:sz w:val="25"/>
          <w:szCs w:val="25"/>
          <w:bdr w:val="none" w:sz="0" w:space="0" w:color="auto" w:frame="1"/>
          <w:lang w:eastAsia="en-GB"/>
        </w:rPr>
        <w:t>clair</w:t>
      </w:r>
      <w:proofErr w:type="spellEnd"/>
      <w:r w:rsidRPr="001D676C">
        <w:rPr>
          <w:rFonts w:ascii="inherit" w:eastAsia="Times New Roman" w:hAnsi="inherit" w:cs="Times New Roman"/>
          <w:color w:val="000000"/>
          <w:sz w:val="25"/>
          <w:szCs w:val="25"/>
          <w:lang w:eastAsia="en-GB"/>
        </w:rPr>
        <w:t>' requires a level of linguistic ability beyond the expertise of the typical national court. The criteria</w:t>
      </w:r>
      <w:r w:rsidRPr="001D676C">
        <w:rPr>
          <w:rFonts w:ascii="Arial" w:eastAsia="Times New Roman" w:hAnsi="Arial" w:cs="Arial"/>
          <w:i/>
          <w:iCs/>
          <w:color w:val="000000"/>
          <w:sz w:val="25"/>
          <w:szCs w:val="25"/>
          <w:bdr w:val="none" w:sz="0" w:space="0" w:color="auto" w:frame="1"/>
          <w:lang w:eastAsia="en-GB"/>
        </w:rPr>
        <w:t> </w:t>
      </w:r>
      <w:r w:rsidRPr="001D676C">
        <w:rPr>
          <w:rFonts w:ascii="inherit" w:eastAsia="Times New Roman" w:hAnsi="inherit" w:cs="Times New Roman"/>
          <w:color w:val="000000"/>
          <w:sz w:val="25"/>
          <w:szCs w:val="25"/>
          <w:lang w:eastAsia="en-GB"/>
        </w:rPr>
        <w:t>are so difficult for national courts to satisfy that, in practice, they have tended to interpret </w:t>
      </w:r>
      <w:proofErr w:type="spellStart"/>
      <w:r w:rsidRPr="001D676C">
        <w:rPr>
          <w:rFonts w:ascii="Arial" w:eastAsia="Times New Roman" w:hAnsi="Arial" w:cs="Arial"/>
          <w:i/>
          <w:iCs/>
          <w:color w:val="000000"/>
          <w:sz w:val="25"/>
          <w:szCs w:val="25"/>
          <w:bdr w:val="none" w:sz="0" w:space="0" w:color="auto" w:frame="1"/>
          <w:lang w:eastAsia="en-GB"/>
        </w:rPr>
        <w:t>acte</w:t>
      </w:r>
      <w:proofErr w:type="spellEnd"/>
      <w:r w:rsidRPr="001D676C">
        <w:rPr>
          <w:rFonts w:ascii="Arial" w:eastAsia="Times New Roman" w:hAnsi="Arial" w:cs="Arial"/>
          <w:i/>
          <w:iCs/>
          <w:color w:val="000000"/>
          <w:sz w:val="25"/>
          <w:szCs w:val="25"/>
          <w:bdr w:val="none" w:sz="0" w:space="0" w:color="auto" w:frame="1"/>
          <w:lang w:eastAsia="en-GB"/>
        </w:rPr>
        <w:t xml:space="preserve"> </w:t>
      </w:r>
      <w:proofErr w:type="spellStart"/>
      <w:r w:rsidRPr="001D676C">
        <w:rPr>
          <w:rFonts w:ascii="Arial" w:eastAsia="Times New Roman" w:hAnsi="Arial" w:cs="Arial"/>
          <w:i/>
          <w:iCs/>
          <w:color w:val="000000"/>
          <w:sz w:val="25"/>
          <w:szCs w:val="25"/>
          <w:bdr w:val="none" w:sz="0" w:space="0" w:color="auto" w:frame="1"/>
          <w:lang w:eastAsia="en-GB"/>
        </w:rPr>
        <w:t>clair</w:t>
      </w:r>
      <w:proofErr w:type="spellEnd"/>
      <w:r w:rsidRPr="001D676C">
        <w:rPr>
          <w:rFonts w:ascii="Arial" w:eastAsia="Times New Roman" w:hAnsi="Arial" w:cs="Arial"/>
          <w:i/>
          <w:iCs/>
          <w:color w:val="000000"/>
          <w:sz w:val="25"/>
          <w:szCs w:val="25"/>
          <w:bdr w:val="none" w:sz="0" w:space="0" w:color="auto" w:frame="1"/>
          <w:lang w:eastAsia="en-GB"/>
        </w:rPr>
        <w:t> </w:t>
      </w:r>
      <w:r w:rsidRPr="001D676C">
        <w:rPr>
          <w:rFonts w:ascii="inherit" w:eastAsia="Times New Roman" w:hAnsi="inherit" w:cs="Times New Roman"/>
          <w:color w:val="000000"/>
          <w:sz w:val="25"/>
          <w:szCs w:val="25"/>
          <w:lang w:eastAsia="en-GB"/>
        </w:rPr>
        <w:t>more loosely. However, this approach carries risks, as demonstrated by </w:t>
      </w:r>
      <w:proofErr w:type="spellStart"/>
      <w:r w:rsidRPr="001D676C">
        <w:rPr>
          <w:rFonts w:ascii="Arial" w:eastAsia="Times New Roman" w:hAnsi="Arial" w:cs="Arial"/>
          <w:i/>
          <w:iCs/>
          <w:color w:val="000000"/>
          <w:sz w:val="25"/>
          <w:szCs w:val="25"/>
          <w:bdr w:val="none" w:sz="0" w:space="0" w:color="auto" w:frame="1"/>
          <w:lang w:eastAsia="en-GB"/>
        </w:rPr>
        <w:t>Köbler</w:t>
      </w:r>
      <w:proofErr w:type="spellEnd"/>
      <w:r w:rsidRPr="001D676C">
        <w:rPr>
          <w:rFonts w:ascii="inherit" w:eastAsia="Times New Roman" w:hAnsi="inherit" w:cs="Times New Roman"/>
          <w:color w:val="000000"/>
          <w:sz w:val="25"/>
          <w:szCs w:val="25"/>
          <w:lang w:eastAsia="en-GB"/>
        </w:rPr>
        <w:t> , in which the Court held that State liability in damages would arise if a national court of last resort manifestly infringed EU law, including by failing to comply with its obligations under Article 267(3).</w:t>
      </w:r>
      <w:r w:rsidRPr="001D676C">
        <w:rPr>
          <w:rFonts w:ascii="inherit" w:eastAsia="Times New Roman" w:hAnsi="inherit" w:cs="Times New Roman"/>
          <w:color w:val="000000"/>
          <w:sz w:val="25"/>
          <w:szCs w:val="25"/>
          <w:lang w:eastAsia="en-GB"/>
        </w:rPr>
        <w:br/>
      </w:r>
      <w:r w:rsidRPr="001D676C">
        <w:rPr>
          <w:rFonts w:ascii="inherit" w:eastAsia="Times New Roman" w:hAnsi="inherit" w:cs="Times New Roman"/>
          <w:b/>
          <w:bCs/>
          <w:color w:val="000000"/>
          <w:sz w:val="25"/>
          <w:szCs w:val="25"/>
          <w:bdr w:val="none" w:sz="0" w:space="0" w:color="auto" w:frame="1"/>
          <w:lang w:eastAsia="en-GB"/>
        </w:rPr>
        <w:t>Page reference:</w:t>
      </w:r>
      <w:r w:rsidRPr="001D676C">
        <w:rPr>
          <w:rFonts w:ascii="inherit" w:eastAsia="Times New Roman" w:hAnsi="inherit" w:cs="Times New Roman"/>
          <w:color w:val="000000"/>
          <w:sz w:val="25"/>
          <w:szCs w:val="25"/>
          <w:lang w:eastAsia="en-GB"/>
        </w:rPr>
        <w:t> 200-201</w:t>
      </w:r>
    </w:p>
    <w:p w14:paraId="748A383C" w14:textId="77777777" w:rsidR="001D676C" w:rsidRPr="001D676C" w:rsidRDefault="001D676C" w:rsidP="001D676C">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5" w:name="6"/>
      <w:bookmarkEnd w:id="5"/>
      <w:r w:rsidRPr="001D676C">
        <w:rPr>
          <w:rFonts w:ascii="inherit" w:eastAsia="Times New Roman" w:hAnsi="inherit" w:cs="Times New Roman"/>
          <w:b/>
          <w:bCs/>
          <w:color w:val="86A600"/>
          <w:sz w:val="25"/>
          <w:szCs w:val="25"/>
          <w:lang w:eastAsia="en-GB"/>
        </w:rPr>
        <w:t>Question 6</w:t>
      </w:r>
    </w:p>
    <w:p w14:paraId="759C3E78" w14:textId="77777777" w:rsidR="001D676C" w:rsidRPr="001D676C" w:rsidRDefault="001D676C" w:rsidP="001D676C">
      <w:pPr>
        <w:spacing w:after="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color w:val="000000"/>
          <w:sz w:val="25"/>
          <w:szCs w:val="25"/>
          <w:lang w:eastAsia="en-GB"/>
        </w:rPr>
        <w:t>What principle was established in </w:t>
      </w:r>
      <w:r w:rsidRPr="001D676C">
        <w:rPr>
          <w:rFonts w:ascii="Arial" w:eastAsia="Times New Roman" w:hAnsi="Arial" w:cs="Arial"/>
          <w:i/>
          <w:iCs/>
          <w:color w:val="000000"/>
          <w:sz w:val="25"/>
          <w:szCs w:val="25"/>
          <w:bdr w:val="none" w:sz="0" w:space="0" w:color="auto" w:frame="1"/>
          <w:lang w:eastAsia="en-GB"/>
        </w:rPr>
        <w:t>Da Costa</w:t>
      </w:r>
      <w:r w:rsidRPr="001D676C">
        <w:rPr>
          <w:rFonts w:ascii="inherit" w:eastAsia="Times New Roman" w:hAnsi="inherit" w:cs="Times New Roman"/>
          <w:color w:val="000000"/>
          <w:sz w:val="25"/>
          <w:szCs w:val="25"/>
          <w:lang w:eastAsia="en-GB"/>
        </w:rPr>
        <w:t>?</w:t>
      </w:r>
    </w:p>
    <w:p w14:paraId="0615785C" w14:textId="77777777" w:rsidR="001D676C" w:rsidRPr="001D676C" w:rsidRDefault="001D676C" w:rsidP="001D676C">
      <w:pPr>
        <w:spacing w:after="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b/>
          <w:bCs/>
          <w:color w:val="000000"/>
          <w:sz w:val="25"/>
          <w:szCs w:val="25"/>
          <w:bdr w:val="none" w:sz="0" w:space="0" w:color="auto" w:frame="1"/>
          <w:lang w:eastAsia="en-GB"/>
        </w:rPr>
        <w:t>Your answer:</w:t>
      </w:r>
    </w:p>
    <w:p w14:paraId="00B71128" w14:textId="77777777" w:rsidR="001D676C" w:rsidRPr="001D676C" w:rsidRDefault="001D676C" w:rsidP="001D676C">
      <w:pPr>
        <w:spacing w:after="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b/>
          <w:bCs/>
          <w:color w:val="86A600"/>
          <w:sz w:val="25"/>
          <w:szCs w:val="25"/>
          <w:bdr w:val="none" w:sz="0" w:space="0" w:color="auto" w:frame="1"/>
          <w:lang w:eastAsia="en-GB"/>
        </w:rPr>
        <w:lastRenderedPageBreak/>
        <w:t>a) </w:t>
      </w:r>
      <w:r w:rsidRPr="001D676C">
        <w:rPr>
          <w:rFonts w:ascii="inherit" w:eastAsia="Times New Roman" w:hAnsi="inherit" w:cs="Times New Roman"/>
          <w:color w:val="000000"/>
          <w:sz w:val="25"/>
          <w:szCs w:val="25"/>
          <w:lang w:eastAsia="en-GB"/>
        </w:rPr>
        <w:t>A previous ruling of the Court of Justice removes the obligation of a court of last resort to refer, where the facts and questions of interpretation are identical.</w:t>
      </w:r>
    </w:p>
    <w:p w14:paraId="0A19D3B2" w14:textId="77777777" w:rsidR="001D676C" w:rsidRPr="001D676C" w:rsidRDefault="001D676C" w:rsidP="001D676C">
      <w:pPr>
        <w:spacing w:after="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b/>
          <w:bCs/>
          <w:color w:val="000000"/>
          <w:sz w:val="25"/>
          <w:szCs w:val="25"/>
          <w:bdr w:val="none" w:sz="0" w:space="0" w:color="auto" w:frame="1"/>
          <w:lang w:eastAsia="en-GB"/>
        </w:rPr>
        <w:t>Feedback:</w:t>
      </w:r>
    </w:p>
    <w:p w14:paraId="1BDB14EE" w14:textId="77777777" w:rsidR="001D676C" w:rsidRPr="001D676C" w:rsidRDefault="001D676C" w:rsidP="001D676C">
      <w:pPr>
        <w:spacing w:after="15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color w:val="000000"/>
          <w:sz w:val="25"/>
          <w:szCs w:val="25"/>
          <w:lang w:eastAsia="en-GB"/>
        </w:rPr>
        <w:t>In </w:t>
      </w:r>
      <w:r w:rsidRPr="001D676C">
        <w:rPr>
          <w:rFonts w:ascii="Arial" w:eastAsia="Times New Roman" w:hAnsi="Arial" w:cs="Arial"/>
          <w:i/>
          <w:iCs/>
          <w:color w:val="000000"/>
          <w:sz w:val="25"/>
          <w:szCs w:val="25"/>
          <w:bdr w:val="none" w:sz="0" w:space="0" w:color="auto" w:frame="1"/>
          <w:lang w:eastAsia="en-GB"/>
        </w:rPr>
        <w:t>Da Costa</w:t>
      </w:r>
      <w:r w:rsidRPr="001D676C">
        <w:rPr>
          <w:rFonts w:ascii="inherit" w:eastAsia="Times New Roman" w:hAnsi="inherit" w:cs="Times New Roman"/>
          <w:color w:val="000000"/>
          <w:sz w:val="25"/>
          <w:szCs w:val="25"/>
          <w:lang w:eastAsia="en-GB"/>
        </w:rPr>
        <w:t>, the question referred was substantially the same as that referred in </w:t>
      </w:r>
      <w:r w:rsidRPr="001D676C">
        <w:rPr>
          <w:rFonts w:ascii="Arial" w:eastAsia="Times New Roman" w:hAnsi="Arial" w:cs="Arial"/>
          <w:i/>
          <w:iCs/>
          <w:color w:val="000000"/>
          <w:sz w:val="25"/>
          <w:szCs w:val="25"/>
          <w:bdr w:val="none" w:sz="0" w:space="0" w:color="auto" w:frame="1"/>
          <w:lang w:eastAsia="en-GB"/>
        </w:rPr>
        <w:t xml:space="preserve">Van </w:t>
      </w:r>
      <w:proofErr w:type="spellStart"/>
      <w:r w:rsidRPr="001D676C">
        <w:rPr>
          <w:rFonts w:ascii="Arial" w:eastAsia="Times New Roman" w:hAnsi="Arial" w:cs="Arial"/>
          <w:i/>
          <w:iCs/>
          <w:color w:val="000000"/>
          <w:sz w:val="25"/>
          <w:szCs w:val="25"/>
          <w:bdr w:val="none" w:sz="0" w:space="0" w:color="auto" w:frame="1"/>
          <w:lang w:eastAsia="en-GB"/>
        </w:rPr>
        <w:t>Gend</w:t>
      </w:r>
      <w:proofErr w:type="spellEnd"/>
      <w:r w:rsidRPr="001D676C">
        <w:rPr>
          <w:rFonts w:ascii="Arial" w:eastAsia="Times New Roman" w:hAnsi="Arial" w:cs="Arial"/>
          <w:i/>
          <w:iCs/>
          <w:color w:val="000000"/>
          <w:sz w:val="25"/>
          <w:szCs w:val="25"/>
          <w:bdr w:val="none" w:sz="0" w:space="0" w:color="auto" w:frame="1"/>
          <w:lang w:eastAsia="en-GB"/>
        </w:rPr>
        <w:t> </w:t>
      </w:r>
      <w:r w:rsidRPr="001D676C">
        <w:rPr>
          <w:rFonts w:ascii="inherit" w:eastAsia="Times New Roman" w:hAnsi="inherit" w:cs="Times New Roman"/>
          <w:color w:val="000000"/>
          <w:sz w:val="25"/>
          <w:szCs w:val="25"/>
          <w:lang w:eastAsia="en-GB"/>
        </w:rPr>
        <w:t>on which the Court of Justice had ruled previously</w:t>
      </w:r>
      <w:r w:rsidRPr="001D676C">
        <w:rPr>
          <w:rFonts w:ascii="Arial" w:eastAsia="Times New Roman" w:hAnsi="Arial" w:cs="Arial"/>
          <w:i/>
          <w:iCs/>
          <w:color w:val="000000"/>
          <w:sz w:val="25"/>
          <w:szCs w:val="25"/>
          <w:bdr w:val="none" w:sz="0" w:space="0" w:color="auto" w:frame="1"/>
          <w:lang w:eastAsia="en-GB"/>
        </w:rPr>
        <w:t>.</w:t>
      </w:r>
      <w:r w:rsidRPr="001D676C">
        <w:rPr>
          <w:rFonts w:ascii="inherit" w:eastAsia="Times New Roman" w:hAnsi="inherit" w:cs="Times New Roman"/>
          <w:color w:val="000000"/>
          <w:sz w:val="25"/>
          <w:szCs w:val="25"/>
          <w:lang w:eastAsia="en-GB"/>
        </w:rPr>
        <w:t> The Court held that a previous ruling removes the obligation to refer, where the facts and questions of interpretation are identical. Nonetheless, the Court affirmed that Article 267(2) allows a national court, if it considers it desirable, to 'refer questions of interpretation to the Court again'.</w:t>
      </w:r>
      <w:r w:rsidRPr="001D676C">
        <w:rPr>
          <w:rFonts w:ascii="inherit" w:eastAsia="Times New Roman" w:hAnsi="inherit" w:cs="Times New Roman"/>
          <w:color w:val="000000"/>
          <w:sz w:val="25"/>
          <w:szCs w:val="25"/>
          <w:lang w:eastAsia="en-GB"/>
        </w:rPr>
        <w:br/>
      </w:r>
      <w:r w:rsidRPr="001D676C">
        <w:rPr>
          <w:rFonts w:ascii="inherit" w:eastAsia="Times New Roman" w:hAnsi="inherit" w:cs="Times New Roman"/>
          <w:b/>
          <w:bCs/>
          <w:color w:val="000000"/>
          <w:sz w:val="25"/>
          <w:szCs w:val="25"/>
          <w:bdr w:val="none" w:sz="0" w:space="0" w:color="auto" w:frame="1"/>
          <w:lang w:eastAsia="en-GB"/>
        </w:rPr>
        <w:t>Page reference:</w:t>
      </w:r>
      <w:r w:rsidRPr="001D676C">
        <w:rPr>
          <w:rFonts w:ascii="inherit" w:eastAsia="Times New Roman" w:hAnsi="inherit" w:cs="Times New Roman"/>
          <w:color w:val="000000"/>
          <w:sz w:val="25"/>
          <w:szCs w:val="25"/>
          <w:lang w:eastAsia="en-GB"/>
        </w:rPr>
        <w:t> 205</w:t>
      </w:r>
    </w:p>
    <w:p w14:paraId="3EBEB575" w14:textId="77777777" w:rsidR="001D676C" w:rsidRPr="001D676C" w:rsidRDefault="001D676C" w:rsidP="001D676C">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6" w:name="7"/>
      <w:bookmarkEnd w:id="6"/>
      <w:r w:rsidRPr="001D676C">
        <w:rPr>
          <w:rFonts w:ascii="inherit" w:eastAsia="Times New Roman" w:hAnsi="inherit" w:cs="Times New Roman"/>
          <w:b/>
          <w:bCs/>
          <w:color w:val="86A600"/>
          <w:sz w:val="25"/>
          <w:szCs w:val="25"/>
          <w:lang w:eastAsia="en-GB"/>
        </w:rPr>
        <w:t>Question 7</w:t>
      </w:r>
    </w:p>
    <w:p w14:paraId="3544142C" w14:textId="77777777" w:rsidR="001D676C" w:rsidRPr="001D676C" w:rsidRDefault="001D676C" w:rsidP="001D676C">
      <w:pPr>
        <w:spacing w:after="24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color w:val="000000"/>
          <w:sz w:val="25"/>
          <w:szCs w:val="25"/>
          <w:lang w:eastAsia="en-GB"/>
        </w:rPr>
        <w:t>The Court of Justice has rejected references and refused to give a preliminary ruling because it felt Article 267 TFEU was being misused. Grounds given by the Court include the fact that the question referred does not concern EU law or that the national court has failed to explain the context of its questions. Which other grounds have been given by the Court of Justice? Please select all that apply.</w:t>
      </w:r>
    </w:p>
    <w:p w14:paraId="0FC6A2DF" w14:textId="77777777" w:rsidR="001D676C" w:rsidRPr="001D676C" w:rsidRDefault="001D676C" w:rsidP="001D676C">
      <w:pPr>
        <w:spacing w:after="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b/>
          <w:bCs/>
          <w:color w:val="000000"/>
          <w:sz w:val="25"/>
          <w:szCs w:val="25"/>
          <w:bdr w:val="none" w:sz="0" w:space="0" w:color="auto" w:frame="1"/>
          <w:lang w:eastAsia="en-GB"/>
        </w:rPr>
        <w:t>Your answer/s:</w:t>
      </w:r>
    </w:p>
    <w:p w14:paraId="5262F20B" w14:textId="77777777" w:rsidR="001D676C" w:rsidRPr="001D676C" w:rsidRDefault="001D676C" w:rsidP="001D676C">
      <w:pPr>
        <w:spacing w:after="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b/>
          <w:bCs/>
          <w:color w:val="86A600"/>
          <w:sz w:val="25"/>
          <w:szCs w:val="25"/>
          <w:bdr w:val="none" w:sz="0" w:space="0" w:color="auto" w:frame="1"/>
          <w:lang w:eastAsia="en-GB"/>
        </w:rPr>
        <w:t>a) </w:t>
      </w:r>
      <w:r w:rsidRPr="001D676C">
        <w:rPr>
          <w:rFonts w:ascii="inherit" w:eastAsia="Times New Roman" w:hAnsi="inherit" w:cs="Times New Roman"/>
          <w:color w:val="000000"/>
          <w:sz w:val="25"/>
          <w:szCs w:val="25"/>
          <w:lang w:eastAsia="en-GB"/>
        </w:rPr>
        <w:t>There was no genuine dispute</w:t>
      </w:r>
    </w:p>
    <w:p w14:paraId="38EC7034" w14:textId="77777777" w:rsidR="001D676C" w:rsidRPr="001D676C" w:rsidRDefault="001D676C" w:rsidP="001D676C">
      <w:pPr>
        <w:spacing w:after="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b/>
          <w:bCs/>
          <w:color w:val="86A600"/>
          <w:sz w:val="25"/>
          <w:szCs w:val="25"/>
          <w:bdr w:val="none" w:sz="0" w:space="0" w:color="auto" w:frame="1"/>
          <w:lang w:eastAsia="en-GB"/>
        </w:rPr>
        <w:t>b) </w:t>
      </w:r>
      <w:r w:rsidRPr="001D676C">
        <w:rPr>
          <w:rFonts w:ascii="inherit" w:eastAsia="Times New Roman" w:hAnsi="inherit" w:cs="Times New Roman"/>
          <w:color w:val="000000"/>
          <w:sz w:val="25"/>
          <w:szCs w:val="25"/>
          <w:lang w:eastAsia="en-GB"/>
        </w:rPr>
        <w:t>There was a clear possibility of appeal on a national level</w:t>
      </w:r>
    </w:p>
    <w:p w14:paraId="61995D6B" w14:textId="77777777" w:rsidR="001D676C" w:rsidRPr="001D676C" w:rsidRDefault="001D676C" w:rsidP="001D676C">
      <w:pPr>
        <w:spacing w:after="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b/>
          <w:bCs/>
          <w:color w:val="86A600"/>
          <w:sz w:val="25"/>
          <w:szCs w:val="25"/>
          <w:bdr w:val="none" w:sz="0" w:space="0" w:color="auto" w:frame="1"/>
          <w:lang w:eastAsia="en-GB"/>
        </w:rPr>
        <w:t>c) </w:t>
      </w:r>
      <w:r w:rsidRPr="001D676C">
        <w:rPr>
          <w:rFonts w:ascii="inherit" w:eastAsia="Times New Roman" w:hAnsi="inherit" w:cs="Times New Roman"/>
          <w:color w:val="000000"/>
          <w:sz w:val="25"/>
          <w:szCs w:val="25"/>
          <w:lang w:eastAsia="en-GB"/>
        </w:rPr>
        <w:t>The questions referred were irrelevant to the dispute</w:t>
      </w:r>
    </w:p>
    <w:p w14:paraId="53A1CC9A" w14:textId="77777777" w:rsidR="001D676C" w:rsidRPr="001D676C" w:rsidRDefault="001D676C" w:rsidP="001D676C">
      <w:pPr>
        <w:spacing w:after="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b/>
          <w:bCs/>
          <w:color w:val="000000"/>
          <w:sz w:val="25"/>
          <w:szCs w:val="25"/>
          <w:bdr w:val="none" w:sz="0" w:space="0" w:color="auto" w:frame="1"/>
          <w:lang w:eastAsia="en-GB"/>
        </w:rPr>
        <w:t>You did not select all the right answers. Correct answer/s:</w:t>
      </w:r>
    </w:p>
    <w:p w14:paraId="01331E05" w14:textId="77777777" w:rsidR="001D676C" w:rsidRPr="001D676C" w:rsidRDefault="001D676C" w:rsidP="001D676C">
      <w:pPr>
        <w:spacing w:after="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b/>
          <w:bCs/>
          <w:color w:val="86A600"/>
          <w:sz w:val="25"/>
          <w:szCs w:val="25"/>
          <w:bdr w:val="none" w:sz="0" w:space="0" w:color="auto" w:frame="1"/>
          <w:lang w:eastAsia="en-GB"/>
        </w:rPr>
        <w:t>a) </w:t>
      </w:r>
      <w:r w:rsidRPr="001D676C">
        <w:rPr>
          <w:rFonts w:ascii="inherit" w:eastAsia="Times New Roman" w:hAnsi="inherit" w:cs="Times New Roman"/>
          <w:color w:val="000000"/>
          <w:sz w:val="25"/>
          <w:szCs w:val="25"/>
          <w:lang w:eastAsia="en-GB"/>
        </w:rPr>
        <w:t>There was no genuine dispute</w:t>
      </w:r>
    </w:p>
    <w:p w14:paraId="211352C7" w14:textId="77777777" w:rsidR="001D676C" w:rsidRPr="001D676C" w:rsidRDefault="001D676C" w:rsidP="001D676C">
      <w:pPr>
        <w:spacing w:after="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b/>
          <w:bCs/>
          <w:color w:val="86A600"/>
          <w:sz w:val="25"/>
          <w:szCs w:val="25"/>
          <w:bdr w:val="none" w:sz="0" w:space="0" w:color="auto" w:frame="1"/>
          <w:lang w:eastAsia="en-GB"/>
        </w:rPr>
        <w:t>c) </w:t>
      </w:r>
      <w:r w:rsidRPr="001D676C">
        <w:rPr>
          <w:rFonts w:ascii="inherit" w:eastAsia="Times New Roman" w:hAnsi="inherit" w:cs="Times New Roman"/>
          <w:color w:val="000000"/>
          <w:sz w:val="25"/>
          <w:szCs w:val="25"/>
          <w:lang w:eastAsia="en-GB"/>
        </w:rPr>
        <w:t>The questions referred were irrelevant to the dispute</w:t>
      </w:r>
    </w:p>
    <w:p w14:paraId="7D5B4F2B" w14:textId="77777777" w:rsidR="001D676C" w:rsidRPr="001D676C" w:rsidRDefault="001D676C" w:rsidP="001D676C">
      <w:pPr>
        <w:spacing w:after="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b/>
          <w:bCs/>
          <w:color w:val="000000"/>
          <w:sz w:val="25"/>
          <w:szCs w:val="25"/>
          <w:bdr w:val="none" w:sz="0" w:space="0" w:color="auto" w:frame="1"/>
          <w:lang w:eastAsia="en-GB"/>
        </w:rPr>
        <w:t>Feedback:</w:t>
      </w:r>
    </w:p>
    <w:p w14:paraId="32F916C7" w14:textId="77777777" w:rsidR="001D676C" w:rsidRPr="001D676C" w:rsidRDefault="001D676C" w:rsidP="001D676C">
      <w:pPr>
        <w:spacing w:after="15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color w:val="000000"/>
          <w:sz w:val="25"/>
          <w:szCs w:val="25"/>
          <w:lang w:eastAsia="en-GB"/>
        </w:rPr>
        <w:t>The Court of Justice has generally encouraged national courts to refer, but it nevertheless exerts control over admissibility. Most notably, the Court has refused to accept references when they amounted to an abuse or misuse of procedure. It has refused jurisdiction where there was no genuine dispute between the parties (</w:t>
      </w:r>
      <w:proofErr w:type="spellStart"/>
      <w:r w:rsidRPr="001D676C">
        <w:rPr>
          <w:rFonts w:ascii="Arial" w:eastAsia="Times New Roman" w:hAnsi="Arial" w:cs="Arial"/>
          <w:i/>
          <w:iCs/>
          <w:color w:val="000000"/>
          <w:sz w:val="25"/>
          <w:szCs w:val="25"/>
          <w:bdr w:val="none" w:sz="0" w:space="0" w:color="auto" w:frame="1"/>
          <w:lang w:eastAsia="en-GB"/>
        </w:rPr>
        <w:t>Foglia</w:t>
      </w:r>
      <w:proofErr w:type="spellEnd"/>
      <w:r w:rsidRPr="001D676C">
        <w:rPr>
          <w:rFonts w:ascii="inherit" w:eastAsia="Times New Roman" w:hAnsi="inherit" w:cs="Times New Roman"/>
          <w:color w:val="000000"/>
          <w:sz w:val="25"/>
          <w:szCs w:val="25"/>
          <w:lang w:eastAsia="en-GB"/>
        </w:rPr>
        <w:t> v </w:t>
      </w:r>
      <w:proofErr w:type="spellStart"/>
      <w:r w:rsidRPr="001D676C">
        <w:rPr>
          <w:rFonts w:ascii="Arial" w:eastAsia="Times New Roman" w:hAnsi="Arial" w:cs="Arial"/>
          <w:i/>
          <w:iCs/>
          <w:color w:val="000000"/>
          <w:sz w:val="25"/>
          <w:szCs w:val="25"/>
          <w:bdr w:val="none" w:sz="0" w:space="0" w:color="auto" w:frame="1"/>
          <w:lang w:eastAsia="en-GB"/>
        </w:rPr>
        <w:t>Novello</w:t>
      </w:r>
      <w:proofErr w:type="spellEnd"/>
      <w:r w:rsidRPr="001D676C">
        <w:rPr>
          <w:rFonts w:ascii="inherit" w:eastAsia="Times New Roman" w:hAnsi="inherit" w:cs="Times New Roman"/>
          <w:color w:val="000000"/>
          <w:sz w:val="25"/>
          <w:szCs w:val="25"/>
          <w:lang w:eastAsia="en-GB"/>
        </w:rPr>
        <w:t>), where the questions referred were irrelevant or hypothetical (</w:t>
      </w:r>
      <w:proofErr w:type="spellStart"/>
      <w:r w:rsidRPr="001D676C">
        <w:rPr>
          <w:rFonts w:ascii="Arial" w:eastAsia="Times New Roman" w:hAnsi="Arial" w:cs="Arial"/>
          <w:i/>
          <w:iCs/>
          <w:color w:val="000000"/>
          <w:sz w:val="25"/>
          <w:szCs w:val="25"/>
          <w:bdr w:val="none" w:sz="0" w:space="0" w:color="auto" w:frame="1"/>
          <w:lang w:eastAsia="en-GB"/>
        </w:rPr>
        <w:t>Meilicke</w:t>
      </w:r>
      <w:proofErr w:type="spellEnd"/>
      <w:r w:rsidRPr="001D676C">
        <w:rPr>
          <w:rFonts w:ascii="inherit" w:eastAsia="Times New Roman" w:hAnsi="inherit" w:cs="Times New Roman"/>
          <w:color w:val="000000"/>
          <w:sz w:val="25"/>
          <w:szCs w:val="25"/>
          <w:lang w:eastAsia="en-GB"/>
        </w:rPr>
        <w:t>), and where the national court has failed to provide sufficient legal or factual information (</w:t>
      </w:r>
      <w:proofErr w:type="spellStart"/>
      <w:r w:rsidRPr="001D676C">
        <w:rPr>
          <w:rFonts w:ascii="Arial" w:eastAsia="Times New Roman" w:hAnsi="Arial" w:cs="Arial"/>
          <w:i/>
          <w:iCs/>
          <w:color w:val="000000"/>
          <w:sz w:val="25"/>
          <w:szCs w:val="25"/>
          <w:bdr w:val="none" w:sz="0" w:space="0" w:color="auto" w:frame="1"/>
          <w:lang w:eastAsia="en-GB"/>
        </w:rPr>
        <w:t>Telemarsicabruzzo</w:t>
      </w:r>
      <w:proofErr w:type="spellEnd"/>
      <w:r w:rsidRPr="001D676C">
        <w:rPr>
          <w:rFonts w:ascii="inherit" w:eastAsia="Times New Roman" w:hAnsi="inherit" w:cs="Times New Roman"/>
          <w:color w:val="000000"/>
          <w:sz w:val="25"/>
          <w:szCs w:val="25"/>
          <w:lang w:eastAsia="en-GB"/>
        </w:rPr>
        <w:t>).</w:t>
      </w:r>
      <w:r w:rsidRPr="001D676C">
        <w:rPr>
          <w:rFonts w:ascii="inherit" w:eastAsia="Times New Roman" w:hAnsi="inherit" w:cs="Times New Roman"/>
          <w:color w:val="000000"/>
          <w:sz w:val="25"/>
          <w:szCs w:val="25"/>
          <w:lang w:eastAsia="en-GB"/>
        </w:rPr>
        <w:br/>
      </w:r>
      <w:r w:rsidRPr="001D676C">
        <w:rPr>
          <w:rFonts w:ascii="inherit" w:eastAsia="Times New Roman" w:hAnsi="inherit" w:cs="Times New Roman"/>
          <w:b/>
          <w:bCs/>
          <w:color w:val="000000"/>
          <w:sz w:val="25"/>
          <w:szCs w:val="25"/>
          <w:bdr w:val="none" w:sz="0" w:space="0" w:color="auto" w:frame="1"/>
          <w:lang w:eastAsia="en-GB"/>
        </w:rPr>
        <w:t>Page reference:</w:t>
      </w:r>
      <w:r w:rsidRPr="001D676C">
        <w:rPr>
          <w:rFonts w:ascii="inherit" w:eastAsia="Times New Roman" w:hAnsi="inherit" w:cs="Times New Roman"/>
          <w:color w:val="000000"/>
          <w:sz w:val="25"/>
          <w:szCs w:val="25"/>
          <w:lang w:eastAsia="en-GB"/>
        </w:rPr>
        <w:t> 206</w:t>
      </w:r>
    </w:p>
    <w:p w14:paraId="18EB8C9D" w14:textId="77777777" w:rsidR="001D676C" w:rsidRPr="001D676C" w:rsidRDefault="001D676C" w:rsidP="001D676C">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7" w:name="8"/>
      <w:bookmarkEnd w:id="7"/>
      <w:r w:rsidRPr="001D676C">
        <w:rPr>
          <w:rFonts w:ascii="inherit" w:eastAsia="Times New Roman" w:hAnsi="inherit" w:cs="Times New Roman"/>
          <w:b/>
          <w:bCs/>
          <w:color w:val="86A600"/>
          <w:sz w:val="25"/>
          <w:szCs w:val="25"/>
          <w:lang w:eastAsia="en-GB"/>
        </w:rPr>
        <w:t>Question 8</w:t>
      </w:r>
    </w:p>
    <w:p w14:paraId="1F7E1EFB" w14:textId="77777777" w:rsidR="001D676C" w:rsidRPr="001D676C" w:rsidRDefault="001D676C" w:rsidP="001D676C">
      <w:pPr>
        <w:spacing w:after="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color w:val="000000"/>
          <w:sz w:val="25"/>
          <w:szCs w:val="25"/>
          <w:lang w:eastAsia="en-GB"/>
        </w:rPr>
        <w:t>What principle was established in </w:t>
      </w:r>
      <w:proofErr w:type="spellStart"/>
      <w:r w:rsidRPr="001D676C">
        <w:rPr>
          <w:rFonts w:ascii="Arial" w:eastAsia="Times New Roman" w:hAnsi="Arial" w:cs="Arial"/>
          <w:i/>
          <w:iCs/>
          <w:color w:val="000000"/>
          <w:sz w:val="25"/>
          <w:szCs w:val="25"/>
          <w:bdr w:val="none" w:sz="0" w:space="0" w:color="auto" w:frame="1"/>
          <w:lang w:eastAsia="en-GB"/>
        </w:rPr>
        <w:t>Rheinmühlen</w:t>
      </w:r>
      <w:proofErr w:type="spellEnd"/>
      <w:r w:rsidRPr="001D676C">
        <w:rPr>
          <w:rFonts w:ascii="inherit" w:eastAsia="Times New Roman" w:hAnsi="inherit" w:cs="Times New Roman"/>
          <w:color w:val="000000"/>
          <w:sz w:val="25"/>
          <w:szCs w:val="25"/>
          <w:lang w:eastAsia="en-GB"/>
        </w:rPr>
        <w:t>?</w:t>
      </w:r>
    </w:p>
    <w:p w14:paraId="447742A6" w14:textId="77777777" w:rsidR="001D676C" w:rsidRPr="001D676C" w:rsidRDefault="001D676C" w:rsidP="001D676C">
      <w:pPr>
        <w:spacing w:after="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b/>
          <w:bCs/>
          <w:color w:val="000000"/>
          <w:sz w:val="25"/>
          <w:szCs w:val="25"/>
          <w:bdr w:val="none" w:sz="0" w:space="0" w:color="auto" w:frame="1"/>
          <w:lang w:eastAsia="en-GB"/>
        </w:rPr>
        <w:t>Your answer:</w:t>
      </w:r>
    </w:p>
    <w:p w14:paraId="2E44AE60" w14:textId="77777777" w:rsidR="001D676C" w:rsidRPr="001D676C" w:rsidRDefault="001D676C" w:rsidP="001D676C">
      <w:pPr>
        <w:spacing w:after="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b/>
          <w:bCs/>
          <w:color w:val="86A600"/>
          <w:sz w:val="25"/>
          <w:szCs w:val="25"/>
          <w:bdr w:val="none" w:sz="0" w:space="0" w:color="auto" w:frame="1"/>
          <w:lang w:eastAsia="en-GB"/>
        </w:rPr>
        <w:t>a) </w:t>
      </w:r>
      <w:r w:rsidRPr="001D676C">
        <w:rPr>
          <w:rFonts w:ascii="inherit" w:eastAsia="Times New Roman" w:hAnsi="inherit" w:cs="Times New Roman"/>
          <w:color w:val="000000"/>
          <w:sz w:val="25"/>
          <w:szCs w:val="25"/>
          <w:lang w:eastAsia="en-GB"/>
        </w:rPr>
        <w:t>A previous ruling on interpretation by a higher national court does not preclude a reference by a lower national court.</w:t>
      </w:r>
    </w:p>
    <w:p w14:paraId="1BE26B13" w14:textId="77777777" w:rsidR="001D676C" w:rsidRPr="001D676C" w:rsidRDefault="001D676C" w:rsidP="001D676C">
      <w:pPr>
        <w:spacing w:after="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b/>
          <w:bCs/>
          <w:color w:val="000000"/>
          <w:sz w:val="25"/>
          <w:szCs w:val="25"/>
          <w:bdr w:val="none" w:sz="0" w:space="0" w:color="auto" w:frame="1"/>
          <w:lang w:eastAsia="en-GB"/>
        </w:rPr>
        <w:lastRenderedPageBreak/>
        <w:t>Feedback:</w:t>
      </w:r>
    </w:p>
    <w:p w14:paraId="58327558" w14:textId="77777777" w:rsidR="001D676C" w:rsidRPr="001D676C" w:rsidRDefault="001D676C" w:rsidP="001D676C">
      <w:pPr>
        <w:spacing w:after="15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color w:val="000000"/>
          <w:sz w:val="25"/>
          <w:szCs w:val="25"/>
          <w:lang w:eastAsia="en-GB"/>
        </w:rPr>
        <w:t>National rules of precedent have no impact on the discretion to refer. A ruling of a higher national court on an interpretation of EU law does not prevent a lower court in the national system from requesting a ruling on the same provision.</w:t>
      </w:r>
      <w:r w:rsidRPr="001D676C">
        <w:rPr>
          <w:rFonts w:ascii="inherit" w:eastAsia="Times New Roman" w:hAnsi="inherit" w:cs="Times New Roman"/>
          <w:color w:val="000000"/>
          <w:sz w:val="25"/>
          <w:szCs w:val="25"/>
          <w:lang w:eastAsia="en-GB"/>
        </w:rPr>
        <w:br/>
      </w:r>
      <w:r w:rsidRPr="001D676C">
        <w:rPr>
          <w:rFonts w:ascii="inherit" w:eastAsia="Times New Roman" w:hAnsi="inherit" w:cs="Times New Roman"/>
          <w:b/>
          <w:bCs/>
          <w:color w:val="000000"/>
          <w:sz w:val="25"/>
          <w:szCs w:val="25"/>
          <w:bdr w:val="none" w:sz="0" w:space="0" w:color="auto" w:frame="1"/>
          <w:lang w:eastAsia="en-GB"/>
        </w:rPr>
        <w:t>Page reference:</w:t>
      </w:r>
      <w:r w:rsidRPr="001D676C">
        <w:rPr>
          <w:rFonts w:ascii="inherit" w:eastAsia="Times New Roman" w:hAnsi="inherit" w:cs="Times New Roman"/>
          <w:color w:val="000000"/>
          <w:sz w:val="25"/>
          <w:szCs w:val="25"/>
          <w:lang w:eastAsia="en-GB"/>
        </w:rPr>
        <w:t> 219</w:t>
      </w:r>
    </w:p>
    <w:p w14:paraId="22CC88B6" w14:textId="77777777" w:rsidR="001D676C" w:rsidRPr="001D676C" w:rsidRDefault="001D676C" w:rsidP="001D676C">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8" w:name="9"/>
      <w:bookmarkEnd w:id="8"/>
      <w:r w:rsidRPr="001D676C">
        <w:rPr>
          <w:rFonts w:ascii="inherit" w:eastAsia="Times New Roman" w:hAnsi="inherit" w:cs="Times New Roman"/>
          <w:b/>
          <w:bCs/>
          <w:color w:val="86A600"/>
          <w:sz w:val="25"/>
          <w:szCs w:val="25"/>
          <w:lang w:eastAsia="en-GB"/>
        </w:rPr>
        <w:t>Question 9</w:t>
      </w:r>
    </w:p>
    <w:p w14:paraId="1BA57C7F" w14:textId="77777777" w:rsidR="001D676C" w:rsidRPr="001D676C" w:rsidRDefault="001D676C" w:rsidP="001D676C">
      <w:pPr>
        <w:spacing w:after="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color w:val="000000"/>
          <w:sz w:val="25"/>
          <w:szCs w:val="25"/>
          <w:lang w:eastAsia="en-GB"/>
        </w:rPr>
        <w:t>In </w:t>
      </w:r>
      <w:r w:rsidRPr="001D676C">
        <w:rPr>
          <w:rFonts w:ascii="Arial" w:eastAsia="Times New Roman" w:hAnsi="Arial" w:cs="Arial"/>
          <w:i/>
          <w:iCs/>
          <w:color w:val="000000"/>
          <w:sz w:val="25"/>
          <w:szCs w:val="25"/>
          <w:bdr w:val="none" w:sz="0" w:space="0" w:color="auto" w:frame="1"/>
          <w:lang w:eastAsia="en-GB"/>
        </w:rPr>
        <w:t>CILFIT</w:t>
      </w:r>
      <w:r w:rsidRPr="001D676C">
        <w:rPr>
          <w:rFonts w:ascii="inherit" w:eastAsia="Times New Roman" w:hAnsi="inherit" w:cs="Times New Roman"/>
          <w:color w:val="000000"/>
          <w:sz w:val="25"/>
          <w:szCs w:val="25"/>
          <w:lang w:eastAsia="en-GB"/>
        </w:rPr>
        <w:t>, how did the Court of Justice extend the </w:t>
      </w:r>
      <w:r w:rsidRPr="001D676C">
        <w:rPr>
          <w:rFonts w:ascii="Arial" w:eastAsia="Times New Roman" w:hAnsi="Arial" w:cs="Arial"/>
          <w:i/>
          <w:iCs/>
          <w:color w:val="000000"/>
          <w:sz w:val="25"/>
          <w:szCs w:val="25"/>
          <w:bdr w:val="none" w:sz="0" w:space="0" w:color="auto" w:frame="1"/>
          <w:lang w:eastAsia="en-GB"/>
        </w:rPr>
        <w:t>Da Costa</w:t>
      </w:r>
      <w:r w:rsidRPr="001D676C">
        <w:rPr>
          <w:rFonts w:ascii="inherit" w:eastAsia="Times New Roman" w:hAnsi="inherit" w:cs="Times New Roman"/>
          <w:color w:val="000000"/>
          <w:sz w:val="25"/>
          <w:szCs w:val="25"/>
          <w:lang w:eastAsia="en-GB"/>
        </w:rPr>
        <w:t> principle concerning previous rulings?</w:t>
      </w:r>
    </w:p>
    <w:p w14:paraId="36A5C777" w14:textId="77777777" w:rsidR="001D676C" w:rsidRPr="001D676C" w:rsidRDefault="001D676C" w:rsidP="001D676C">
      <w:pPr>
        <w:spacing w:after="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b/>
          <w:bCs/>
          <w:color w:val="000000"/>
          <w:sz w:val="25"/>
          <w:szCs w:val="25"/>
          <w:bdr w:val="none" w:sz="0" w:space="0" w:color="auto" w:frame="1"/>
          <w:lang w:eastAsia="en-GB"/>
        </w:rPr>
        <w:t>Your answer:</w:t>
      </w:r>
    </w:p>
    <w:p w14:paraId="10E1E3F8" w14:textId="77777777" w:rsidR="001D676C" w:rsidRPr="001D676C" w:rsidRDefault="001D676C" w:rsidP="001D676C">
      <w:pPr>
        <w:spacing w:after="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b/>
          <w:bCs/>
          <w:color w:val="86A600"/>
          <w:sz w:val="25"/>
          <w:szCs w:val="25"/>
          <w:bdr w:val="none" w:sz="0" w:space="0" w:color="auto" w:frame="1"/>
          <w:lang w:eastAsia="en-GB"/>
        </w:rPr>
        <w:t>a) </w:t>
      </w:r>
      <w:r w:rsidRPr="001D676C">
        <w:rPr>
          <w:rFonts w:ascii="inherit" w:eastAsia="Times New Roman" w:hAnsi="inherit" w:cs="Times New Roman"/>
          <w:color w:val="000000"/>
          <w:sz w:val="25"/>
          <w:szCs w:val="25"/>
          <w:lang w:eastAsia="en-GB"/>
        </w:rPr>
        <w:t>A previous ruling on a similar question by a higher national court removes the obligation to refer.</w:t>
      </w:r>
    </w:p>
    <w:p w14:paraId="44F35C5D" w14:textId="77777777" w:rsidR="001D676C" w:rsidRPr="001D676C" w:rsidRDefault="001D676C" w:rsidP="001D676C">
      <w:pPr>
        <w:spacing w:after="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b/>
          <w:bCs/>
          <w:color w:val="000000"/>
          <w:sz w:val="25"/>
          <w:szCs w:val="25"/>
          <w:bdr w:val="none" w:sz="0" w:space="0" w:color="auto" w:frame="1"/>
          <w:lang w:eastAsia="en-GB"/>
        </w:rPr>
        <w:t>Correct answer:</w:t>
      </w:r>
    </w:p>
    <w:p w14:paraId="472B2943" w14:textId="77777777" w:rsidR="001D676C" w:rsidRPr="001D676C" w:rsidRDefault="001D676C" w:rsidP="001D676C">
      <w:pPr>
        <w:spacing w:after="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b/>
          <w:bCs/>
          <w:color w:val="86A600"/>
          <w:sz w:val="25"/>
          <w:szCs w:val="25"/>
          <w:bdr w:val="none" w:sz="0" w:space="0" w:color="auto" w:frame="1"/>
          <w:lang w:eastAsia="en-GB"/>
        </w:rPr>
        <w:t>c) </w:t>
      </w:r>
      <w:r w:rsidRPr="001D676C">
        <w:rPr>
          <w:rFonts w:ascii="inherit" w:eastAsia="Times New Roman" w:hAnsi="inherit" w:cs="Times New Roman"/>
          <w:color w:val="000000"/>
          <w:sz w:val="25"/>
          <w:szCs w:val="25"/>
          <w:lang w:eastAsia="en-GB"/>
        </w:rPr>
        <w:t>A previous ruling by the Court of Justice removes the obligation to refer, even where the questions at issue are not strictly identical.</w:t>
      </w:r>
    </w:p>
    <w:p w14:paraId="5DDAC222" w14:textId="77777777" w:rsidR="001D676C" w:rsidRPr="001D676C" w:rsidRDefault="001D676C" w:rsidP="001D676C">
      <w:pPr>
        <w:spacing w:after="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b/>
          <w:bCs/>
          <w:color w:val="000000"/>
          <w:sz w:val="25"/>
          <w:szCs w:val="25"/>
          <w:bdr w:val="none" w:sz="0" w:space="0" w:color="auto" w:frame="1"/>
          <w:lang w:eastAsia="en-GB"/>
        </w:rPr>
        <w:t>Feedback:</w:t>
      </w:r>
    </w:p>
    <w:p w14:paraId="2C56878A" w14:textId="77777777" w:rsidR="001D676C" w:rsidRPr="001D676C" w:rsidRDefault="001D676C" w:rsidP="001D676C">
      <w:pPr>
        <w:spacing w:after="150" w:line="348" w:lineRule="atLeast"/>
        <w:textAlignment w:val="baseline"/>
        <w:rPr>
          <w:rFonts w:ascii="inherit" w:eastAsia="Times New Roman" w:hAnsi="inherit" w:cs="Times New Roman"/>
          <w:color w:val="000000"/>
          <w:sz w:val="25"/>
          <w:szCs w:val="25"/>
          <w:lang w:eastAsia="en-GB"/>
        </w:rPr>
      </w:pPr>
      <w:r w:rsidRPr="001D676C">
        <w:rPr>
          <w:rFonts w:ascii="Arial" w:eastAsia="Times New Roman" w:hAnsi="Arial" w:cs="Arial"/>
          <w:i/>
          <w:iCs/>
          <w:color w:val="000000"/>
          <w:sz w:val="25"/>
          <w:szCs w:val="25"/>
          <w:bdr w:val="none" w:sz="0" w:space="0" w:color="auto" w:frame="1"/>
          <w:lang w:eastAsia="en-GB"/>
        </w:rPr>
        <w:t>Da Costa</w:t>
      </w:r>
      <w:r w:rsidRPr="001D676C">
        <w:rPr>
          <w:rFonts w:ascii="inherit" w:eastAsia="Times New Roman" w:hAnsi="inherit" w:cs="Times New Roman"/>
          <w:color w:val="000000"/>
          <w:sz w:val="25"/>
          <w:szCs w:val="25"/>
          <w:lang w:eastAsia="en-GB"/>
        </w:rPr>
        <w:t> and </w:t>
      </w:r>
      <w:r w:rsidRPr="001D676C">
        <w:rPr>
          <w:rFonts w:ascii="Arial" w:eastAsia="Times New Roman" w:hAnsi="Arial" w:cs="Arial"/>
          <w:i/>
          <w:iCs/>
          <w:color w:val="000000"/>
          <w:sz w:val="25"/>
          <w:szCs w:val="25"/>
          <w:bdr w:val="none" w:sz="0" w:space="0" w:color="auto" w:frame="1"/>
          <w:lang w:eastAsia="en-GB"/>
        </w:rPr>
        <w:t>CILFIT</w:t>
      </w:r>
      <w:r w:rsidRPr="001D676C">
        <w:rPr>
          <w:rFonts w:ascii="inherit" w:eastAsia="Times New Roman" w:hAnsi="inherit" w:cs="Times New Roman"/>
          <w:color w:val="000000"/>
          <w:sz w:val="25"/>
          <w:szCs w:val="25"/>
          <w:lang w:eastAsia="en-GB"/>
        </w:rPr>
        <w:t> indicate the development of a system of precedent by the Court of Justice. The Court of Justice permits, indeed encourages, national courts to rely on its previous rulings, not only when the facts and questions of interpretation are identical but also when the nature of the proceedings is different and the questions are not identical. Nonetheless, as </w:t>
      </w:r>
      <w:r w:rsidRPr="001D676C">
        <w:rPr>
          <w:rFonts w:ascii="Arial" w:eastAsia="Times New Roman" w:hAnsi="Arial" w:cs="Arial"/>
          <w:i/>
          <w:iCs/>
          <w:color w:val="000000"/>
          <w:sz w:val="25"/>
          <w:szCs w:val="25"/>
          <w:bdr w:val="none" w:sz="0" w:space="0" w:color="auto" w:frame="1"/>
          <w:lang w:eastAsia="en-GB"/>
        </w:rPr>
        <w:t>Da Costa </w:t>
      </w:r>
      <w:r w:rsidRPr="001D676C">
        <w:rPr>
          <w:rFonts w:ascii="inherit" w:eastAsia="Times New Roman" w:hAnsi="inherit" w:cs="Times New Roman"/>
          <w:color w:val="000000"/>
          <w:sz w:val="25"/>
          <w:szCs w:val="25"/>
          <w:lang w:eastAsia="en-GB"/>
        </w:rPr>
        <w:t>indicates, the binding effect of a preliminary ruling does not preclude a national court from seeking further guidance from the Court of Justice. The Court retains the right to depart from its previous rulings and may do so, for instance, when a different conclusion is warranted by different facts.</w:t>
      </w:r>
      <w:r w:rsidRPr="001D676C">
        <w:rPr>
          <w:rFonts w:ascii="inherit" w:eastAsia="Times New Roman" w:hAnsi="inherit" w:cs="Times New Roman"/>
          <w:color w:val="000000"/>
          <w:sz w:val="25"/>
          <w:szCs w:val="25"/>
          <w:lang w:eastAsia="en-GB"/>
        </w:rPr>
        <w:br/>
      </w:r>
      <w:r w:rsidRPr="001D676C">
        <w:rPr>
          <w:rFonts w:ascii="inherit" w:eastAsia="Times New Roman" w:hAnsi="inherit" w:cs="Times New Roman"/>
          <w:b/>
          <w:bCs/>
          <w:color w:val="000000"/>
          <w:sz w:val="25"/>
          <w:szCs w:val="25"/>
          <w:bdr w:val="none" w:sz="0" w:space="0" w:color="auto" w:frame="1"/>
          <w:lang w:eastAsia="en-GB"/>
        </w:rPr>
        <w:t>Page reference:</w:t>
      </w:r>
      <w:r w:rsidRPr="001D676C">
        <w:rPr>
          <w:rFonts w:ascii="inherit" w:eastAsia="Times New Roman" w:hAnsi="inherit" w:cs="Times New Roman"/>
          <w:color w:val="000000"/>
          <w:sz w:val="25"/>
          <w:szCs w:val="25"/>
          <w:lang w:eastAsia="en-GB"/>
        </w:rPr>
        <w:t> 225</w:t>
      </w:r>
    </w:p>
    <w:p w14:paraId="0E9A9646" w14:textId="77777777" w:rsidR="001D676C" w:rsidRPr="001D676C" w:rsidRDefault="001D676C" w:rsidP="001D676C">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9" w:name="10"/>
      <w:bookmarkEnd w:id="9"/>
      <w:r w:rsidRPr="001D676C">
        <w:rPr>
          <w:rFonts w:ascii="inherit" w:eastAsia="Times New Roman" w:hAnsi="inherit" w:cs="Times New Roman"/>
          <w:b/>
          <w:bCs/>
          <w:color w:val="86A600"/>
          <w:sz w:val="25"/>
          <w:szCs w:val="25"/>
          <w:lang w:eastAsia="en-GB"/>
        </w:rPr>
        <w:t>Question 10</w:t>
      </w:r>
    </w:p>
    <w:p w14:paraId="5B83A670" w14:textId="77777777" w:rsidR="001D676C" w:rsidRPr="001D676C" w:rsidRDefault="001D676C" w:rsidP="001D676C">
      <w:pPr>
        <w:spacing w:after="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color w:val="000000"/>
          <w:sz w:val="25"/>
          <w:szCs w:val="25"/>
          <w:lang w:eastAsia="en-GB"/>
        </w:rPr>
        <w:t>The Court of Justice has explained in its case law (</w:t>
      </w:r>
      <w:proofErr w:type="spellStart"/>
      <w:r w:rsidRPr="001D676C">
        <w:rPr>
          <w:rFonts w:ascii="Arial" w:eastAsia="Times New Roman" w:hAnsi="Arial" w:cs="Arial"/>
          <w:i/>
          <w:iCs/>
          <w:color w:val="000000"/>
          <w:sz w:val="25"/>
          <w:szCs w:val="25"/>
          <w:bdr w:val="none" w:sz="0" w:space="0" w:color="auto" w:frame="1"/>
          <w:lang w:eastAsia="en-GB"/>
        </w:rPr>
        <w:t>Foto</w:t>
      </w:r>
      <w:proofErr w:type="spellEnd"/>
      <w:r w:rsidRPr="001D676C">
        <w:rPr>
          <w:rFonts w:ascii="Arial" w:eastAsia="Times New Roman" w:hAnsi="Arial" w:cs="Arial"/>
          <w:i/>
          <w:iCs/>
          <w:color w:val="000000"/>
          <w:sz w:val="25"/>
          <w:szCs w:val="25"/>
          <w:bdr w:val="none" w:sz="0" w:space="0" w:color="auto" w:frame="1"/>
          <w:lang w:eastAsia="en-GB"/>
        </w:rPr>
        <w:t>-Frost</w:t>
      </w:r>
      <w:r w:rsidRPr="001D676C">
        <w:rPr>
          <w:rFonts w:ascii="inherit" w:eastAsia="Times New Roman" w:hAnsi="inherit" w:cs="Times New Roman"/>
          <w:color w:val="000000"/>
          <w:sz w:val="25"/>
          <w:szCs w:val="25"/>
          <w:lang w:eastAsia="en-GB"/>
        </w:rPr>
        <w:t>) and its subsequent Recommendations to national courts (OJ 2012/C 338/01) that a national court should make a preliminary reference whenever there is doubt as to the validity of an EU measure which is relevant to the outcome of the case. This means that a national court, under those circumstances, can make a preliminary reference as to the validity of a provision of the TFEU.</w:t>
      </w:r>
    </w:p>
    <w:p w14:paraId="6494FA91" w14:textId="77777777" w:rsidR="001D676C" w:rsidRPr="001D676C" w:rsidRDefault="001D676C" w:rsidP="001D676C">
      <w:pPr>
        <w:spacing w:after="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b/>
          <w:bCs/>
          <w:color w:val="000000"/>
          <w:sz w:val="25"/>
          <w:szCs w:val="25"/>
          <w:bdr w:val="none" w:sz="0" w:space="0" w:color="auto" w:frame="1"/>
          <w:lang w:eastAsia="en-GB"/>
        </w:rPr>
        <w:t>Your answer:</w:t>
      </w:r>
    </w:p>
    <w:p w14:paraId="425D6B63" w14:textId="77777777" w:rsidR="001D676C" w:rsidRPr="001D676C" w:rsidRDefault="001D676C" w:rsidP="001D676C">
      <w:pPr>
        <w:spacing w:after="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b/>
          <w:bCs/>
          <w:color w:val="86A600"/>
          <w:sz w:val="25"/>
          <w:szCs w:val="25"/>
          <w:bdr w:val="none" w:sz="0" w:space="0" w:color="auto" w:frame="1"/>
          <w:lang w:eastAsia="en-GB"/>
        </w:rPr>
        <w:t>a) </w:t>
      </w:r>
      <w:r w:rsidRPr="001D676C">
        <w:rPr>
          <w:rFonts w:ascii="inherit" w:eastAsia="Times New Roman" w:hAnsi="inherit" w:cs="Times New Roman"/>
          <w:color w:val="000000"/>
          <w:sz w:val="25"/>
          <w:szCs w:val="25"/>
          <w:lang w:eastAsia="en-GB"/>
        </w:rPr>
        <w:t>True</w:t>
      </w:r>
    </w:p>
    <w:p w14:paraId="14ED7F39" w14:textId="77777777" w:rsidR="001D676C" w:rsidRPr="001D676C" w:rsidRDefault="001D676C" w:rsidP="001D676C">
      <w:pPr>
        <w:spacing w:after="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b/>
          <w:bCs/>
          <w:color w:val="000000"/>
          <w:sz w:val="25"/>
          <w:szCs w:val="25"/>
          <w:bdr w:val="none" w:sz="0" w:space="0" w:color="auto" w:frame="1"/>
          <w:lang w:eastAsia="en-GB"/>
        </w:rPr>
        <w:t>Correct answer:</w:t>
      </w:r>
    </w:p>
    <w:p w14:paraId="76366168" w14:textId="77777777" w:rsidR="001D676C" w:rsidRPr="001D676C" w:rsidRDefault="001D676C" w:rsidP="001D676C">
      <w:pPr>
        <w:spacing w:after="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b/>
          <w:bCs/>
          <w:color w:val="86A600"/>
          <w:sz w:val="25"/>
          <w:szCs w:val="25"/>
          <w:bdr w:val="none" w:sz="0" w:space="0" w:color="auto" w:frame="1"/>
          <w:lang w:eastAsia="en-GB"/>
        </w:rPr>
        <w:t>b) </w:t>
      </w:r>
      <w:r w:rsidRPr="001D676C">
        <w:rPr>
          <w:rFonts w:ascii="inherit" w:eastAsia="Times New Roman" w:hAnsi="inherit" w:cs="Times New Roman"/>
          <w:color w:val="000000"/>
          <w:sz w:val="25"/>
          <w:szCs w:val="25"/>
          <w:lang w:eastAsia="en-GB"/>
        </w:rPr>
        <w:t>False</w:t>
      </w:r>
    </w:p>
    <w:p w14:paraId="1F43B95C" w14:textId="77777777" w:rsidR="001D676C" w:rsidRPr="001D676C" w:rsidRDefault="001D676C" w:rsidP="001D676C">
      <w:pPr>
        <w:spacing w:after="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b/>
          <w:bCs/>
          <w:color w:val="000000"/>
          <w:sz w:val="25"/>
          <w:szCs w:val="25"/>
          <w:bdr w:val="none" w:sz="0" w:space="0" w:color="auto" w:frame="1"/>
          <w:lang w:eastAsia="en-GB"/>
        </w:rPr>
        <w:t>Feedback:</w:t>
      </w:r>
    </w:p>
    <w:p w14:paraId="042ACB87" w14:textId="77777777" w:rsidR="001D676C" w:rsidRPr="001D676C" w:rsidRDefault="001D676C" w:rsidP="001D676C">
      <w:pPr>
        <w:spacing w:after="150" w:line="348" w:lineRule="atLeast"/>
        <w:textAlignment w:val="baseline"/>
        <w:rPr>
          <w:rFonts w:ascii="inherit" w:eastAsia="Times New Roman" w:hAnsi="inherit" w:cs="Times New Roman"/>
          <w:color w:val="000000"/>
          <w:sz w:val="25"/>
          <w:szCs w:val="25"/>
          <w:lang w:eastAsia="en-GB"/>
        </w:rPr>
      </w:pPr>
      <w:r w:rsidRPr="001D676C">
        <w:rPr>
          <w:rFonts w:ascii="inherit" w:eastAsia="Times New Roman" w:hAnsi="inherit" w:cs="Times New Roman"/>
          <w:color w:val="000000"/>
          <w:sz w:val="25"/>
          <w:szCs w:val="25"/>
          <w:lang w:eastAsia="en-GB"/>
        </w:rPr>
        <w:lastRenderedPageBreak/>
        <w:t>Article 267 TFEU only permits questions to be referred on the validity of secondary EU law. The validity of the Treaties may therefore not be questioned.</w:t>
      </w:r>
      <w:r w:rsidRPr="001D676C">
        <w:rPr>
          <w:rFonts w:ascii="inherit" w:eastAsia="Times New Roman" w:hAnsi="inherit" w:cs="Times New Roman"/>
          <w:color w:val="000000"/>
          <w:sz w:val="25"/>
          <w:szCs w:val="25"/>
          <w:lang w:eastAsia="en-GB"/>
        </w:rPr>
        <w:br/>
      </w:r>
      <w:r w:rsidRPr="001D676C">
        <w:rPr>
          <w:rFonts w:ascii="inherit" w:eastAsia="Times New Roman" w:hAnsi="inherit" w:cs="Times New Roman"/>
          <w:b/>
          <w:bCs/>
          <w:color w:val="000000"/>
          <w:sz w:val="25"/>
          <w:szCs w:val="25"/>
          <w:bdr w:val="none" w:sz="0" w:space="0" w:color="auto" w:frame="1"/>
          <w:lang w:eastAsia="en-GB"/>
        </w:rPr>
        <w:t>Page reference:</w:t>
      </w:r>
      <w:r w:rsidRPr="001D676C">
        <w:rPr>
          <w:rFonts w:ascii="inherit" w:eastAsia="Times New Roman" w:hAnsi="inherit" w:cs="Times New Roman"/>
          <w:color w:val="000000"/>
          <w:sz w:val="25"/>
          <w:szCs w:val="25"/>
          <w:lang w:eastAsia="en-GB"/>
        </w:rPr>
        <w:t> 227</w:t>
      </w:r>
    </w:p>
    <w:p w14:paraId="5A6ADEB2" w14:textId="77777777" w:rsidR="009257EB" w:rsidRDefault="009257EB"/>
    <w:sectPr w:rsidR="009257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inheri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676C"/>
    <w:rsid w:val="001D676C"/>
    <w:rsid w:val="00925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D5068B"/>
  <w15:chartTrackingRefBased/>
  <w15:docId w15:val="{10237E21-BAE5-4560-AE10-A11567C153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1D676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1D676C"/>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1D676C"/>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1D676C"/>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1D676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ospace">
    <w:name w:val="nospace"/>
    <w:basedOn w:val="Normal"/>
    <w:rsid w:val="001D676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D676C"/>
    <w:rPr>
      <w:b/>
      <w:bCs/>
    </w:rPr>
  </w:style>
  <w:style w:type="paragraph" w:customStyle="1" w:styleId="notopspace">
    <w:name w:val="notopspace"/>
    <w:basedOn w:val="Normal"/>
    <w:rsid w:val="001D676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138143">
      <w:bodyDiv w:val="1"/>
      <w:marLeft w:val="0"/>
      <w:marRight w:val="0"/>
      <w:marTop w:val="0"/>
      <w:marBottom w:val="0"/>
      <w:divBdr>
        <w:top w:val="none" w:sz="0" w:space="0" w:color="auto"/>
        <w:left w:val="none" w:sz="0" w:space="0" w:color="auto"/>
        <w:bottom w:val="none" w:sz="0" w:space="0" w:color="auto"/>
        <w:right w:val="none" w:sz="0" w:space="0" w:color="auto"/>
      </w:divBdr>
      <w:divsChild>
        <w:div w:id="448745424">
          <w:marLeft w:val="0"/>
          <w:marRight w:val="0"/>
          <w:marTop w:val="150"/>
          <w:marBottom w:val="150"/>
          <w:divBdr>
            <w:top w:val="none" w:sz="0" w:space="0" w:color="auto"/>
            <w:left w:val="none" w:sz="0" w:space="8" w:color="auto"/>
            <w:bottom w:val="single" w:sz="6" w:space="8" w:color="B5DA23"/>
            <w:right w:val="none" w:sz="0" w:space="0" w:color="auto"/>
          </w:divBdr>
        </w:div>
        <w:div w:id="227156623">
          <w:marLeft w:val="0"/>
          <w:marRight w:val="0"/>
          <w:marTop w:val="150"/>
          <w:marBottom w:val="150"/>
          <w:divBdr>
            <w:top w:val="none" w:sz="0" w:space="0" w:color="auto"/>
            <w:left w:val="none" w:sz="0" w:space="8" w:color="auto"/>
            <w:bottom w:val="single" w:sz="6" w:space="8" w:color="B5DA23"/>
            <w:right w:val="none" w:sz="0" w:space="0" w:color="auto"/>
          </w:divBdr>
          <w:divsChild>
            <w:div w:id="1845437713">
              <w:marLeft w:val="0"/>
              <w:marRight w:val="0"/>
              <w:marTop w:val="0"/>
              <w:marBottom w:val="0"/>
              <w:divBdr>
                <w:top w:val="none" w:sz="0" w:space="0" w:color="auto"/>
                <w:left w:val="none" w:sz="0" w:space="0" w:color="auto"/>
                <w:bottom w:val="none" w:sz="0" w:space="0" w:color="auto"/>
                <w:right w:val="none" w:sz="0" w:space="0" w:color="auto"/>
              </w:divBdr>
            </w:div>
          </w:divsChild>
        </w:div>
        <w:div w:id="33896566">
          <w:marLeft w:val="0"/>
          <w:marRight w:val="0"/>
          <w:marTop w:val="150"/>
          <w:marBottom w:val="150"/>
          <w:divBdr>
            <w:top w:val="none" w:sz="0" w:space="0" w:color="auto"/>
            <w:left w:val="none" w:sz="0" w:space="8" w:color="auto"/>
            <w:bottom w:val="single" w:sz="6" w:space="8" w:color="B5DA23"/>
            <w:right w:val="none" w:sz="0" w:space="0" w:color="auto"/>
          </w:divBdr>
          <w:divsChild>
            <w:div w:id="1486817677">
              <w:marLeft w:val="0"/>
              <w:marRight w:val="0"/>
              <w:marTop w:val="0"/>
              <w:marBottom w:val="0"/>
              <w:divBdr>
                <w:top w:val="none" w:sz="0" w:space="0" w:color="auto"/>
                <w:left w:val="none" w:sz="0" w:space="0" w:color="auto"/>
                <w:bottom w:val="none" w:sz="0" w:space="0" w:color="auto"/>
                <w:right w:val="none" w:sz="0" w:space="0" w:color="auto"/>
              </w:divBdr>
            </w:div>
          </w:divsChild>
        </w:div>
        <w:div w:id="196087081">
          <w:marLeft w:val="0"/>
          <w:marRight w:val="0"/>
          <w:marTop w:val="150"/>
          <w:marBottom w:val="150"/>
          <w:divBdr>
            <w:top w:val="none" w:sz="0" w:space="0" w:color="auto"/>
            <w:left w:val="none" w:sz="0" w:space="8" w:color="auto"/>
            <w:bottom w:val="single" w:sz="6" w:space="8" w:color="B5DA23"/>
            <w:right w:val="none" w:sz="0" w:space="0" w:color="auto"/>
          </w:divBdr>
          <w:divsChild>
            <w:div w:id="631056454">
              <w:marLeft w:val="0"/>
              <w:marRight w:val="0"/>
              <w:marTop w:val="0"/>
              <w:marBottom w:val="0"/>
              <w:divBdr>
                <w:top w:val="none" w:sz="0" w:space="0" w:color="auto"/>
                <w:left w:val="none" w:sz="0" w:space="0" w:color="auto"/>
                <w:bottom w:val="none" w:sz="0" w:space="0" w:color="auto"/>
                <w:right w:val="none" w:sz="0" w:space="0" w:color="auto"/>
              </w:divBdr>
            </w:div>
          </w:divsChild>
        </w:div>
        <w:div w:id="1863787479">
          <w:marLeft w:val="0"/>
          <w:marRight w:val="0"/>
          <w:marTop w:val="150"/>
          <w:marBottom w:val="150"/>
          <w:divBdr>
            <w:top w:val="none" w:sz="0" w:space="0" w:color="auto"/>
            <w:left w:val="none" w:sz="0" w:space="8" w:color="auto"/>
            <w:bottom w:val="single" w:sz="6" w:space="8" w:color="B5DA23"/>
            <w:right w:val="none" w:sz="0" w:space="0" w:color="auto"/>
          </w:divBdr>
          <w:divsChild>
            <w:div w:id="1770587649">
              <w:marLeft w:val="0"/>
              <w:marRight w:val="0"/>
              <w:marTop w:val="0"/>
              <w:marBottom w:val="0"/>
              <w:divBdr>
                <w:top w:val="none" w:sz="0" w:space="0" w:color="auto"/>
                <w:left w:val="none" w:sz="0" w:space="0" w:color="auto"/>
                <w:bottom w:val="none" w:sz="0" w:space="0" w:color="auto"/>
                <w:right w:val="none" w:sz="0" w:space="0" w:color="auto"/>
              </w:divBdr>
            </w:div>
          </w:divsChild>
        </w:div>
        <w:div w:id="1143545252">
          <w:marLeft w:val="0"/>
          <w:marRight w:val="0"/>
          <w:marTop w:val="150"/>
          <w:marBottom w:val="150"/>
          <w:divBdr>
            <w:top w:val="none" w:sz="0" w:space="0" w:color="auto"/>
            <w:left w:val="none" w:sz="0" w:space="8" w:color="auto"/>
            <w:bottom w:val="single" w:sz="6" w:space="8" w:color="B5DA23"/>
            <w:right w:val="none" w:sz="0" w:space="0" w:color="auto"/>
          </w:divBdr>
          <w:divsChild>
            <w:div w:id="2132238464">
              <w:marLeft w:val="0"/>
              <w:marRight w:val="0"/>
              <w:marTop w:val="0"/>
              <w:marBottom w:val="0"/>
              <w:divBdr>
                <w:top w:val="none" w:sz="0" w:space="0" w:color="auto"/>
                <w:left w:val="none" w:sz="0" w:space="0" w:color="auto"/>
                <w:bottom w:val="none" w:sz="0" w:space="0" w:color="auto"/>
                <w:right w:val="none" w:sz="0" w:space="0" w:color="auto"/>
              </w:divBdr>
            </w:div>
          </w:divsChild>
        </w:div>
        <w:div w:id="930772558">
          <w:marLeft w:val="0"/>
          <w:marRight w:val="0"/>
          <w:marTop w:val="150"/>
          <w:marBottom w:val="150"/>
          <w:divBdr>
            <w:top w:val="none" w:sz="0" w:space="0" w:color="auto"/>
            <w:left w:val="none" w:sz="0" w:space="8" w:color="auto"/>
            <w:bottom w:val="single" w:sz="6" w:space="8" w:color="B5DA23"/>
            <w:right w:val="none" w:sz="0" w:space="0" w:color="auto"/>
          </w:divBdr>
          <w:divsChild>
            <w:div w:id="455098144">
              <w:marLeft w:val="0"/>
              <w:marRight w:val="0"/>
              <w:marTop w:val="0"/>
              <w:marBottom w:val="0"/>
              <w:divBdr>
                <w:top w:val="none" w:sz="0" w:space="0" w:color="auto"/>
                <w:left w:val="none" w:sz="0" w:space="0" w:color="auto"/>
                <w:bottom w:val="none" w:sz="0" w:space="0" w:color="auto"/>
                <w:right w:val="none" w:sz="0" w:space="0" w:color="auto"/>
              </w:divBdr>
            </w:div>
          </w:divsChild>
        </w:div>
        <w:div w:id="1417164035">
          <w:marLeft w:val="0"/>
          <w:marRight w:val="0"/>
          <w:marTop w:val="150"/>
          <w:marBottom w:val="150"/>
          <w:divBdr>
            <w:top w:val="none" w:sz="0" w:space="0" w:color="auto"/>
            <w:left w:val="none" w:sz="0" w:space="8" w:color="auto"/>
            <w:bottom w:val="single" w:sz="6" w:space="8" w:color="B5DA23"/>
            <w:right w:val="none" w:sz="0" w:space="0" w:color="auto"/>
          </w:divBdr>
          <w:divsChild>
            <w:div w:id="982808873">
              <w:marLeft w:val="0"/>
              <w:marRight w:val="0"/>
              <w:marTop w:val="0"/>
              <w:marBottom w:val="0"/>
              <w:divBdr>
                <w:top w:val="none" w:sz="0" w:space="0" w:color="auto"/>
                <w:left w:val="none" w:sz="0" w:space="0" w:color="auto"/>
                <w:bottom w:val="none" w:sz="0" w:space="0" w:color="auto"/>
                <w:right w:val="none" w:sz="0" w:space="0" w:color="auto"/>
              </w:divBdr>
            </w:div>
            <w:div w:id="1140882256">
              <w:marLeft w:val="0"/>
              <w:marRight w:val="0"/>
              <w:marTop w:val="0"/>
              <w:marBottom w:val="0"/>
              <w:divBdr>
                <w:top w:val="none" w:sz="0" w:space="0" w:color="auto"/>
                <w:left w:val="none" w:sz="0" w:space="0" w:color="auto"/>
                <w:bottom w:val="none" w:sz="0" w:space="0" w:color="auto"/>
                <w:right w:val="none" w:sz="0" w:space="0" w:color="auto"/>
              </w:divBdr>
            </w:div>
            <w:div w:id="1199853131">
              <w:marLeft w:val="0"/>
              <w:marRight w:val="0"/>
              <w:marTop w:val="0"/>
              <w:marBottom w:val="0"/>
              <w:divBdr>
                <w:top w:val="none" w:sz="0" w:space="0" w:color="auto"/>
                <w:left w:val="none" w:sz="0" w:space="0" w:color="auto"/>
                <w:bottom w:val="none" w:sz="0" w:space="0" w:color="auto"/>
                <w:right w:val="none" w:sz="0" w:space="0" w:color="auto"/>
              </w:divBdr>
            </w:div>
            <w:div w:id="1103763123">
              <w:marLeft w:val="0"/>
              <w:marRight w:val="0"/>
              <w:marTop w:val="0"/>
              <w:marBottom w:val="0"/>
              <w:divBdr>
                <w:top w:val="none" w:sz="0" w:space="0" w:color="auto"/>
                <w:left w:val="none" w:sz="0" w:space="0" w:color="auto"/>
                <w:bottom w:val="none" w:sz="0" w:space="0" w:color="auto"/>
                <w:right w:val="none" w:sz="0" w:space="0" w:color="auto"/>
              </w:divBdr>
            </w:div>
          </w:divsChild>
        </w:div>
        <w:div w:id="1674604305">
          <w:marLeft w:val="0"/>
          <w:marRight w:val="0"/>
          <w:marTop w:val="150"/>
          <w:marBottom w:val="150"/>
          <w:divBdr>
            <w:top w:val="none" w:sz="0" w:space="0" w:color="auto"/>
            <w:left w:val="none" w:sz="0" w:space="8" w:color="auto"/>
            <w:bottom w:val="single" w:sz="6" w:space="8" w:color="B5DA23"/>
            <w:right w:val="none" w:sz="0" w:space="0" w:color="auto"/>
          </w:divBdr>
          <w:divsChild>
            <w:div w:id="1145780157">
              <w:marLeft w:val="0"/>
              <w:marRight w:val="0"/>
              <w:marTop w:val="0"/>
              <w:marBottom w:val="0"/>
              <w:divBdr>
                <w:top w:val="none" w:sz="0" w:space="0" w:color="auto"/>
                <w:left w:val="none" w:sz="0" w:space="0" w:color="auto"/>
                <w:bottom w:val="none" w:sz="0" w:space="0" w:color="auto"/>
                <w:right w:val="none" w:sz="0" w:space="0" w:color="auto"/>
              </w:divBdr>
            </w:div>
          </w:divsChild>
        </w:div>
        <w:div w:id="1255897575">
          <w:marLeft w:val="0"/>
          <w:marRight w:val="0"/>
          <w:marTop w:val="150"/>
          <w:marBottom w:val="150"/>
          <w:divBdr>
            <w:top w:val="none" w:sz="0" w:space="0" w:color="auto"/>
            <w:left w:val="none" w:sz="0" w:space="8" w:color="auto"/>
            <w:bottom w:val="single" w:sz="6" w:space="8" w:color="B5DA23"/>
            <w:right w:val="none" w:sz="0" w:space="0" w:color="auto"/>
          </w:divBdr>
          <w:divsChild>
            <w:div w:id="328557677">
              <w:marLeft w:val="0"/>
              <w:marRight w:val="0"/>
              <w:marTop w:val="0"/>
              <w:marBottom w:val="0"/>
              <w:divBdr>
                <w:top w:val="none" w:sz="0" w:space="0" w:color="auto"/>
                <w:left w:val="none" w:sz="0" w:space="0" w:color="auto"/>
                <w:bottom w:val="none" w:sz="0" w:space="0" w:color="auto"/>
                <w:right w:val="none" w:sz="0" w:space="0" w:color="auto"/>
              </w:divBdr>
            </w:div>
          </w:divsChild>
        </w:div>
        <w:div w:id="1838035091">
          <w:marLeft w:val="0"/>
          <w:marRight w:val="0"/>
          <w:marTop w:val="150"/>
          <w:marBottom w:val="150"/>
          <w:divBdr>
            <w:top w:val="none" w:sz="0" w:space="0" w:color="auto"/>
            <w:left w:val="none" w:sz="0" w:space="8" w:color="auto"/>
            <w:bottom w:val="single" w:sz="6" w:space="8" w:color="B5DA23"/>
            <w:right w:val="none" w:sz="0" w:space="0" w:color="auto"/>
          </w:divBdr>
          <w:divsChild>
            <w:div w:id="889271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1143</Words>
  <Characters>6520</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1</cp:revision>
  <dcterms:created xsi:type="dcterms:W3CDTF">2021-02-22T11:46:00Z</dcterms:created>
  <dcterms:modified xsi:type="dcterms:W3CDTF">2021-02-22T16:28:00Z</dcterms:modified>
</cp:coreProperties>
</file>