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178284623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3F5038E" w14:textId="57E98866" w:rsidR="00AE68D4" w:rsidRDefault="00AE68D4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43E6C9A" wp14:editId="79D940EF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75FB9D7E3A03451DB6ECE58F9E0C470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996148A" w14:textId="662DF76A" w:rsidR="00AE68D4" w:rsidRDefault="00AE68D4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CONTRACT LAW</w:t>
              </w:r>
            </w:p>
          </w:sdtContent>
        </w:sdt>
        <w:sdt>
          <w:sdtPr>
            <w:rPr>
              <w:rFonts w:ascii="Arial" w:eastAsia="Times New Roman" w:hAnsi="Arial" w:cs="Arial"/>
              <w:color w:val="4472C4" w:themeColor="accent1"/>
              <w:sz w:val="44"/>
              <w:szCs w:val="44"/>
            </w:rPr>
            <w:alias w:val="Subtitle"/>
            <w:tag w:val=""/>
            <w:id w:val="328029620"/>
            <w:placeholder>
              <w:docPart w:val="486FB598B9E84C0CAF017E91D5AD8C3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5D9E9D37" w14:textId="5C19E47F" w:rsidR="00AE68D4" w:rsidRPr="00AE68D4" w:rsidRDefault="00AE68D4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AE68D4">
                <w:rPr>
                  <w:rFonts w:ascii="Arial" w:eastAsia="Times New Roman" w:hAnsi="Arial" w:cs="Arial"/>
                  <w:color w:val="4472C4" w:themeColor="accent1"/>
                  <w:sz w:val="44"/>
                  <w:szCs w:val="44"/>
                </w:rPr>
                <w:t>BMLW5006</w:t>
              </w:r>
            </w:p>
          </w:sdtContent>
        </w:sdt>
        <w:p w14:paraId="500F6559" w14:textId="77777777" w:rsidR="00AE68D4" w:rsidRDefault="00AE68D4" w:rsidP="00AE68D4">
          <w:pPr>
            <w:pStyle w:val="NoSpacing"/>
            <w:spacing w:before="480"/>
            <w:jc w:val="center"/>
          </w:pPr>
          <w:r>
            <w:rPr>
              <w:noProof/>
              <w:color w:val="4472C4" w:themeColor="accent1"/>
            </w:rPr>
            <w:drawing>
              <wp:inline distT="0" distB="0" distL="0" distR="0" wp14:anchorId="37DAC30D" wp14:editId="408C9B3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D4110ED" w14:textId="77777777" w:rsidR="00AE68D4" w:rsidRDefault="00AE68D4" w:rsidP="00AE68D4">
          <w:pPr>
            <w:pStyle w:val="NoSpacing"/>
            <w:spacing w:before="480"/>
            <w:jc w:val="center"/>
          </w:pPr>
        </w:p>
        <w:p w14:paraId="6C4B634D" w14:textId="75A2F2BE" w:rsidR="00AE68D4" w:rsidRPr="00AE68D4" w:rsidRDefault="00AE68D4" w:rsidP="00AE68D4">
          <w:pPr>
            <w:pStyle w:val="NoSpacing"/>
            <w:spacing w:before="480"/>
            <w:jc w:val="center"/>
            <w:rPr>
              <w:color w:val="4472C4" w:themeColor="accent1"/>
            </w:rPr>
          </w:pPr>
          <w:r w:rsidRPr="00AE68D4">
            <w:rPr>
              <w:rFonts w:ascii="Arial" w:eastAsia="Times New Roman" w:hAnsi="Arial" w:cs="Arial"/>
              <w:b/>
              <w:bCs/>
              <w:spacing w:val="-10"/>
              <w:kern w:val="28"/>
              <w:sz w:val="40"/>
              <w:szCs w:val="40"/>
            </w:rPr>
            <w:t>ANGHARAD MEDI LEWIS</w:t>
          </w:r>
        </w:p>
        <w:p w14:paraId="38B853F6" w14:textId="37490647" w:rsidR="00D714CF" w:rsidRDefault="00AE68D4" w:rsidP="00AE68D4">
          <w:pPr>
            <w:jc w:val="center"/>
          </w:pPr>
          <w:r w:rsidRPr="00AE68D4">
            <w:rPr>
              <w:rFonts w:ascii="Arial" w:eastAsia="Calibri" w:hAnsi="Arial" w:cs="Arial"/>
              <w:b/>
              <w:bCs/>
              <w:sz w:val="40"/>
              <w:szCs w:val="40"/>
            </w:rPr>
            <w:t>1905542</w:t>
          </w:r>
        </w:p>
      </w:sdtContent>
    </w:sdt>
    <w:p w14:paraId="0782A844" w14:textId="5BDDDA27" w:rsidR="00AE68D4" w:rsidRDefault="00AE68D4" w:rsidP="00AE68D4">
      <w:pPr>
        <w:jc w:val="center"/>
      </w:pPr>
    </w:p>
    <w:p w14:paraId="69070067" w14:textId="4CA76162" w:rsidR="00AE68D4" w:rsidRDefault="00AE68D4" w:rsidP="00AE68D4">
      <w:pPr>
        <w:jc w:val="center"/>
      </w:pPr>
    </w:p>
    <w:p w14:paraId="5D3F502B" w14:textId="77777777" w:rsidR="00AE68D4" w:rsidRDefault="00AE68D4" w:rsidP="00AE68D4">
      <w:pPr>
        <w:jc w:val="center"/>
        <w:rPr>
          <w:rFonts w:ascii="Arial" w:eastAsia="Calibri" w:hAnsi="Arial" w:cs="Arial"/>
          <w:b/>
          <w:bCs/>
          <w:sz w:val="40"/>
          <w:szCs w:val="40"/>
        </w:rPr>
      </w:pPr>
    </w:p>
    <w:p w14:paraId="72BAF307" w14:textId="77777777" w:rsidR="00AE68D4" w:rsidRDefault="00AE68D4" w:rsidP="00AE68D4">
      <w:pPr>
        <w:jc w:val="center"/>
        <w:rPr>
          <w:rFonts w:ascii="Arial" w:eastAsia="Calibri" w:hAnsi="Arial" w:cs="Arial"/>
          <w:b/>
          <w:bCs/>
          <w:sz w:val="40"/>
          <w:szCs w:val="40"/>
        </w:rPr>
      </w:pPr>
    </w:p>
    <w:p w14:paraId="6B97BF94" w14:textId="07475DAF" w:rsidR="00AE68D4" w:rsidRDefault="00AE68D4" w:rsidP="00AE68D4">
      <w:pPr>
        <w:jc w:val="center"/>
        <w:rPr>
          <w:rFonts w:ascii="Arial" w:eastAsia="Calibri" w:hAnsi="Arial" w:cs="Arial"/>
          <w:b/>
          <w:bCs/>
          <w:sz w:val="40"/>
          <w:szCs w:val="40"/>
        </w:rPr>
      </w:pPr>
    </w:p>
    <w:p w14:paraId="57E1C363" w14:textId="77777777" w:rsidR="00AE68D4" w:rsidRDefault="00AE68D4" w:rsidP="00AE68D4">
      <w:pPr>
        <w:jc w:val="center"/>
        <w:rPr>
          <w:rFonts w:ascii="Arial" w:eastAsia="Calibri" w:hAnsi="Arial" w:cs="Arial"/>
          <w:b/>
          <w:bCs/>
          <w:sz w:val="40"/>
          <w:szCs w:val="40"/>
        </w:rPr>
      </w:pPr>
    </w:p>
    <w:p w14:paraId="2FCA0EB5" w14:textId="77777777" w:rsidR="00AE68D4" w:rsidRDefault="00AE68D4" w:rsidP="00AE68D4">
      <w:pPr>
        <w:jc w:val="center"/>
        <w:rPr>
          <w:rFonts w:ascii="Arial" w:eastAsia="Calibri" w:hAnsi="Arial" w:cs="Arial"/>
          <w:b/>
          <w:bCs/>
          <w:sz w:val="40"/>
          <w:szCs w:val="40"/>
        </w:rPr>
      </w:pPr>
    </w:p>
    <w:p w14:paraId="4C4FD101" w14:textId="379D7CD0" w:rsidR="00AE68D4" w:rsidRPr="00AE68D4" w:rsidRDefault="00AE68D4" w:rsidP="00AE68D4">
      <w:pPr>
        <w:jc w:val="center"/>
        <w:rPr>
          <w:rFonts w:ascii="Arial" w:eastAsia="Calibri" w:hAnsi="Arial" w:cs="Arial"/>
          <w:color w:val="4472C4" w:themeColor="accent1"/>
          <w:sz w:val="40"/>
          <w:szCs w:val="40"/>
        </w:rPr>
      </w:pPr>
      <w:r w:rsidRPr="00AE68D4">
        <w:rPr>
          <w:rFonts w:ascii="Arial" w:eastAsia="Calibri" w:hAnsi="Arial" w:cs="Arial"/>
          <w:color w:val="4472C4" w:themeColor="accent1"/>
          <w:sz w:val="40"/>
          <w:szCs w:val="40"/>
        </w:rPr>
        <w:t>March 4</w:t>
      </w:r>
      <w:r w:rsidRPr="00AE68D4">
        <w:rPr>
          <w:rFonts w:ascii="Arial" w:eastAsia="Calibri" w:hAnsi="Arial" w:cs="Arial"/>
          <w:color w:val="4472C4" w:themeColor="accent1"/>
          <w:sz w:val="40"/>
          <w:szCs w:val="40"/>
          <w:vertAlign w:val="superscript"/>
        </w:rPr>
        <w:t>th</w:t>
      </w:r>
      <w:r w:rsidRPr="00AE68D4">
        <w:rPr>
          <w:rFonts w:ascii="Arial" w:eastAsia="Calibri" w:hAnsi="Arial" w:cs="Arial"/>
          <w:color w:val="4472C4" w:themeColor="accent1"/>
          <w:sz w:val="40"/>
          <w:szCs w:val="40"/>
        </w:rPr>
        <w:t>, 2022</w:t>
      </w:r>
    </w:p>
    <w:p w14:paraId="33244314" w14:textId="3B1CB69F" w:rsidR="00AE68D4" w:rsidRDefault="00AE68D4" w:rsidP="00AE68D4">
      <w:pPr>
        <w:jc w:val="center"/>
        <w:rPr>
          <w:rFonts w:ascii="Arial" w:eastAsia="Calibri" w:hAnsi="Arial" w:cs="Arial"/>
          <w:color w:val="4472C4" w:themeColor="accent1"/>
          <w:sz w:val="40"/>
          <w:szCs w:val="40"/>
        </w:rPr>
      </w:pPr>
      <w:r w:rsidRPr="00AE68D4">
        <w:rPr>
          <w:rFonts w:ascii="Arial" w:eastAsia="Calibri" w:hAnsi="Arial" w:cs="Arial"/>
          <w:color w:val="4472C4" w:themeColor="accent1"/>
          <w:sz w:val="40"/>
          <w:szCs w:val="40"/>
        </w:rPr>
        <w:t>University of Wales Trinity Saint David</w:t>
      </w:r>
    </w:p>
    <w:p w14:paraId="38971DC0" w14:textId="376C1A49" w:rsidR="0004085F" w:rsidRPr="009115F7" w:rsidRDefault="008757C7" w:rsidP="009115F7">
      <w:pPr>
        <w:pStyle w:val="ListParagraph"/>
        <w:numPr>
          <w:ilvl w:val="0"/>
          <w:numId w:val="2"/>
        </w:numPr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lastRenderedPageBreak/>
        <w:t>The general rule</w:t>
      </w:r>
      <w:r w:rsidR="00C919DD" w:rsidRPr="009115F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919DD" w:rsidRPr="009115F7">
        <w:rPr>
          <w:rFonts w:ascii="Arial" w:eastAsia="Times New Roman" w:hAnsi="Arial" w:cs="Arial"/>
          <w:sz w:val="24"/>
          <w:szCs w:val="24"/>
          <w:lang w:eastAsia="en-GB"/>
        </w:rPr>
        <w:t>in English</w:t>
      </w:r>
      <w:r w:rsidR="00E97172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law</w:t>
      </w:r>
      <w:r w:rsidR="00C919DD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, of privity of contract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is that </w:t>
      </w:r>
      <w:r w:rsidR="008B7D59" w:rsidRPr="009115F7">
        <w:rPr>
          <w:rFonts w:ascii="Arial" w:eastAsia="Times New Roman" w:hAnsi="Arial" w:cs="Arial"/>
          <w:sz w:val="24"/>
          <w:szCs w:val="24"/>
          <w:lang w:eastAsia="en-GB"/>
        </w:rPr>
        <w:t>o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nly the parties subject to that contract can be bound by the</w:t>
      </w:r>
      <w:r w:rsidR="009810FF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contract. </w:t>
      </w:r>
      <w:r w:rsidR="004470DE" w:rsidRPr="009115F7">
        <w:rPr>
          <w:rFonts w:ascii="Arial" w:eastAsia="Times New Roman" w:hAnsi="Arial" w:cs="Arial"/>
          <w:sz w:val="24"/>
          <w:szCs w:val="24"/>
          <w:lang w:eastAsia="en-GB"/>
        </w:rPr>
        <w:t>The only people considered with rights to that contract are the parties</w:t>
      </w:r>
      <w:r w:rsidR="007216BF">
        <w:rPr>
          <w:rFonts w:ascii="Arial" w:eastAsia="Times New Roman" w:hAnsi="Arial" w:cs="Arial"/>
          <w:sz w:val="24"/>
          <w:szCs w:val="24"/>
          <w:lang w:eastAsia="en-GB"/>
        </w:rPr>
        <w:t xml:space="preserve"> named</w:t>
      </w:r>
      <w:r w:rsidR="004470D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in that contract</w:t>
      </w:r>
      <w:r w:rsidR="00791C9D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. A </w:t>
      </w:r>
      <w:r w:rsidR="000A66E4" w:rsidRPr="009115F7">
        <w:rPr>
          <w:rFonts w:ascii="Arial" w:eastAsia="Times New Roman" w:hAnsi="Arial" w:cs="Arial"/>
          <w:sz w:val="24"/>
          <w:szCs w:val="24"/>
          <w:lang w:eastAsia="en-GB"/>
        </w:rPr>
        <w:t>third-party</w:t>
      </w:r>
      <w:r w:rsidR="00791C9D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beneficiary </w:t>
      </w:r>
      <w:r w:rsidR="000A66E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cannot </w:t>
      </w:r>
      <w:r w:rsidR="00E97172" w:rsidRPr="009115F7">
        <w:rPr>
          <w:rFonts w:ascii="Arial" w:eastAsia="Times New Roman" w:hAnsi="Arial" w:cs="Arial"/>
          <w:sz w:val="24"/>
          <w:szCs w:val="24"/>
          <w:lang w:eastAsia="en-GB"/>
        </w:rPr>
        <w:t>obtain remedies for a breach of contract.</w:t>
      </w:r>
      <w:r w:rsidR="000A66E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5BCB864F" w14:textId="13B62B04" w:rsidR="00C919DD" w:rsidRPr="009115F7" w:rsidRDefault="00791C9D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Several exceptions</w:t>
      </w:r>
      <w:r w:rsidR="00C919DD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were introduced to the privity which eventually recognised Third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Party rights </w:t>
      </w:r>
      <w:r w:rsidR="00C919DD" w:rsidRPr="009115F7">
        <w:rPr>
          <w:rFonts w:ascii="Arial" w:eastAsia="Times New Roman" w:hAnsi="Arial" w:cs="Arial"/>
          <w:sz w:val="24"/>
          <w:szCs w:val="24"/>
          <w:lang w:eastAsia="en-GB"/>
        </w:rPr>
        <w:t>(Poole, 2016).</w:t>
      </w:r>
    </w:p>
    <w:p w14:paraId="6BA3296C" w14:textId="77777777" w:rsidR="00C919DD" w:rsidRPr="009115F7" w:rsidRDefault="00C919DD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0E799C7" w14:textId="11C861FE" w:rsidR="004470DE" w:rsidRPr="009115F7" w:rsidRDefault="005F6C26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A Judge’s decision in the</w:t>
      </w:r>
      <w:r w:rsidR="007D16CB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case of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818BC" w:rsidRPr="009115F7"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="004470DE" w:rsidRPr="009115F7">
        <w:rPr>
          <w:rFonts w:ascii="Arial" w:eastAsia="Times New Roman" w:hAnsi="Arial" w:cs="Arial"/>
          <w:sz w:val="24"/>
          <w:szCs w:val="24"/>
          <w:lang w:eastAsia="en-GB"/>
        </w:rPr>
        <w:t>Tweddle v Atkinson</w:t>
      </w:r>
      <w:r w:rsidR="003818BC" w:rsidRPr="009115F7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="004470D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818BC" w:rsidRPr="009115F7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4470DE" w:rsidRPr="009115F7">
        <w:rPr>
          <w:rFonts w:ascii="Arial" w:eastAsia="Times New Roman" w:hAnsi="Arial" w:cs="Arial"/>
          <w:sz w:val="24"/>
          <w:szCs w:val="24"/>
          <w:lang w:eastAsia="en-GB"/>
        </w:rPr>
        <w:t>1861</w:t>
      </w:r>
      <w:r w:rsidR="003818BC" w:rsidRPr="009115F7"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470D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created </w:t>
      </w:r>
      <w:r w:rsidR="004136EF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the foundation of the doctrine of privity of contract. </w:t>
      </w:r>
    </w:p>
    <w:p w14:paraId="7CBDFAC4" w14:textId="741F1B7A" w:rsidR="0004085F" w:rsidRPr="009115F7" w:rsidRDefault="004136EF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In the case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the claimant was to be married to </w:t>
      </w:r>
      <w:r w:rsidR="003818BC" w:rsidRPr="009115F7">
        <w:rPr>
          <w:rFonts w:ascii="Arial" w:eastAsia="Times New Roman" w:hAnsi="Arial" w:cs="Arial"/>
          <w:sz w:val="24"/>
          <w:szCs w:val="24"/>
          <w:lang w:eastAsia="en-GB"/>
        </w:rPr>
        <w:t>Mr Guy’s daughter. Mr Guy agreed with John Tweddle, the claimant’s father, to pay the claimant in consideration of marrying his daughter. Mr Guy</w:t>
      </w:r>
      <w:r w:rsidR="003F34F0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died and</w:t>
      </w:r>
      <w:r w:rsidR="003818B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failed to pay </w:t>
      </w:r>
      <w:r w:rsidR="00015EE5" w:rsidRPr="009115F7">
        <w:rPr>
          <w:rFonts w:ascii="Arial" w:eastAsia="Times New Roman" w:hAnsi="Arial" w:cs="Arial"/>
          <w:sz w:val="24"/>
          <w:szCs w:val="24"/>
          <w:lang w:eastAsia="en-GB"/>
        </w:rPr>
        <w:t>his son-in-law</w:t>
      </w:r>
      <w:r w:rsidR="003F34F0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. His son-in-law tried to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clai</w:t>
      </w:r>
      <w:r w:rsidR="003F34F0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m his </w:t>
      </w:r>
      <w:proofErr w:type="gramStart"/>
      <w:r w:rsidR="003F34F0" w:rsidRPr="009115F7">
        <w:rPr>
          <w:rFonts w:ascii="Arial" w:eastAsia="Times New Roman" w:hAnsi="Arial" w:cs="Arial"/>
          <w:sz w:val="24"/>
          <w:szCs w:val="24"/>
          <w:lang w:eastAsia="en-GB"/>
        </w:rPr>
        <w:t>estate,</w:t>
      </w:r>
      <w:proofErr w:type="gramEnd"/>
      <w:r w:rsidR="003F34F0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however, </w:t>
      </w:r>
      <w:r w:rsidR="005127F3" w:rsidRPr="009115F7">
        <w:rPr>
          <w:rFonts w:ascii="Arial" w:eastAsia="Times New Roman" w:hAnsi="Arial" w:cs="Arial"/>
          <w:sz w:val="24"/>
          <w:szCs w:val="24"/>
          <w:lang w:eastAsia="en-GB"/>
        </w:rPr>
        <w:t>the claim was rejected by the court</w:t>
      </w:r>
      <w:r w:rsidR="003F34F0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as the agreement was held only between the two fathers and no consideration was provided for the promise made by Mr Guy</w:t>
      </w:r>
      <w:r w:rsidR="003818B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B44CFF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The key principle from this case is that consideration must move from the </w:t>
      </w:r>
      <w:proofErr w:type="spellStart"/>
      <w:r w:rsidR="004C1EE4" w:rsidRPr="009115F7">
        <w:rPr>
          <w:rFonts w:ascii="Arial" w:eastAsia="Times New Roman" w:hAnsi="Arial" w:cs="Arial"/>
          <w:sz w:val="24"/>
          <w:szCs w:val="24"/>
          <w:lang w:eastAsia="en-GB"/>
        </w:rPr>
        <w:t>promise</w:t>
      </w:r>
      <w:r w:rsidR="007E1BE3" w:rsidRPr="009115F7">
        <w:rPr>
          <w:rFonts w:ascii="Arial" w:eastAsia="Times New Roman" w:hAnsi="Arial" w:cs="Arial"/>
          <w:sz w:val="24"/>
          <w:szCs w:val="24"/>
          <w:lang w:eastAsia="en-GB"/>
        </w:rPr>
        <w:t>e</w:t>
      </w:r>
      <w:proofErr w:type="spellEnd"/>
      <w:r w:rsidR="007E1BE3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C1EE4" w:rsidRPr="009115F7">
        <w:rPr>
          <w:rFonts w:ascii="Arial" w:eastAsia="Times New Roman" w:hAnsi="Arial" w:cs="Arial"/>
          <w:sz w:val="24"/>
          <w:szCs w:val="24"/>
          <w:lang w:eastAsia="en-GB"/>
        </w:rPr>
        <w:t>and n</w:t>
      </w:r>
      <w:r w:rsidR="004C1EE4" w:rsidRPr="009115F7">
        <w:rPr>
          <w:rFonts w:ascii="Arial" w:eastAsia="Times New Roman" w:hAnsi="Arial" w:cs="Arial"/>
          <w:sz w:val="24"/>
          <w:szCs w:val="24"/>
          <w:lang w:eastAsia="en-GB"/>
        </w:rPr>
        <w:t>o stranger to the consideration can take advantage of a contract, even if it is made for his benefit</w:t>
      </w:r>
      <w:r w:rsidR="00BF4830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proofErr w:type="spellStart"/>
      <w:r w:rsidR="00BF4830" w:rsidRPr="009115F7">
        <w:rPr>
          <w:rFonts w:ascii="Arial" w:eastAsia="Times New Roman" w:hAnsi="Arial" w:cs="Arial"/>
          <w:sz w:val="24"/>
          <w:szCs w:val="24"/>
          <w:lang w:eastAsia="en-GB"/>
        </w:rPr>
        <w:t>Merkin</w:t>
      </w:r>
      <w:proofErr w:type="spellEnd"/>
      <w:r w:rsidR="00BF4830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proofErr w:type="spellStart"/>
      <w:r w:rsidR="00BF4830" w:rsidRPr="009115F7">
        <w:rPr>
          <w:rFonts w:ascii="Arial" w:eastAsia="Times New Roman" w:hAnsi="Arial" w:cs="Arial"/>
          <w:sz w:val="24"/>
          <w:szCs w:val="24"/>
          <w:lang w:eastAsia="en-GB"/>
        </w:rPr>
        <w:t>Saintier</w:t>
      </w:r>
      <w:proofErr w:type="spellEnd"/>
      <w:r w:rsidR="00BF4830" w:rsidRPr="009115F7">
        <w:rPr>
          <w:rFonts w:ascii="Arial" w:eastAsia="Times New Roman" w:hAnsi="Arial" w:cs="Arial"/>
          <w:sz w:val="24"/>
          <w:szCs w:val="24"/>
          <w:lang w:eastAsia="en-GB"/>
        </w:rPr>
        <w:t>, 2021)</w:t>
      </w:r>
      <w:r w:rsidR="003F34F0" w:rsidRPr="009115F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7E7683BF" w14:textId="49392894" w:rsidR="009115F7" w:rsidRDefault="009115F7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0D6893D" w14:textId="77777777" w:rsidR="007216BF" w:rsidRPr="009115F7" w:rsidRDefault="007216BF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4812F62" w14:textId="686E0C22" w:rsidR="00A168BE" w:rsidRPr="009115F7" w:rsidRDefault="000A66E4" w:rsidP="009115F7">
      <w:pPr>
        <w:pStyle w:val="ListParagraph"/>
        <w:numPr>
          <w:ilvl w:val="0"/>
          <w:numId w:val="2"/>
        </w:numPr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Consideration is essential to every </w:t>
      </w:r>
      <w:r w:rsidR="00A168B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enforceable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contract</w:t>
      </w:r>
      <w:r w:rsidR="006B51F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unless made by deed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8E4E6F" w:rsidRPr="009115F7">
        <w:rPr>
          <w:rFonts w:ascii="Arial" w:eastAsia="Times New Roman" w:hAnsi="Arial" w:cs="Arial"/>
          <w:sz w:val="24"/>
          <w:szCs w:val="24"/>
          <w:lang w:eastAsia="en-GB"/>
        </w:rPr>
        <w:t>Technically, i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t is the</w:t>
      </w:r>
      <w:r w:rsidR="00A978F6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price paid for a </w:t>
      </w:r>
      <w:r w:rsidR="00EC3B1C" w:rsidRPr="009115F7">
        <w:rPr>
          <w:rFonts w:ascii="Arial" w:eastAsia="Times New Roman" w:hAnsi="Arial" w:cs="Arial"/>
          <w:sz w:val="24"/>
          <w:szCs w:val="24"/>
          <w:lang w:eastAsia="en-GB"/>
        </w:rPr>
        <w:t>person’s</w:t>
      </w:r>
      <w:r w:rsidR="00A978F6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promise</w:t>
      </w:r>
      <w:r w:rsidR="00A168B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 w:rsidR="00F54A9D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when b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oth parties give something in return</w:t>
      </w:r>
      <w:r w:rsidR="006B51F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978F6" w:rsidRPr="009115F7">
        <w:rPr>
          <w:rFonts w:ascii="Arial" w:eastAsia="Times New Roman" w:hAnsi="Arial" w:cs="Arial"/>
          <w:sz w:val="24"/>
          <w:szCs w:val="24"/>
          <w:lang w:eastAsia="en-GB"/>
        </w:rPr>
        <w:t>from the agreement</w:t>
      </w:r>
      <w:r w:rsidR="00F54A9D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(Richards, 2019).</w:t>
      </w:r>
    </w:p>
    <w:p w14:paraId="5D8F0797" w14:textId="74D84E14" w:rsidR="006B51FC" w:rsidRPr="009115F7" w:rsidRDefault="006B51FC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EEE219F" w14:textId="2226B0D7" w:rsidR="00F54A9D" w:rsidRPr="009115F7" w:rsidRDefault="006B51FC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There are </w:t>
      </w:r>
      <w:r w:rsidR="00D00DA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several </w:t>
      </w:r>
      <w:r w:rsidR="00A978F6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rules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governing consideration. Consideration must move from the </w:t>
      </w:r>
      <w:proofErr w:type="spellStart"/>
      <w:r w:rsidR="00A978F6" w:rsidRPr="009115F7">
        <w:rPr>
          <w:rFonts w:ascii="Arial" w:eastAsia="Times New Roman" w:hAnsi="Arial" w:cs="Arial"/>
          <w:sz w:val="24"/>
          <w:szCs w:val="24"/>
          <w:lang w:eastAsia="en-GB"/>
        </w:rPr>
        <w:t>promise</w:t>
      </w:r>
      <w:r w:rsidR="00F54A9D" w:rsidRPr="009115F7">
        <w:rPr>
          <w:rFonts w:ascii="Arial" w:eastAsia="Times New Roman" w:hAnsi="Arial" w:cs="Arial"/>
          <w:sz w:val="24"/>
          <w:szCs w:val="24"/>
          <w:lang w:eastAsia="en-GB"/>
        </w:rPr>
        <w:t>e</w:t>
      </w:r>
      <w:proofErr w:type="spellEnd"/>
      <w:r w:rsidR="00A978F6" w:rsidRPr="009115F7">
        <w:rPr>
          <w:rFonts w:ascii="Arial" w:eastAsia="Times New Roman" w:hAnsi="Arial" w:cs="Arial"/>
          <w:sz w:val="24"/>
          <w:szCs w:val="24"/>
          <w:lang w:eastAsia="en-GB"/>
        </w:rPr>
        <w:t>, must not be past, need not be adequate and c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onsideration must be of sufficient value in the eyes of the law </w:t>
      </w:r>
      <w:r w:rsidR="00D00DA5" w:rsidRPr="009115F7">
        <w:rPr>
          <w:rFonts w:ascii="Arial" w:eastAsia="Times New Roman" w:hAnsi="Arial" w:cs="Arial"/>
          <w:sz w:val="24"/>
          <w:szCs w:val="24"/>
          <w:lang w:eastAsia="en-GB"/>
        </w:rPr>
        <w:t>(e-law resources, 2022).</w:t>
      </w:r>
    </w:p>
    <w:p w14:paraId="739B7819" w14:textId="77777777" w:rsidR="00F54A9D" w:rsidRPr="009115F7" w:rsidRDefault="00F54A9D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CAD22BC" w14:textId="083A6741" w:rsidR="008E4E6F" w:rsidRPr="009115F7" w:rsidRDefault="008E4E6F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In the case of ‘McArdle’ (1951),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Mr and Mrs M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cArdle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lived in Mr M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cArdle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’s father’s home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, who had passed away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. Mrs M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cArdle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spent £488 decorating the house. Mr M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cArdle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 his siblings signed a document </w:t>
      </w:r>
      <w:r w:rsidR="00871FF3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stating in consideration the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promi</w:t>
      </w:r>
      <w:r w:rsidR="00871FF3" w:rsidRPr="009115F7">
        <w:rPr>
          <w:rFonts w:ascii="Arial" w:eastAsia="Times New Roman" w:hAnsi="Arial" w:cs="Arial"/>
          <w:sz w:val="24"/>
          <w:szCs w:val="24"/>
          <w:lang w:eastAsia="en-GB"/>
        </w:rPr>
        <w:t>se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to repay Mr</w:t>
      </w:r>
      <w:r w:rsidR="00871FF3" w:rsidRPr="009115F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M</w:t>
      </w:r>
      <w:r w:rsidR="00871FF3" w:rsidRPr="009115F7">
        <w:rPr>
          <w:rFonts w:ascii="Arial" w:eastAsia="Times New Roman" w:hAnsi="Arial" w:cs="Arial"/>
          <w:sz w:val="24"/>
          <w:szCs w:val="24"/>
          <w:lang w:eastAsia="en-GB"/>
        </w:rPr>
        <w:t>cArdle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£488 once the house is inherited to them in their father’s will</w:t>
      </w:r>
      <w:r w:rsidR="00C7309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871FF3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7309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However, the promise to pay was unenforceable, since the work was classed as ‘past consideration’ in relation to the promise </w:t>
      </w:r>
      <w:r w:rsidR="00871FF3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(Stone and </w:t>
      </w:r>
      <w:proofErr w:type="spellStart"/>
      <w:r w:rsidR="00871FF3" w:rsidRPr="009115F7">
        <w:rPr>
          <w:rFonts w:ascii="Arial" w:eastAsia="Times New Roman" w:hAnsi="Arial" w:cs="Arial"/>
          <w:sz w:val="24"/>
          <w:szCs w:val="24"/>
          <w:lang w:eastAsia="en-GB"/>
        </w:rPr>
        <w:t>Devenney</w:t>
      </w:r>
      <w:proofErr w:type="spellEnd"/>
      <w:r w:rsidR="00871FF3" w:rsidRPr="009115F7">
        <w:rPr>
          <w:rFonts w:ascii="Arial" w:eastAsia="Times New Roman" w:hAnsi="Arial" w:cs="Arial"/>
          <w:sz w:val="24"/>
          <w:szCs w:val="24"/>
          <w:lang w:eastAsia="en-GB"/>
        </w:rPr>
        <w:t>, 2017)</w:t>
      </w:r>
      <w:r w:rsidR="00C7309C" w:rsidRPr="009115F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07956FF3" w14:textId="77777777" w:rsidR="008E4E6F" w:rsidRPr="009115F7" w:rsidRDefault="008E4E6F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E2550CA" w14:textId="0B2A5EF4" w:rsidR="008E4E6F" w:rsidRPr="009115F7" w:rsidRDefault="008E4E6F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Past consideration does not amount to good consideration and is </w:t>
      </w:r>
      <w:r w:rsidR="00A6093A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generally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not permitted to be included in contracts. </w:t>
      </w:r>
    </w:p>
    <w:p w14:paraId="70268035" w14:textId="3E317B27" w:rsidR="00C7309C" w:rsidRPr="009115F7" w:rsidRDefault="00C7309C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It is insufficient to form a legally enforceable agreement</w:t>
      </w:r>
      <w:r w:rsidR="00A6093A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when the act has been carried out before the agreement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6093A" w:rsidRPr="009115F7">
        <w:rPr>
          <w:rFonts w:ascii="Arial" w:eastAsia="Times New Roman" w:hAnsi="Arial" w:cs="Arial"/>
          <w:sz w:val="24"/>
          <w:szCs w:val="24"/>
          <w:lang w:eastAsia="en-GB"/>
        </w:rPr>
        <w:t>(</w:t>
      </w:r>
      <w:proofErr w:type="spellStart"/>
      <w:r w:rsidR="00A6093A" w:rsidRPr="009115F7">
        <w:rPr>
          <w:rFonts w:ascii="Arial" w:eastAsia="Times New Roman" w:hAnsi="Arial" w:cs="Arial"/>
          <w:sz w:val="24"/>
          <w:szCs w:val="24"/>
          <w:lang w:eastAsia="en-GB"/>
        </w:rPr>
        <w:t>Merkin</w:t>
      </w:r>
      <w:proofErr w:type="spellEnd"/>
      <w:r w:rsidR="00A6093A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proofErr w:type="spellStart"/>
      <w:r w:rsidR="00A6093A" w:rsidRPr="009115F7">
        <w:rPr>
          <w:rFonts w:ascii="Arial" w:eastAsia="Times New Roman" w:hAnsi="Arial" w:cs="Arial"/>
          <w:sz w:val="24"/>
          <w:szCs w:val="24"/>
          <w:lang w:eastAsia="en-GB"/>
        </w:rPr>
        <w:t>Saintier</w:t>
      </w:r>
      <w:proofErr w:type="spellEnd"/>
      <w:r w:rsidR="00A6093A" w:rsidRPr="009115F7">
        <w:rPr>
          <w:rFonts w:ascii="Arial" w:eastAsia="Times New Roman" w:hAnsi="Arial" w:cs="Arial"/>
          <w:sz w:val="24"/>
          <w:szCs w:val="24"/>
          <w:lang w:eastAsia="en-GB"/>
        </w:rPr>
        <w:t>, 2021)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46B6C70B" w14:textId="77777777" w:rsidR="008E4E6F" w:rsidRPr="009115F7" w:rsidRDefault="008E4E6F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9C07808" w14:textId="77777777" w:rsidR="00821D14" w:rsidRPr="009115F7" w:rsidRDefault="00821D14" w:rsidP="009115F7">
      <w:pPr>
        <w:spacing w:after="0" w:line="360" w:lineRule="auto"/>
        <w:contextualSpacing/>
        <w:rPr>
          <w:rFonts w:ascii="Arial" w:eastAsia="Times New Roman" w:hAnsi="Arial" w:cs="Arial"/>
          <w:color w:val="FF0000"/>
          <w:sz w:val="24"/>
          <w:szCs w:val="24"/>
          <w:lang w:eastAsia="en-GB"/>
        </w:rPr>
      </w:pPr>
    </w:p>
    <w:p w14:paraId="19B4B24B" w14:textId="4CD0F393" w:rsidR="0060105A" w:rsidRPr="009115F7" w:rsidRDefault="00E87B9D" w:rsidP="009115F7">
      <w:pPr>
        <w:pStyle w:val="ListParagraph"/>
        <w:numPr>
          <w:ilvl w:val="0"/>
          <w:numId w:val="2"/>
        </w:numPr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In the case of 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Cutter v Powell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(1795) the defendant</w:t>
      </w:r>
      <w:r w:rsidR="00BF1EA4" w:rsidRPr="009115F7">
        <w:rPr>
          <w:rFonts w:ascii="Arial" w:eastAsia="Times New Roman" w:hAnsi="Arial" w:cs="Arial"/>
          <w:sz w:val="24"/>
          <w:szCs w:val="24"/>
          <w:lang w:eastAsia="en-GB"/>
        </w:rPr>
        <w:t>, Mr Powell,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F1EA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promised to pay Mr Cutter,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a sailor</w:t>
      </w:r>
      <w:r w:rsidR="00BF1EA4" w:rsidRPr="009115F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D4AB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the sum of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thirty guineas</w:t>
      </w:r>
      <w:r w:rsidR="00BF1EA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to </w:t>
      </w:r>
      <w:r w:rsidR="008D4AB4" w:rsidRPr="009115F7">
        <w:rPr>
          <w:rFonts w:ascii="Arial" w:eastAsia="Times New Roman" w:hAnsi="Arial" w:cs="Arial"/>
          <w:sz w:val="24"/>
          <w:szCs w:val="24"/>
          <w:lang w:eastAsia="en-GB"/>
        </w:rPr>
        <w:t>do his duty as second mate on a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>n</w:t>
      </w:r>
      <w:r w:rsidR="008D4AB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eight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8D4AB4" w:rsidRPr="009115F7">
        <w:rPr>
          <w:rFonts w:ascii="Arial" w:eastAsia="Times New Roman" w:hAnsi="Arial" w:cs="Arial"/>
          <w:sz w:val="24"/>
          <w:szCs w:val="24"/>
          <w:lang w:eastAsia="en-GB"/>
        </w:rPr>
        <w:t>week voyage from Jamaica to Liverpool, provided that the ship arrives in Liverpool safely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8D4AB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Mr Cutter agreed to 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the terms </w:t>
      </w:r>
      <w:r w:rsidR="004C3452" w:rsidRPr="009115F7">
        <w:rPr>
          <w:rFonts w:ascii="Arial" w:eastAsia="Times New Roman" w:hAnsi="Arial" w:cs="Arial"/>
          <w:sz w:val="24"/>
          <w:szCs w:val="24"/>
          <w:lang w:eastAsia="en-GB"/>
        </w:rPr>
        <w:t>and promised to carry out his duty until he arrives in Liverpool.</w:t>
      </w:r>
    </w:p>
    <w:p w14:paraId="6CE5E4D5" w14:textId="11DA849B" w:rsidR="00E87B9D" w:rsidRPr="009115F7" w:rsidRDefault="008D4AB4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Sadly, </w:t>
      </w:r>
      <w:r w:rsidR="00E87B9D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Mr Cutter </w:t>
      </w:r>
      <w:r w:rsidR="007216BF">
        <w:rPr>
          <w:rFonts w:ascii="Arial" w:eastAsia="Times New Roman" w:hAnsi="Arial" w:cs="Arial"/>
          <w:sz w:val="24"/>
          <w:szCs w:val="24"/>
          <w:lang w:eastAsia="en-GB"/>
        </w:rPr>
        <w:t>died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six weeks into the voyage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 t</w:t>
      </w:r>
      <w:r w:rsidR="004C3452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he ship arrived 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back </w:t>
      </w:r>
      <w:r w:rsidR="004C3452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safely in Liverpool two weeks later. </w:t>
      </w:r>
    </w:p>
    <w:p w14:paraId="19DBA916" w14:textId="0538DD37" w:rsidR="00BF1EA4" w:rsidRPr="009115F7" w:rsidRDefault="004C3452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Mrs Cutter decided to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claim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 financial sum for the six weeks of work Mr Cutter had undertaken on the voyage. 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>However, t</w:t>
      </w:r>
      <w:r w:rsidR="00BF1EA4" w:rsidRPr="009115F7">
        <w:rPr>
          <w:rFonts w:ascii="Arial" w:eastAsia="Times New Roman" w:hAnsi="Arial" w:cs="Arial"/>
          <w:sz w:val="24"/>
          <w:szCs w:val="24"/>
          <w:lang w:eastAsia="en-GB"/>
        </w:rPr>
        <w:t>he court held in favour of the defendant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D3EDA" w:rsidRPr="009115F7">
        <w:rPr>
          <w:rFonts w:ascii="Arial" w:eastAsia="Times New Roman" w:hAnsi="Arial" w:cs="Arial"/>
          <w:sz w:val="24"/>
          <w:szCs w:val="24"/>
          <w:lang w:eastAsia="en-GB"/>
        </w:rPr>
        <w:t>because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15533" w:rsidRPr="009115F7">
        <w:rPr>
          <w:rFonts w:ascii="Arial" w:eastAsia="Times New Roman" w:hAnsi="Arial" w:cs="Arial"/>
          <w:sz w:val="24"/>
          <w:szCs w:val="24"/>
          <w:lang w:eastAsia="en-GB"/>
        </w:rPr>
        <w:t>the obligation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to pay the thirty guineas </w:t>
      </w:r>
      <w:r w:rsidR="00015533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would be if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Mr Cutter </w:t>
      </w:r>
      <w:r w:rsidR="00015533" w:rsidRPr="009115F7">
        <w:rPr>
          <w:rFonts w:ascii="Arial" w:eastAsia="Times New Roman" w:hAnsi="Arial" w:cs="Arial"/>
          <w:sz w:val="24"/>
          <w:szCs w:val="24"/>
          <w:lang w:eastAsia="en-GB"/>
        </w:rPr>
        <w:t>completed the entire voyage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, but Mr Cutter died before the ship had docked, therefore, </w:t>
      </w:r>
      <w:r w:rsidR="004D3EDA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he failed to 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>fulfil</w:t>
      </w:r>
      <w:r w:rsidR="004D3EDA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the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condition of the contract. </w:t>
      </w:r>
      <w:r w:rsidR="004D3EDA" w:rsidRPr="009115F7">
        <w:rPr>
          <w:rFonts w:ascii="Arial" w:eastAsia="Times New Roman" w:hAnsi="Arial" w:cs="Arial"/>
          <w:sz w:val="24"/>
          <w:szCs w:val="24"/>
          <w:lang w:eastAsia="en-GB"/>
        </w:rPr>
        <w:t>Thus,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making Mrs Cutter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s claim voi</w:t>
      </w:r>
      <w:r w:rsidR="004D3EDA" w:rsidRPr="009115F7">
        <w:rPr>
          <w:rFonts w:ascii="Arial" w:eastAsia="Times New Roman" w:hAnsi="Arial" w:cs="Arial"/>
          <w:sz w:val="24"/>
          <w:szCs w:val="24"/>
          <w:lang w:eastAsia="en-GB"/>
        </w:rPr>
        <w:t>d.</w:t>
      </w:r>
    </w:p>
    <w:p w14:paraId="594D33D5" w14:textId="283559A5" w:rsidR="00BF1EA4" w:rsidRPr="009115F7" w:rsidRDefault="00BF1EA4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The sailor did not complete the voyage so there was no obligation to pay.</w:t>
      </w:r>
    </w:p>
    <w:p w14:paraId="21BCCBEF" w14:textId="718B41A6" w:rsidR="00BF1EA4" w:rsidRPr="009115F7" w:rsidRDefault="00BF1EA4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The money was only promised if the whole job was completed, on the assumption the sailor would be entitled to nothing if he did not.</w:t>
      </w:r>
    </w:p>
    <w:p w14:paraId="35ACB5EB" w14:textId="07008965" w:rsidR="00BF1EA4" w:rsidRPr="009115F7" w:rsidRDefault="00BF1EA4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They could not claim quantum merit as technically Mr Cutter abandoned the contract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before completion,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which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implies that Mr Cutter too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>k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 chance to continue for the whole voyage. (</w:t>
      </w:r>
      <w:r w:rsidR="007216BF">
        <w:rPr>
          <w:rFonts w:ascii="Arial" w:eastAsia="Times New Roman" w:hAnsi="Arial" w:cs="Arial"/>
          <w:sz w:val="24"/>
          <w:szCs w:val="24"/>
          <w:lang w:eastAsia="en-GB"/>
        </w:rPr>
        <w:t xml:space="preserve">BAILII,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2022)</w:t>
      </w:r>
      <w:r w:rsidR="00821D14" w:rsidRPr="009115F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13C3974B" w14:textId="77777777" w:rsidR="00BF1EA4" w:rsidRPr="009115F7" w:rsidRDefault="00BF1EA4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</w:p>
    <w:p w14:paraId="2655C8DE" w14:textId="65B50895" w:rsidR="0020388B" w:rsidRPr="009115F7" w:rsidRDefault="00573F0C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Exceptions to the performance rule</w:t>
      </w:r>
      <w:r w:rsidR="001F7CB6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have been implemented in recent years, due to the injustice it can cause.</w:t>
      </w:r>
    </w:p>
    <w:p w14:paraId="19A4EF3C" w14:textId="677A913C" w:rsidR="00573F0C" w:rsidRPr="009115F7" w:rsidRDefault="00573F0C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</w:p>
    <w:p w14:paraId="64228CBA" w14:textId="57A6B6BE" w:rsidR="00573F0C" w:rsidRPr="009115F7" w:rsidRDefault="00573F0C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Severable and Divisible contracts</w:t>
      </w:r>
      <w:r w:rsidR="000261C9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– The rule relating to discharge through full performance applies where there exists an entire contract. The courts can award a sum for separate parts of a completed contract. Technically</w:t>
      </w:r>
      <w:r w:rsidR="001F7CB6" w:rsidRPr="009115F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0261C9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 claimant will be paid for the work done.</w:t>
      </w:r>
      <w:r w:rsidR="00A22C1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In the case of ‘Cutter v Powell’ (1795), if they had applied a </w:t>
      </w:r>
      <w:r w:rsidR="00A22C18" w:rsidRPr="009115F7">
        <w:rPr>
          <w:rFonts w:ascii="Arial" w:eastAsia="Times New Roman" w:hAnsi="Arial" w:cs="Arial"/>
          <w:sz w:val="24"/>
          <w:szCs w:val="24"/>
          <w:lang w:eastAsia="en-GB"/>
        </w:rPr>
        <w:lastRenderedPageBreak/>
        <w:t>divis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i</w:t>
      </w:r>
      <w:r w:rsidR="00A22C18" w:rsidRPr="009115F7">
        <w:rPr>
          <w:rFonts w:ascii="Arial" w:eastAsia="Times New Roman" w:hAnsi="Arial" w:cs="Arial"/>
          <w:sz w:val="24"/>
          <w:szCs w:val="24"/>
          <w:lang w:eastAsia="en-GB"/>
        </w:rPr>
        <w:t>ble contract then Mrs Cutter would have been able to claim for the six weeks work carried out by Mr Cutter (Richards, 2019).</w:t>
      </w:r>
    </w:p>
    <w:p w14:paraId="2BE6876B" w14:textId="45E5D9A1" w:rsidR="00573F0C" w:rsidRPr="009115F7" w:rsidRDefault="00573F0C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</w:p>
    <w:p w14:paraId="1DDAD373" w14:textId="445259A5" w:rsidR="00573F0C" w:rsidRPr="009115F7" w:rsidRDefault="00573F0C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Substantial performance</w:t>
      </w:r>
      <w:r w:rsidR="000261C9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– Where a court is satisfied that substantial performance is present</w:t>
      </w:r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when carried out in full</w:t>
      </w:r>
      <w:r w:rsidR="000261C9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. The court may award the contractually agreed price and deduct sums to reflect the amount </w:t>
      </w:r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that was </w:t>
      </w:r>
      <w:r w:rsidR="000261C9" w:rsidRPr="009115F7">
        <w:rPr>
          <w:rFonts w:ascii="Arial" w:eastAsia="Times New Roman" w:hAnsi="Arial" w:cs="Arial"/>
          <w:sz w:val="24"/>
          <w:szCs w:val="24"/>
          <w:lang w:eastAsia="en-GB"/>
        </w:rPr>
        <w:t>not performed. There is no precise limit set down to what amounts to substantial performance</w:t>
      </w:r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, it could be a set-off or </w:t>
      </w:r>
      <w:proofErr w:type="gramStart"/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>counter-claim</w:t>
      </w:r>
      <w:proofErr w:type="gramEnd"/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for damages</w:t>
      </w:r>
      <w:r w:rsidR="000261C9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. The facts of each case </w:t>
      </w:r>
      <w:r w:rsidR="00A22C18" w:rsidRPr="009115F7">
        <w:rPr>
          <w:rFonts w:ascii="Arial" w:eastAsia="Times New Roman" w:hAnsi="Arial" w:cs="Arial"/>
          <w:sz w:val="24"/>
          <w:szCs w:val="24"/>
          <w:lang w:eastAsia="en-GB"/>
        </w:rPr>
        <w:t>are</w:t>
      </w:r>
      <w:r w:rsidR="000261C9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looked at individually</w:t>
      </w:r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>Stone</w:t>
      </w:r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proofErr w:type="spellStart"/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>Devenney</w:t>
      </w:r>
      <w:proofErr w:type="spellEnd"/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>2017)</w:t>
      </w:r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6E4A6EBC" w14:textId="388726D9" w:rsidR="000261C9" w:rsidRPr="009115F7" w:rsidRDefault="000261C9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</w:p>
    <w:p w14:paraId="33EA12BF" w14:textId="6CCB9D2B" w:rsidR="000261C9" w:rsidRPr="009115F7" w:rsidRDefault="008851E4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="000261C9" w:rsidRPr="009115F7">
        <w:rPr>
          <w:rFonts w:ascii="Arial" w:eastAsia="Times New Roman" w:hAnsi="Arial" w:cs="Arial"/>
          <w:sz w:val="24"/>
          <w:szCs w:val="24"/>
          <w:lang w:eastAsia="en-GB"/>
        </w:rPr>
        <w:t>Hoenig v Isaacs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="000261C9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81BA8" w:rsidRPr="009115F7">
        <w:rPr>
          <w:rFonts w:ascii="Arial" w:eastAsia="Times New Roman" w:hAnsi="Arial" w:cs="Arial"/>
          <w:sz w:val="24"/>
          <w:szCs w:val="24"/>
          <w:lang w:eastAsia="en-GB"/>
        </w:rPr>
        <w:t>(1952)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is a prime example of a case contract found with a substantial performance issue. An interior decorator agreed to decorate and furnish the defendant’s flat</w:t>
      </w:r>
      <w:r w:rsidR="00494C7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for £750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. The defendant refused to pay on the grounds there were </w:t>
      </w:r>
      <w:r w:rsidR="00494C75" w:rsidRPr="009115F7">
        <w:rPr>
          <w:rFonts w:ascii="Arial" w:eastAsia="Times New Roman" w:hAnsi="Arial" w:cs="Arial"/>
          <w:sz w:val="24"/>
          <w:szCs w:val="24"/>
          <w:lang w:eastAsia="en-GB"/>
        </w:rPr>
        <w:t>f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urniture</w:t>
      </w:r>
      <w:r w:rsidR="00494C7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defects and £350 remained outstanding from the total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494C7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Repairing the furniture would cost </w:t>
      </w:r>
      <w:r w:rsidR="00EF720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no more than </w:t>
      </w:r>
      <w:r w:rsidR="00494C75" w:rsidRPr="009115F7">
        <w:rPr>
          <w:rFonts w:ascii="Arial" w:eastAsia="Times New Roman" w:hAnsi="Arial" w:cs="Arial"/>
          <w:sz w:val="24"/>
          <w:szCs w:val="24"/>
          <w:lang w:eastAsia="en-GB"/>
        </w:rPr>
        <w:t>£55.</w:t>
      </w:r>
      <w:r w:rsidR="00EF720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The court ruled that the claimant should be paid the remaining amount, less the £55 for the furniture repair costs</w:t>
      </w:r>
      <w:r w:rsidR="00494C7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(Poole, 2016).</w:t>
      </w:r>
    </w:p>
    <w:p w14:paraId="10F45D18" w14:textId="77777777" w:rsidR="00494C75" w:rsidRPr="009115F7" w:rsidRDefault="00494C75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</w:p>
    <w:p w14:paraId="68463B43" w14:textId="31BD8B3D" w:rsidR="00EF7208" w:rsidRPr="009115F7" w:rsidRDefault="00786F49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However, i</w:t>
      </w:r>
      <w:r w:rsidR="00EF720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n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some cases such as in the cas</w:t>
      </w:r>
      <w:r w:rsidR="00EF720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e of </w:t>
      </w:r>
      <w:r w:rsidR="007216BF"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="00EF7208" w:rsidRPr="009115F7">
        <w:rPr>
          <w:rFonts w:ascii="Arial" w:eastAsia="Times New Roman" w:hAnsi="Arial" w:cs="Arial"/>
          <w:sz w:val="24"/>
          <w:szCs w:val="24"/>
          <w:lang w:eastAsia="en-GB"/>
        </w:rPr>
        <w:t>Bolton v Mahadeva</w:t>
      </w:r>
      <w:r w:rsidR="007216BF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="00EF720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(1972)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EF720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the breach of contract was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too severe to fall within the performance rule and the court ruled that the </w:t>
      </w:r>
      <w:r w:rsidR="0049510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claimant, a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central heating installer</w:t>
      </w:r>
      <w:r w:rsidR="00495105" w:rsidRPr="009115F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had not completed the job sufficiently, therefore making the job incomplete, which resulted in a breach of entire obligation and the money was not required to be paid</w:t>
      </w:r>
      <w:r w:rsidR="0049510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to the claimant due to the severe defects.</w:t>
      </w:r>
    </w:p>
    <w:p w14:paraId="1FA039E8" w14:textId="1F6EE3E8" w:rsidR="00081BA8" w:rsidRPr="009115F7" w:rsidRDefault="00081BA8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The case outcome </w:t>
      </w:r>
      <w:r w:rsidR="008851E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through the Court of Appeal </w:t>
      </w:r>
      <w:r w:rsidR="0049510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can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help defendants who complete their obligations with some defects. However, extensive defects </w:t>
      </w:r>
      <w:r w:rsidR="006E607E" w:rsidRPr="009115F7">
        <w:rPr>
          <w:rFonts w:ascii="Arial" w:eastAsia="Times New Roman" w:hAnsi="Arial" w:cs="Arial"/>
          <w:sz w:val="24"/>
          <w:szCs w:val="24"/>
          <w:lang w:eastAsia="en-GB"/>
        </w:rPr>
        <w:t>may mean that the defendant has not substantially performed their obligations</w:t>
      </w:r>
      <w:r w:rsidR="0049510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proofErr w:type="spellStart"/>
      <w:r w:rsidR="00495105" w:rsidRPr="009115F7">
        <w:rPr>
          <w:rFonts w:ascii="Arial" w:eastAsia="Times New Roman" w:hAnsi="Arial" w:cs="Arial"/>
          <w:sz w:val="24"/>
          <w:szCs w:val="24"/>
          <w:lang w:eastAsia="en-GB"/>
        </w:rPr>
        <w:t>Merkin</w:t>
      </w:r>
      <w:proofErr w:type="spellEnd"/>
      <w:r w:rsidR="0049510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proofErr w:type="spellStart"/>
      <w:r w:rsidR="00495105" w:rsidRPr="009115F7">
        <w:rPr>
          <w:rFonts w:ascii="Arial" w:eastAsia="Times New Roman" w:hAnsi="Arial" w:cs="Arial"/>
          <w:sz w:val="24"/>
          <w:szCs w:val="24"/>
          <w:lang w:eastAsia="en-GB"/>
        </w:rPr>
        <w:t>Saintier</w:t>
      </w:r>
      <w:proofErr w:type="spellEnd"/>
      <w:r w:rsidR="00495105" w:rsidRPr="009115F7">
        <w:rPr>
          <w:rFonts w:ascii="Arial" w:eastAsia="Times New Roman" w:hAnsi="Arial" w:cs="Arial"/>
          <w:sz w:val="24"/>
          <w:szCs w:val="24"/>
          <w:lang w:eastAsia="en-GB"/>
        </w:rPr>
        <w:t>, 2021; Poole, 2016).</w:t>
      </w:r>
    </w:p>
    <w:p w14:paraId="458AAED0" w14:textId="74614750" w:rsidR="00573F0C" w:rsidRPr="009115F7" w:rsidRDefault="00573F0C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</w:p>
    <w:p w14:paraId="2A978336" w14:textId="132C2407" w:rsidR="0020388B" w:rsidRPr="009115F7" w:rsidRDefault="000261C9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Obstruction</w:t>
      </w:r>
      <w:r w:rsidR="00C702F7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by the </w:t>
      </w:r>
      <w:proofErr w:type="spellStart"/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>promisee</w:t>
      </w:r>
      <w:proofErr w:type="spellEnd"/>
      <w:r w:rsidR="00FF473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, or performance prevented by the </w:t>
      </w:r>
      <w:proofErr w:type="spellStart"/>
      <w:r w:rsidR="00FF4735" w:rsidRPr="009115F7">
        <w:rPr>
          <w:rFonts w:ascii="Arial" w:eastAsia="Times New Roman" w:hAnsi="Arial" w:cs="Arial"/>
          <w:sz w:val="24"/>
          <w:szCs w:val="24"/>
          <w:lang w:eastAsia="en-GB"/>
        </w:rPr>
        <w:t>promisee</w:t>
      </w:r>
      <w:proofErr w:type="spellEnd"/>
      <w:r w:rsidR="00FF4735" w:rsidRPr="009115F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is another exception to the general rule. </w:t>
      </w:r>
      <w:r w:rsidR="00C702F7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If </w:t>
      </w:r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proofErr w:type="spellStart"/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>promisee</w:t>
      </w:r>
      <w:proofErr w:type="spellEnd"/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prevents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>performance</w:t>
      </w:r>
      <w:r w:rsidR="00C702F7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of the contract, </w:t>
      </w:r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>then</w:t>
      </w:r>
      <w:r w:rsidR="00C702F7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proofErr w:type="spellStart"/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>promisee</w:t>
      </w:r>
      <w:proofErr w:type="spellEnd"/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702F7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cannot sue, </w:t>
      </w:r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because the </w:t>
      </w:r>
      <w:proofErr w:type="spellStart"/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>promisee</w:t>
      </w:r>
      <w:proofErr w:type="spellEnd"/>
      <w:r w:rsidR="00C702F7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prevented the</w:t>
      </w:r>
      <w:r w:rsidR="007E5E22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promisor</w:t>
      </w:r>
      <w:r w:rsidR="00C702F7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from doing the job in the first place.</w:t>
      </w:r>
    </w:p>
    <w:p w14:paraId="6A37911F" w14:textId="6699ECE8" w:rsidR="00FF4735" w:rsidRPr="009115F7" w:rsidRDefault="007E5E22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In the ‘</w:t>
      </w:r>
      <w:proofErr w:type="spellStart"/>
      <w:r w:rsidR="00C702F7" w:rsidRPr="009115F7">
        <w:rPr>
          <w:rFonts w:ascii="Arial" w:eastAsia="Times New Roman" w:hAnsi="Arial" w:cs="Arial"/>
          <w:sz w:val="24"/>
          <w:szCs w:val="24"/>
          <w:lang w:eastAsia="en-GB"/>
        </w:rPr>
        <w:t>Planche</w:t>
      </w:r>
      <w:proofErr w:type="spellEnd"/>
      <w:r w:rsidR="00C702F7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v Colburn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="00C702F7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(1831)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case </w:t>
      </w:r>
      <w:r w:rsidR="00C702F7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the claimant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agreed</w:t>
      </w:r>
      <w:r w:rsidR="00C702F7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to write a children’s book </w:t>
      </w:r>
      <w:r w:rsidR="00081BA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in return for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£</w:t>
      </w:r>
      <w:r w:rsidR="00081BA8" w:rsidRPr="009115F7">
        <w:rPr>
          <w:rFonts w:ascii="Arial" w:eastAsia="Times New Roman" w:hAnsi="Arial" w:cs="Arial"/>
          <w:sz w:val="24"/>
          <w:szCs w:val="24"/>
          <w:lang w:eastAsia="en-GB"/>
        </w:rPr>
        <w:t>100 upon completion. She could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not</w:t>
      </w:r>
      <w:r w:rsidR="00081BA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submit the book for publication </w:t>
      </w:r>
      <w:r w:rsidR="00081BA8" w:rsidRPr="009115F7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after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her extensive</w:t>
      </w:r>
      <w:r w:rsidR="00081BA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effort</w:t>
      </w:r>
      <w:r w:rsidR="006E607E" w:rsidRPr="009115F7">
        <w:rPr>
          <w:rFonts w:ascii="Arial" w:eastAsia="Times New Roman" w:hAnsi="Arial" w:cs="Arial"/>
          <w:sz w:val="24"/>
          <w:szCs w:val="24"/>
          <w:lang w:eastAsia="en-GB"/>
        </w:rPr>
        <w:t>, due to the defendant deciding not to proceed any further with the project.</w:t>
      </w:r>
      <w:r w:rsidR="00081BA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E607E" w:rsidRPr="009115F7">
        <w:rPr>
          <w:rFonts w:ascii="Arial" w:eastAsia="Times New Roman" w:hAnsi="Arial" w:cs="Arial"/>
          <w:sz w:val="24"/>
          <w:szCs w:val="24"/>
          <w:lang w:eastAsia="en-GB"/>
        </w:rPr>
        <w:t>The defendant</w:t>
      </w:r>
      <w:r w:rsidR="00081BA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could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not</w:t>
      </w:r>
      <w:r w:rsidR="00081BA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complete his side of the bargain</w:t>
      </w:r>
      <w:r w:rsidR="006E607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by</w:t>
      </w:r>
      <w:r w:rsidR="006E607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preventing the performance</w:t>
      </w:r>
      <w:r w:rsidR="00FF473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 the claimant was awarded £50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(Law case summaries, 2022).</w:t>
      </w:r>
    </w:p>
    <w:p w14:paraId="27ED4556" w14:textId="77777777" w:rsidR="00FF4735" w:rsidRPr="009115F7" w:rsidRDefault="00FF4735" w:rsidP="009115F7">
      <w:pPr>
        <w:spacing w:after="0" w:line="360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</w:p>
    <w:p w14:paraId="4C8C7991" w14:textId="551F5A6F" w:rsidR="007216BF" w:rsidRPr="007216BF" w:rsidRDefault="008716C0" w:rsidP="009115F7">
      <w:pPr>
        <w:pStyle w:val="ListParagraph"/>
        <w:numPr>
          <w:ilvl w:val="0"/>
          <w:numId w:val="2"/>
        </w:numPr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A </w:t>
      </w:r>
      <w:r w:rsidR="00FF473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valid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contract is an agreement enforced by law</w:t>
      </w:r>
      <w:r w:rsidR="00FF4735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must be</w:t>
      </w:r>
      <w:r w:rsidR="000A66E4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made up of three </w:t>
      </w:r>
      <w:r w:rsidR="00B71A66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main </w:t>
      </w:r>
      <w:r w:rsidR="000A66E4" w:rsidRPr="009115F7">
        <w:rPr>
          <w:rFonts w:ascii="Arial" w:eastAsia="Times New Roman" w:hAnsi="Arial" w:cs="Arial"/>
          <w:sz w:val="24"/>
          <w:szCs w:val="24"/>
          <w:lang w:eastAsia="en-GB"/>
        </w:rPr>
        <w:t>essential</w:t>
      </w:r>
      <w:r w:rsidR="006B51F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A66E4" w:rsidRPr="009115F7">
        <w:rPr>
          <w:rFonts w:ascii="Arial" w:eastAsia="Times New Roman" w:hAnsi="Arial" w:cs="Arial"/>
          <w:sz w:val="24"/>
          <w:szCs w:val="24"/>
          <w:lang w:eastAsia="en-GB"/>
        </w:rPr>
        <w:t>elements</w:t>
      </w:r>
      <w:r w:rsidR="00B71A66" w:rsidRPr="009115F7">
        <w:rPr>
          <w:rFonts w:ascii="Arial" w:eastAsia="Times New Roman" w:hAnsi="Arial" w:cs="Arial"/>
          <w:sz w:val="24"/>
          <w:szCs w:val="24"/>
          <w:lang w:eastAsia="en-GB"/>
        </w:rPr>
        <w:t>. The</w:t>
      </w:r>
      <w:r w:rsidR="006B51F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F6CC2" w:rsidRPr="009115F7">
        <w:rPr>
          <w:rFonts w:ascii="Arial" w:eastAsia="Times New Roman" w:hAnsi="Arial" w:cs="Arial"/>
          <w:sz w:val="24"/>
          <w:szCs w:val="24"/>
          <w:lang w:eastAsia="en-GB"/>
        </w:rPr>
        <w:t>o</w:t>
      </w:r>
      <w:r w:rsidR="000A66E4" w:rsidRPr="009115F7">
        <w:rPr>
          <w:rFonts w:ascii="Arial" w:eastAsia="Times New Roman" w:hAnsi="Arial" w:cs="Arial"/>
          <w:sz w:val="24"/>
          <w:szCs w:val="24"/>
          <w:lang w:eastAsia="en-GB"/>
        </w:rPr>
        <w:t>ffer</w:t>
      </w:r>
      <w:r w:rsidR="00B71A66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7F6CC2" w:rsidRPr="009115F7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="000A66E4" w:rsidRPr="009115F7">
        <w:rPr>
          <w:rFonts w:ascii="Arial" w:eastAsia="Times New Roman" w:hAnsi="Arial" w:cs="Arial"/>
          <w:sz w:val="24"/>
          <w:szCs w:val="24"/>
          <w:lang w:eastAsia="en-GB"/>
        </w:rPr>
        <w:t>cceptance</w:t>
      </w:r>
      <w:r w:rsidR="00B71A66" w:rsidRPr="009115F7">
        <w:rPr>
          <w:rFonts w:ascii="Arial" w:eastAsia="Times New Roman" w:hAnsi="Arial" w:cs="Arial"/>
          <w:sz w:val="24"/>
          <w:szCs w:val="24"/>
          <w:lang w:eastAsia="en-GB"/>
        </w:rPr>
        <w:t>, collectively called an agreement</w:t>
      </w:r>
      <w:r w:rsidR="006B51F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proofErr w:type="gramStart"/>
      <w:r w:rsidR="00292437" w:rsidRPr="009115F7">
        <w:rPr>
          <w:rFonts w:ascii="Arial" w:eastAsia="Times New Roman" w:hAnsi="Arial" w:cs="Arial"/>
          <w:sz w:val="24"/>
          <w:szCs w:val="24"/>
          <w:lang w:eastAsia="en-GB"/>
        </w:rPr>
        <w:t>consideration</w:t>
      </w:r>
      <w:proofErr w:type="gramEnd"/>
      <w:r w:rsidR="00292437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7216BF">
        <w:rPr>
          <w:rFonts w:ascii="Arial" w:eastAsia="Times New Roman" w:hAnsi="Arial" w:cs="Arial"/>
          <w:sz w:val="24"/>
          <w:szCs w:val="24"/>
          <w:lang w:eastAsia="en-GB"/>
        </w:rPr>
        <w:t>i</w:t>
      </w:r>
      <w:r w:rsidR="00292437" w:rsidRPr="009115F7">
        <w:rPr>
          <w:rFonts w:ascii="Arial" w:eastAsia="Times New Roman" w:hAnsi="Arial" w:cs="Arial"/>
          <w:sz w:val="24"/>
          <w:szCs w:val="24"/>
          <w:lang w:eastAsia="en-GB"/>
        </w:rPr>
        <w:t>ntention to create legal relations are all required for a legally binding and enforceable contract.</w:t>
      </w:r>
      <w:r w:rsidR="007216BF" w:rsidRPr="007216BF">
        <w:t xml:space="preserve"> </w:t>
      </w:r>
    </w:p>
    <w:p w14:paraId="0D6B3377" w14:textId="79C48A73" w:rsidR="00B71A66" w:rsidRDefault="007216BF" w:rsidP="007216BF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7216BF">
        <w:rPr>
          <w:rFonts w:ascii="Arial" w:eastAsia="Times New Roman" w:hAnsi="Arial" w:cs="Arial"/>
          <w:sz w:val="24"/>
          <w:szCs w:val="24"/>
          <w:lang w:eastAsia="en-GB"/>
        </w:rPr>
        <w:t xml:space="preserve">Revocation of an offer can happen at any time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before</w:t>
      </w:r>
      <w:r w:rsidRPr="007216BF">
        <w:rPr>
          <w:rFonts w:ascii="Arial" w:eastAsia="Times New Roman" w:hAnsi="Arial" w:cs="Arial"/>
          <w:sz w:val="24"/>
          <w:szCs w:val="24"/>
          <w:lang w:eastAsia="en-GB"/>
        </w:rPr>
        <w:t xml:space="preserve"> acceptance as </w:t>
      </w:r>
      <w:r w:rsidR="00083536">
        <w:rPr>
          <w:rFonts w:ascii="Arial" w:eastAsia="Times New Roman" w:hAnsi="Arial" w:cs="Arial"/>
          <w:sz w:val="24"/>
          <w:szCs w:val="24"/>
          <w:lang w:eastAsia="en-GB"/>
        </w:rPr>
        <w:t xml:space="preserve">explained </w:t>
      </w:r>
      <w:r w:rsidRPr="007216BF">
        <w:rPr>
          <w:rFonts w:ascii="Arial" w:eastAsia="Times New Roman" w:hAnsi="Arial" w:cs="Arial"/>
          <w:sz w:val="24"/>
          <w:szCs w:val="24"/>
          <w:lang w:eastAsia="en-GB"/>
        </w:rPr>
        <w:t>in</w:t>
      </w:r>
      <w:r w:rsidR="00083536">
        <w:rPr>
          <w:rFonts w:ascii="Arial" w:eastAsia="Times New Roman" w:hAnsi="Arial" w:cs="Arial"/>
          <w:sz w:val="24"/>
          <w:szCs w:val="24"/>
          <w:lang w:eastAsia="en-GB"/>
        </w:rPr>
        <w:t xml:space="preserve"> the case of</w:t>
      </w:r>
      <w:r w:rsidRPr="007216B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Pr="007216BF">
        <w:rPr>
          <w:rFonts w:ascii="Arial" w:eastAsia="Times New Roman" w:hAnsi="Arial" w:cs="Arial"/>
          <w:sz w:val="24"/>
          <w:szCs w:val="24"/>
          <w:lang w:eastAsia="en-GB"/>
        </w:rPr>
        <w:t>Routledge v Grant</w:t>
      </w:r>
      <w:r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Pr="007216BF">
        <w:rPr>
          <w:rFonts w:ascii="Arial" w:eastAsia="Times New Roman" w:hAnsi="Arial" w:cs="Arial"/>
          <w:sz w:val="24"/>
          <w:szCs w:val="24"/>
          <w:lang w:eastAsia="en-GB"/>
        </w:rPr>
        <w:t xml:space="preserve"> (1828)</w:t>
      </w:r>
      <w:r w:rsidR="00083536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7216BF">
        <w:rPr>
          <w:rFonts w:ascii="Arial" w:eastAsia="Times New Roman" w:hAnsi="Arial" w:cs="Arial"/>
          <w:sz w:val="24"/>
          <w:szCs w:val="24"/>
          <w:lang w:eastAsia="en-GB"/>
        </w:rPr>
        <w:t xml:space="preserve"> where the offeror withdrew his offer before the time </w:t>
      </w:r>
      <w:proofErr w:type="gramStart"/>
      <w:r w:rsidRPr="007216BF">
        <w:rPr>
          <w:rFonts w:ascii="Arial" w:eastAsia="Times New Roman" w:hAnsi="Arial" w:cs="Arial"/>
          <w:sz w:val="24"/>
          <w:szCs w:val="24"/>
          <w:lang w:eastAsia="en-GB"/>
        </w:rPr>
        <w:t>limit</w:t>
      </w:r>
      <w:proofErr w:type="gramEnd"/>
      <w:r w:rsidRPr="007216BF">
        <w:rPr>
          <w:rFonts w:ascii="Arial" w:eastAsia="Times New Roman" w:hAnsi="Arial" w:cs="Arial"/>
          <w:sz w:val="24"/>
          <w:szCs w:val="24"/>
          <w:lang w:eastAsia="en-GB"/>
        </w:rPr>
        <w:t xml:space="preserve"> he gave the offeree to accept </w:t>
      </w:r>
      <w:r w:rsidR="00083536">
        <w:rPr>
          <w:rFonts w:ascii="Arial" w:eastAsia="Times New Roman" w:hAnsi="Arial" w:cs="Arial"/>
          <w:sz w:val="24"/>
          <w:szCs w:val="24"/>
          <w:lang w:eastAsia="en-GB"/>
        </w:rPr>
        <w:t xml:space="preserve">had </w:t>
      </w:r>
      <w:r w:rsidRPr="007216BF">
        <w:rPr>
          <w:rFonts w:ascii="Arial" w:eastAsia="Times New Roman" w:hAnsi="Arial" w:cs="Arial"/>
          <w:sz w:val="24"/>
          <w:szCs w:val="24"/>
          <w:lang w:eastAsia="en-GB"/>
        </w:rPr>
        <w:t>expired.</w:t>
      </w:r>
    </w:p>
    <w:p w14:paraId="5026B174" w14:textId="77777777" w:rsidR="0021629C" w:rsidRPr="009115F7" w:rsidRDefault="0021629C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9DD1F38" w14:textId="4566F739" w:rsidR="00083536" w:rsidRDefault="00C35A98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Concerning</w:t>
      </w:r>
      <w:r w:rsidR="005328DB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the </w:t>
      </w:r>
      <w:r w:rsidR="00083536">
        <w:rPr>
          <w:rFonts w:ascii="Arial" w:eastAsia="Times New Roman" w:hAnsi="Arial" w:cs="Arial"/>
          <w:sz w:val="24"/>
          <w:szCs w:val="24"/>
          <w:lang w:eastAsia="en-GB"/>
        </w:rPr>
        <w:t xml:space="preserve">Rolex watch </w:t>
      </w:r>
      <w:r w:rsidR="005328DB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scenario, </w:t>
      </w:r>
      <w:r w:rsidR="00083536">
        <w:rPr>
          <w:rFonts w:ascii="Arial" w:eastAsia="Times New Roman" w:hAnsi="Arial" w:cs="Arial"/>
          <w:sz w:val="24"/>
          <w:szCs w:val="24"/>
          <w:lang w:eastAsia="en-GB"/>
        </w:rPr>
        <w:t xml:space="preserve">it must first be determined whether there is an intention to create legal relations. </w:t>
      </w:r>
    </w:p>
    <w:p w14:paraId="546C5FB2" w14:textId="77777777" w:rsidR="00083536" w:rsidRDefault="00083536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F74433D" w14:textId="230365FD" w:rsidR="005328DB" w:rsidRPr="009115F7" w:rsidRDefault="005328DB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Arthur posted an advert in a magazine</w:t>
      </w:r>
      <w:r w:rsidR="0083629E" w:rsidRPr="009115F7">
        <w:rPr>
          <w:rFonts w:ascii="Arial" w:eastAsia="Times New Roman" w:hAnsi="Arial" w:cs="Arial"/>
          <w:sz w:val="24"/>
          <w:szCs w:val="24"/>
          <w:lang w:eastAsia="en-GB"/>
        </w:rPr>
        <w:t>, on the 1</w:t>
      </w:r>
      <w:r w:rsidR="0083629E" w:rsidRPr="009115F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="0083629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of May,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stating his Rolex watch was for sale</w:t>
      </w:r>
      <w:r w:rsidR="0083629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. He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included a </w:t>
      </w:r>
      <w:r w:rsidR="0083629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price but also mentioned he was </w:t>
      </w:r>
      <w:proofErr w:type="gramStart"/>
      <w:r w:rsidR="0083629E" w:rsidRPr="009115F7">
        <w:rPr>
          <w:rFonts w:ascii="Arial" w:eastAsia="Times New Roman" w:hAnsi="Arial" w:cs="Arial"/>
          <w:sz w:val="24"/>
          <w:szCs w:val="24"/>
          <w:lang w:eastAsia="en-GB"/>
        </w:rPr>
        <w:t>open</w:t>
      </w:r>
      <w:proofErr w:type="gramEnd"/>
      <w:r w:rsidR="0083629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to offers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. Arthur also included his postal and email address.</w:t>
      </w:r>
    </w:p>
    <w:p w14:paraId="6C6E7C73" w14:textId="2BE8077E" w:rsidR="005328DB" w:rsidRPr="009115F7" w:rsidRDefault="005328DB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74740354" w14:textId="0313B973" w:rsidR="00083536" w:rsidRDefault="005328DB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In Arthur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'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s case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we can determine that his </w:t>
      </w:r>
      <w:r w:rsidR="00EB4088" w:rsidRPr="009115F7">
        <w:rPr>
          <w:rFonts w:ascii="Arial" w:eastAsia="Times New Roman" w:hAnsi="Arial" w:cs="Arial"/>
          <w:sz w:val="24"/>
          <w:szCs w:val="24"/>
          <w:lang w:eastAsia="en-GB"/>
        </w:rPr>
        <w:t>advertisement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B408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constitutes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an invitation to treat.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Public advertisements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are classed as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an invitation to treat</w:t>
      </w:r>
      <w:r w:rsidR="0095420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 i</w:t>
      </w:r>
      <w:r w:rsidR="00954208" w:rsidRPr="009115F7">
        <w:rPr>
          <w:rFonts w:ascii="Arial" w:eastAsia="Times New Roman" w:hAnsi="Arial" w:cs="Arial"/>
          <w:sz w:val="24"/>
          <w:szCs w:val="24"/>
          <w:lang w:eastAsia="en-GB"/>
        </w:rPr>
        <w:t>nvites the other party to make negotiations and make an offer to the seller.</w:t>
      </w:r>
      <w:r w:rsidR="0008353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0CE4B3DF" w14:textId="694AAEB9" w:rsidR="005328DB" w:rsidRPr="009115F7" w:rsidRDefault="00083536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In ‘Partridge v Crittenden’ (1968) an advertisement for the sale of birds lacked a firm promise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, therefore,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is simply an invitation to treat, rather than an offer.</w:t>
      </w:r>
    </w:p>
    <w:p w14:paraId="0123BC5A" w14:textId="52FD7A5F" w:rsidR="00083536" w:rsidRPr="009115F7" w:rsidRDefault="005328DB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Arthur </w:t>
      </w:r>
      <w:r w:rsidR="00385AF1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states he is open to offers and gives the impression that he also welcomes postal offers. </w:t>
      </w:r>
    </w:p>
    <w:p w14:paraId="7FEBC2A7" w14:textId="77777777" w:rsidR="005328DB" w:rsidRPr="009115F7" w:rsidRDefault="005328DB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DA4C27A" w14:textId="21A20169" w:rsidR="00E03578" w:rsidRPr="009115F7" w:rsidRDefault="0083629E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Ben posts a letter on the 4</w:t>
      </w:r>
      <w:r w:rsidRPr="009115F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 xml:space="preserve">of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May offering the full asking price for the watch. According to the postal rule</w:t>
      </w:r>
      <w:r w:rsidR="00EB408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of acceptance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95420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the acceptance is deemed complete as soon as the letter is in the postal system. </w:t>
      </w:r>
      <w:r w:rsidR="00083536"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="00E03578" w:rsidRPr="009115F7">
        <w:rPr>
          <w:rFonts w:ascii="Arial" w:eastAsia="Times New Roman" w:hAnsi="Arial" w:cs="Arial"/>
          <w:sz w:val="24"/>
          <w:szCs w:val="24"/>
          <w:lang w:eastAsia="en-GB"/>
        </w:rPr>
        <w:t>Adams v Lindsell</w:t>
      </w:r>
      <w:r w:rsidR="00083536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="00E0357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(1818) </w:t>
      </w:r>
      <w:r w:rsidR="00E03578" w:rsidRPr="009115F7">
        <w:rPr>
          <w:rFonts w:ascii="Arial" w:eastAsia="Times New Roman" w:hAnsi="Arial" w:cs="Arial"/>
          <w:sz w:val="24"/>
          <w:szCs w:val="24"/>
          <w:lang w:eastAsia="en-GB"/>
        </w:rPr>
        <w:t>is a classic case where the postal rule came into effect and subsequently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E0357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the claimant was entitled to damages because the seller sold the wool to a third party before he received the buyer’s letter in the post.</w:t>
      </w:r>
    </w:p>
    <w:p w14:paraId="63CEC5DA" w14:textId="333BACF9" w:rsidR="00E03578" w:rsidRPr="009115F7" w:rsidRDefault="00E03578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The </w:t>
      </w:r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court determined that the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acceptance was complete as soon as the letter was posted and before the wool was sold to a third party.</w:t>
      </w:r>
    </w:p>
    <w:p w14:paraId="78F6EBF2" w14:textId="77777777" w:rsidR="00E03578" w:rsidRPr="009115F7" w:rsidRDefault="00E03578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EFFD4A7" w14:textId="0538C892" w:rsidR="005328DB" w:rsidRPr="009115F7" w:rsidRDefault="00954208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However,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Ben’s offer did not exist on the 6</w:t>
      </w:r>
      <w:r w:rsidRPr="009115F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 xml:space="preserve">of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May for acceptance</w:t>
      </w:r>
      <w:r w:rsidR="00E0357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in Arthur</w:t>
      </w:r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>’s case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328DB" w:rsidRPr="009115F7">
        <w:rPr>
          <w:rFonts w:ascii="Arial" w:eastAsia="Times New Roman" w:hAnsi="Arial" w:cs="Arial"/>
          <w:sz w:val="24"/>
          <w:szCs w:val="24"/>
          <w:lang w:eastAsia="en-GB"/>
        </w:rPr>
        <w:t>Acceptance cannot occur unless there is knowledge of the offer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as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noted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in the</w:t>
      </w:r>
      <w:r w:rsidR="005328DB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83536"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="005328DB" w:rsidRPr="009115F7">
        <w:rPr>
          <w:rFonts w:ascii="Arial" w:eastAsia="Times New Roman" w:hAnsi="Arial" w:cs="Arial"/>
          <w:sz w:val="24"/>
          <w:szCs w:val="24"/>
          <w:lang w:eastAsia="en-GB"/>
        </w:rPr>
        <w:t>R v Clarke</w:t>
      </w:r>
      <w:r w:rsidR="00083536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="005328DB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(1927)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case.</w:t>
      </w:r>
    </w:p>
    <w:p w14:paraId="055DC195" w14:textId="77777777" w:rsidR="00E03578" w:rsidRPr="009115F7" w:rsidRDefault="00E03578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2E558FF" w14:textId="723BF7D1" w:rsidR="00954208" w:rsidRPr="009115F7" w:rsidRDefault="00E03578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Christine</w:t>
      </w:r>
      <w:r w:rsidR="00E74BDF">
        <w:rPr>
          <w:rFonts w:ascii="Arial" w:eastAsia="Times New Roman" w:hAnsi="Arial" w:cs="Arial"/>
          <w:sz w:val="24"/>
          <w:szCs w:val="24"/>
          <w:lang w:eastAsia="en-GB"/>
        </w:rPr>
        <w:t>’s first email to Arthur on the 5</w:t>
      </w:r>
      <w:r w:rsidR="00E74BDF" w:rsidRPr="00E74BDF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E74BD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 xml:space="preserve">of </w:t>
      </w:r>
      <w:r w:rsidR="00E74BDF">
        <w:rPr>
          <w:rFonts w:ascii="Arial" w:eastAsia="Times New Roman" w:hAnsi="Arial" w:cs="Arial"/>
          <w:sz w:val="24"/>
          <w:szCs w:val="24"/>
          <w:lang w:eastAsia="en-GB"/>
        </w:rPr>
        <w:t xml:space="preserve">May is enquiring if the watch is still for sale and if he would accept £11,000. Christine is purely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requesting</w:t>
      </w:r>
      <w:r w:rsidR="00E74BDF">
        <w:rPr>
          <w:rFonts w:ascii="Arial" w:eastAsia="Times New Roman" w:hAnsi="Arial" w:cs="Arial"/>
          <w:sz w:val="24"/>
          <w:szCs w:val="24"/>
          <w:lang w:eastAsia="en-GB"/>
        </w:rPr>
        <w:t xml:space="preserve"> information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E74BDF">
        <w:rPr>
          <w:rFonts w:ascii="Arial" w:eastAsia="Times New Roman" w:hAnsi="Arial" w:cs="Arial"/>
          <w:sz w:val="24"/>
          <w:szCs w:val="24"/>
          <w:lang w:eastAsia="en-GB"/>
        </w:rPr>
        <w:t xml:space="preserve"> She did not imply whether she was asking for herself or on someone’s behalf.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74BDF">
        <w:rPr>
          <w:rFonts w:ascii="Arial" w:eastAsia="Times New Roman" w:hAnsi="Arial" w:cs="Arial"/>
          <w:sz w:val="24"/>
          <w:szCs w:val="24"/>
          <w:lang w:eastAsia="en-GB"/>
        </w:rPr>
        <w:t xml:space="preserve">After Arthur confirmed it was still for sale and said he would accept £13,000 for the watch. Christine’s second email, in response to Arthur, is offering to pay </w:t>
      </w:r>
      <w:r w:rsidR="00930EA5">
        <w:rPr>
          <w:rFonts w:ascii="Arial" w:eastAsia="Times New Roman" w:hAnsi="Arial" w:cs="Arial"/>
          <w:sz w:val="24"/>
          <w:szCs w:val="24"/>
          <w:lang w:eastAsia="en-GB"/>
        </w:rPr>
        <w:t xml:space="preserve">£13,000 in two instalments.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This </w:t>
      </w:r>
      <w:r w:rsidR="0095420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is considered a </w:t>
      </w:r>
      <w:proofErr w:type="gramStart"/>
      <w:r w:rsidR="00954208" w:rsidRPr="009115F7">
        <w:rPr>
          <w:rFonts w:ascii="Arial" w:eastAsia="Times New Roman" w:hAnsi="Arial" w:cs="Arial"/>
          <w:sz w:val="24"/>
          <w:szCs w:val="24"/>
          <w:lang w:eastAsia="en-GB"/>
        </w:rPr>
        <w:t>counter-offer</w:t>
      </w:r>
      <w:proofErr w:type="gramEnd"/>
      <w:r w:rsidR="0095420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 overrides the original offer</w:t>
      </w:r>
      <w:r w:rsidR="00930EA5">
        <w:rPr>
          <w:rFonts w:ascii="Arial" w:eastAsia="Times New Roman" w:hAnsi="Arial" w:cs="Arial"/>
          <w:sz w:val="24"/>
          <w:szCs w:val="24"/>
          <w:lang w:eastAsia="en-GB"/>
        </w:rPr>
        <w:t>. However, an acceptance must match the offer and Arthur did not reply to her request.</w:t>
      </w:r>
    </w:p>
    <w:p w14:paraId="7393F404" w14:textId="77777777" w:rsidR="00954208" w:rsidRPr="009115F7" w:rsidRDefault="00954208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A172A24" w14:textId="54DD4A00" w:rsidR="0066573C" w:rsidRPr="009115F7" w:rsidRDefault="00954208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This </w:t>
      </w:r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counter-offer rule is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explained in the Hyde v Wrench (1840) case where </w:t>
      </w:r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>the defendant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wrote to </w:t>
      </w:r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>the claimant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offering to sell his farm for an asking price of £1000. </w:t>
      </w:r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>The claimant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responded immediately with an offer of £950. </w:t>
      </w:r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>The defendant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took his time to consider the offer and eventually responded to say that the offer was too </w:t>
      </w:r>
      <w:proofErr w:type="gramStart"/>
      <w:r w:rsidRPr="009115F7">
        <w:rPr>
          <w:rFonts w:ascii="Arial" w:eastAsia="Times New Roman" w:hAnsi="Arial" w:cs="Arial"/>
          <w:sz w:val="24"/>
          <w:szCs w:val="24"/>
          <w:lang w:eastAsia="en-GB"/>
        </w:rPr>
        <w:t>low</w:t>
      </w:r>
      <w:proofErr w:type="gramEnd"/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he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>was not prepared to accept</w:t>
      </w:r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it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The claimant’s offer of £950 became a </w:t>
      </w:r>
      <w:proofErr w:type="gramStart"/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>counter-offer</w:t>
      </w:r>
      <w:proofErr w:type="gramEnd"/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and rejected the offer made by the defendant in the first instance. The </w:t>
      </w:r>
      <w:r w:rsidR="0008128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new </w:t>
      </w:r>
      <w:r w:rsidR="0066573C" w:rsidRPr="009115F7">
        <w:rPr>
          <w:rFonts w:ascii="Arial" w:eastAsia="Times New Roman" w:hAnsi="Arial" w:cs="Arial"/>
          <w:sz w:val="24"/>
          <w:szCs w:val="24"/>
          <w:lang w:eastAsia="en-GB"/>
        </w:rPr>
        <w:t>offer of £</w:t>
      </w:r>
      <w:r w:rsidR="0008128E" w:rsidRPr="009115F7">
        <w:rPr>
          <w:rFonts w:ascii="Arial" w:eastAsia="Times New Roman" w:hAnsi="Arial" w:cs="Arial"/>
          <w:sz w:val="24"/>
          <w:szCs w:val="24"/>
          <w:lang w:eastAsia="en-GB"/>
        </w:rPr>
        <w:t>950 supersedes the original offer.</w:t>
      </w:r>
    </w:p>
    <w:p w14:paraId="51921C88" w14:textId="6D5D642C" w:rsidR="0008128E" w:rsidRPr="009115F7" w:rsidRDefault="0008128E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2D8D2DD" w14:textId="7392A6AD" w:rsidR="0008128E" w:rsidRPr="009115F7" w:rsidRDefault="0008128E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Dennis’ email on the 6</w:t>
      </w:r>
      <w:r w:rsidRPr="009115F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 xml:space="preserve">of 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May declared his interest in buying the watch. Arthur </w:t>
      </w:r>
      <w:r w:rsidR="00930EA5">
        <w:rPr>
          <w:rFonts w:ascii="Arial" w:eastAsia="Times New Roman" w:hAnsi="Arial" w:cs="Arial"/>
          <w:sz w:val="24"/>
          <w:szCs w:val="24"/>
          <w:lang w:eastAsia="en-GB"/>
        </w:rPr>
        <w:t>confirmed that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he would like £13,000 for the watch.</w:t>
      </w:r>
      <w:r w:rsidR="00D719B7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30EA5">
        <w:rPr>
          <w:rFonts w:ascii="Arial" w:eastAsia="Times New Roman" w:hAnsi="Arial" w:cs="Arial"/>
          <w:sz w:val="24"/>
          <w:szCs w:val="24"/>
          <w:lang w:eastAsia="en-GB"/>
        </w:rPr>
        <w:t xml:space="preserve">Dennis’ email arrived in Arthur’s email inbox after Christine’s, therefore her email took effect before Dennis’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because</w:t>
      </w:r>
      <w:r w:rsidR="00930EA5">
        <w:rPr>
          <w:rFonts w:ascii="Arial" w:eastAsia="Times New Roman" w:hAnsi="Arial" w:cs="Arial"/>
          <w:sz w:val="24"/>
          <w:szCs w:val="24"/>
          <w:lang w:eastAsia="en-GB"/>
        </w:rPr>
        <w:t xml:space="preserve"> electronic acceptances </w:t>
      </w:r>
      <w:proofErr w:type="gramStart"/>
      <w:r w:rsidR="00930EA5">
        <w:rPr>
          <w:rFonts w:ascii="Arial" w:eastAsia="Times New Roman" w:hAnsi="Arial" w:cs="Arial"/>
          <w:sz w:val="24"/>
          <w:szCs w:val="24"/>
          <w:lang w:eastAsia="en-GB"/>
        </w:rPr>
        <w:t>takes</w:t>
      </w:r>
      <w:proofErr w:type="gramEnd"/>
      <w:r w:rsidR="00930EA5">
        <w:rPr>
          <w:rFonts w:ascii="Arial" w:eastAsia="Times New Roman" w:hAnsi="Arial" w:cs="Arial"/>
          <w:sz w:val="24"/>
          <w:szCs w:val="24"/>
          <w:lang w:eastAsia="en-GB"/>
        </w:rPr>
        <w:t xml:space="preserve"> effect when communicated to the offeror.</w:t>
      </w:r>
    </w:p>
    <w:p w14:paraId="209D0E5F" w14:textId="77777777" w:rsidR="00C919DD" w:rsidRPr="009115F7" w:rsidRDefault="00C919DD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47D482F" w14:textId="6E8D70FF" w:rsidR="00C919DD" w:rsidRPr="009115F7" w:rsidRDefault="008716C0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Conclusion:</w:t>
      </w:r>
    </w:p>
    <w:p w14:paraId="4334DADA" w14:textId="5DBCAC8B" w:rsidR="008716C0" w:rsidRPr="009115F7" w:rsidRDefault="008716C0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158DE45" w14:textId="00E2ADA4" w:rsidR="00C83472" w:rsidRDefault="00706712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9115F7">
        <w:rPr>
          <w:rFonts w:ascii="Arial" w:eastAsia="Times New Roman" w:hAnsi="Arial" w:cs="Arial"/>
          <w:sz w:val="24"/>
          <w:szCs w:val="24"/>
          <w:lang w:eastAsia="en-GB"/>
        </w:rPr>
        <w:t>The valid contract which exist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for the sale of the watch </w:t>
      </w:r>
      <w:r w:rsidR="00C35A98">
        <w:rPr>
          <w:rFonts w:ascii="Arial" w:eastAsia="Times New Roman" w:hAnsi="Arial" w:cs="Arial"/>
          <w:sz w:val="24"/>
          <w:szCs w:val="24"/>
          <w:lang w:eastAsia="en-GB"/>
        </w:rPr>
        <w:t>is</w:t>
      </w:r>
      <w:r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54208" w:rsidRPr="009115F7">
        <w:rPr>
          <w:rFonts w:ascii="Arial" w:eastAsia="Times New Roman" w:hAnsi="Arial" w:cs="Arial"/>
          <w:sz w:val="24"/>
          <w:szCs w:val="24"/>
          <w:lang w:eastAsia="en-GB"/>
        </w:rPr>
        <w:t>between Ben and Arthur, due to the postal rule of acceptance.</w:t>
      </w:r>
      <w:r w:rsidR="0008128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Ben’s acceptance of his full asking price would have been effective from the time of posting the letter. Arthur </w:t>
      </w:r>
      <w:r w:rsidR="006827D8" w:rsidRPr="009115F7">
        <w:rPr>
          <w:rFonts w:ascii="Arial" w:eastAsia="Times New Roman" w:hAnsi="Arial" w:cs="Arial"/>
          <w:sz w:val="24"/>
          <w:szCs w:val="24"/>
          <w:lang w:eastAsia="en-GB"/>
        </w:rPr>
        <w:t>is entitled to</w:t>
      </w:r>
      <w:r w:rsidR="0008128E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revoke his </w:t>
      </w:r>
      <w:r w:rsidR="0008128E" w:rsidRPr="009115F7">
        <w:rPr>
          <w:rFonts w:ascii="Arial" w:eastAsia="Times New Roman" w:hAnsi="Arial" w:cs="Arial"/>
          <w:sz w:val="24"/>
          <w:szCs w:val="24"/>
          <w:lang w:eastAsia="en-GB"/>
        </w:rPr>
        <w:lastRenderedPageBreak/>
        <w:t>offer to the other two interested parties at any time</w:t>
      </w:r>
      <w:r w:rsidR="006827D8" w:rsidRPr="009115F7">
        <w:rPr>
          <w:rFonts w:ascii="Arial" w:eastAsia="Times New Roman" w:hAnsi="Arial" w:cs="Arial"/>
          <w:sz w:val="24"/>
          <w:szCs w:val="24"/>
          <w:lang w:eastAsia="en-GB"/>
        </w:rPr>
        <w:t xml:space="preserve"> as it is not </w:t>
      </w:r>
      <w:r w:rsidR="00C83472">
        <w:rPr>
          <w:rFonts w:ascii="Arial" w:eastAsia="Times New Roman" w:hAnsi="Arial" w:cs="Arial"/>
          <w:sz w:val="24"/>
          <w:szCs w:val="24"/>
          <w:lang w:eastAsia="en-GB"/>
        </w:rPr>
        <w:t xml:space="preserve">contractually </w:t>
      </w:r>
      <w:r w:rsidR="006827D8" w:rsidRPr="009115F7">
        <w:rPr>
          <w:rFonts w:ascii="Arial" w:eastAsia="Times New Roman" w:hAnsi="Arial" w:cs="Arial"/>
          <w:sz w:val="24"/>
          <w:szCs w:val="24"/>
          <w:lang w:eastAsia="en-GB"/>
        </w:rPr>
        <w:t>legally binding</w:t>
      </w:r>
      <w:r w:rsidR="0008128E" w:rsidRPr="009115F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4382AEF2" w14:textId="077E63A4" w:rsidR="00C83472" w:rsidRDefault="00C83472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6C1495F" w14:textId="46935E1B" w:rsidR="00C83472" w:rsidRDefault="00C83472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Christine’s offer would not </w:t>
      </w:r>
      <w:r w:rsidR="00BD3DA5">
        <w:rPr>
          <w:rFonts w:ascii="Arial" w:eastAsia="Times New Roman" w:hAnsi="Arial" w:cs="Arial"/>
          <w:sz w:val="24"/>
          <w:szCs w:val="24"/>
          <w:lang w:eastAsia="en-GB"/>
        </w:rPr>
        <w:t xml:space="preserve">be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valid due to the </w:t>
      </w:r>
      <w:proofErr w:type="gramStart"/>
      <w:r>
        <w:rPr>
          <w:rFonts w:ascii="Arial" w:eastAsia="Times New Roman" w:hAnsi="Arial" w:cs="Arial"/>
          <w:sz w:val="24"/>
          <w:szCs w:val="24"/>
          <w:lang w:eastAsia="en-GB"/>
        </w:rPr>
        <w:t>counter-offer</w:t>
      </w:r>
      <w:proofErr w:type="gram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being made, which had not been accepted by Arthur. Dennis will not have a valid contract because Arthur has not </w:t>
      </w:r>
      <w:r w:rsidR="00BD3DA5">
        <w:rPr>
          <w:rFonts w:ascii="Arial" w:eastAsia="Times New Roman" w:hAnsi="Arial" w:cs="Arial"/>
          <w:sz w:val="24"/>
          <w:szCs w:val="24"/>
          <w:lang w:eastAsia="en-GB"/>
        </w:rPr>
        <w:t>accepted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the sale with him.</w:t>
      </w:r>
    </w:p>
    <w:p w14:paraId="3E29CD2C" w14:textId="77777777" w:rsidR="00C83472" w:rsidRPr="009115F7" w:rsidRDefault="00C83472" w:rsidP="009115F7">
      <w:pPr>
        <w:pStyle w:val="ListParagraph"/>
        <w:spacing w:after="0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3B5A883" w14:textId="77777777" w:rsidR="00C919DD" w:rsidRPr="009115F7" w:rsidRDefault="00C919DD" w:rsidP="009115F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E6B7537" w14:textId="6E620EBB" w:rsidR="00F7417B" w:rsidRPr="009115F7" w:rsidRDefault="00F7417B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42DC00B6" w14:textId="0D142BCC" w:rsidR="006827D8" w:rsidRPr="009115F7" w:rsidRDefault="006827D8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59E0F73E" w14:textId="2679DFF7" w:rsidR="006827D8" w:rsidRPr="009115F7" w:rsidRDefault="006827D8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2C91C36D" w14:textId="6F02E504" w:rsidR="006827D8" w:rsidRPr="009115F7" w:rsidRDefault="006827D8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5D18C20A" w14:textId="19D8CF94" w:rsidR="006827D8" w:rsidRPr="009115F7" w:rsidRDefault="006827D8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2DA0215B" w14:textId="732C698F" w:rsidR="006827D8" w:rsidRPr="009115F7" w:rsidRDefault="006827D8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09DA9A6C" w14:textId="2262E44C" w:rsidR="006827D8" w:rsidRPr="009115F7" w:rsidRDefault="006827D8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46DD00E4" w14:textId="2777F708" w:rsidR="006827D8" w:rsidRPr="009115F7" w:rsidRDefault="006827D8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404CBD55" w14:textId="5B082E09" w:rsidR="006827D8" w:rsidRPr="009115F7" w:rsidRDefault="006827D8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63DAE609" w14:textId="5FB7CE25" w:rsidR="006827D8" w:rsidRPr="009115F7" w:rsidRDefault="006827D8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2F213F46" w14:textId="53809B39" w:rsidR="009115F7" w:rsidRDefault="009115F7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07CFB81F" w14:textId="46D72BA4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47B21D20" w14:textId="171439B5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7DF68980" w14:textId="7605EEE7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5CAB1A6A" w14:textId="2B213026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3340DAE7" w14:textId="5A1A9321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488B3034" w14:textId="1EC52537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0C317F28" w14:textId="61E7E2A4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17EEA7DD" w14:textId="39AA8D8C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5F04F98B" w14:textId="5CE6207D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037930D5" w14:textId="5B53118D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1CD53494" w14:textId="3A4EC9E3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7BA3E52C" w14:textId="599BD5C6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4A64F275" w14:textId="1DB65111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7650B57D" w14:textId="77777777" w:rsidR="00950BB5" w:rsidRDefault="00950BB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3E6B175C" w14:textId="23A940A2" w:rsidR="009A2D4E" w:rsidRPr="009115F7" w:rsidRDefault="009A2D4E" w:rsidP="009115F7">
      <w:pPr>
        <w:spacing w:after="0" w:line="360" w:lineRule="auto"/>
        <w:rPr>
          <w:rFonts w:ascii="Arial" w:eastAsia="Calibri" w:hAnsi="Arial" w:cs="Arial"/>
          <w:b/>
          <w:bCs/>
          <w:sz w:val="28"/>
          <w:szCs w:val="28"/>
        </w:rPr>
      </w:pPr>
      <w:r w:rsidRPr="009115F7">
        <w:rPr>
          <w:rFonts w:ascii="Arial" w:eastAsia="Calibri" w:hAnsi="Arial" w:cs="Arial"/>
          <w:b/>
          <w:bCs/>
          <w:sz w:val="28"/>
          <w:szCs w:val="28"/>
        </w:rPr>
        <w:lastRenderedPageBreak/>
        <w:t>References</w:t>
      </w:r>
    </w:p>
    <w:p w14:paraId="3C540341" w14:textId="77777777" w:rsidR="00E7219D" w:rsidRPr="009115F7" w:rsidRDefault="00E7219D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7BD72C26" w14:textId="577E1B76" w:rsidR="00E83103" w:rsidRDefault="00E83103" w:rsidP="00E83103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BAILII (</w:t>
      </w:r>
      <w:r w:rsidR="006F0F51">
        <w:rPr>
          <w:rFonts w:ascii="Arial" w:hAnsi="Arial" w:cs="Arial"/>
          <w:sz w:val="24"/>
          <w:szCs w:val="24"/>
          <w:shd w:val="clear" w:color="auto" w:fill="FFFFFF"/>
        </w:rPr>
        <w:t>no date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) </w:t>
      </w:r>
      <w:r w:rsidR="006F0F51" w:rsidRPr="006F0F51">
        <w:rPr>
          <w:rFonts w:ascii="Arial" w:hAnsi="Arial" w:cs="Arial"/>
          <w:i/>
          <w:iCs/>
          <w:sz w:val="24"/>
          <w:szCs w:val="24"/>
          <w:shd w:val="clear" w:color="auto" w:fill="FFFFFF"/>
        </w:rPr>
        <w:t>Tweddle v Atkinson</w:t>
      </w:r>
      <w:r w:rsidR="006F0F51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r w:rsidR="006F0F51" w:rsidRPr="006F0F51">
        <w:rPr>
          <w:rFonts w:ascii="Arial" w:hAnsi="Arial" w:cs="Arial"/>
          <w:sz w:val="24"/>
          <w:szCs w:val="24"/>
          <w:shd w:val="clear" w:color="auto" w:fill="FFFFFF"/>
        </w:rPr>
        <w:t>https://www.bailii.org/cgi-bin/format.cgi?doc=/ew/cases/EWHC/QB/1861/J57.html&amp;query=(tweddle)</w:t>
      </w:r>
    </w:p>
    <w:p w14:paraId="1FA6B1B0" w14:textId="5F950E52" w:rsidR="006F0F51" w:rsidRPr="009115F7" w:rsidRDefault="006F0F51" w:rsidP="00E83103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(Accessed: 03 March 2022).</w:t>
      </w:r>
    </w:p>
    <w:p w14:paraId="08C5A252" w14:textId="77777777" w:rsidR="00E83103" w:rsidRPr="009115F7" w:rsidRDefault="00E83103" w:rsidP="00E83103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20F0E8A6" w14:textId="18F73ABC" w:rsidR="00E83103" w:rsidRPr="009115F7" w:rsidRDefault="006F0F51" w:rsidP="00E83103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BAILII (no date) </w:t>
      </w:r>
      <w:r w:rsidRPr="006F0F51">
        <w:rPr>
          <w:rFonts w:ascii="Arial" w:hAnsi="Arial" w:cs="Arial"/>
          <w:i/>
          <w:iCs/>
          <w:sz w:val="24"/>
          <w:szCs w:val="24"/>
          <w:shd w:val="clear" w:color="auto" w:fill="FFFFFF"/>
        </w:rPr>
        <w:t>Cutter v Powell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r w:rsidR="00E83103" w:rsidRPr="007216BF">
        <w:rPr>
          <w:rFonts w:ascii="Arial" w:hAnsi="Arial" w:cs="Arial"/>
          <w:sz w:val="24"/>
          <w:szCs w:val="24"/>
          <w:shd w:val="clear" w:color="auto" w:fill="FFFFFF"/>
        </w:rPr>
        <w:t>https://www.bailii.org/cgi-bin/format.cgi?doc=/ew/cases/EWHC/KB/1795/J13.html&amp;query=(cutter)+AND+(v)+AND+(powell)</w:t>
      </w:r>
    </w:p>
    <w:p w14:paraId="42D2B136" w14:textId="68A203EB" w:rsidR="00E83103" w:rsidRDefault="006F0F51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(Accessed: 02 March 2022)</w:t>
      </w:r>
    </w:p>
    <w:p w14:paraId="1E4C9AB1" w14:textId="77777777" w:rsidR="00E83103" w:rsidRDefault="00E83103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57B28FDD" w14:textId="27E52F19" w:rsidR="00E7219D" w:rsidRPr="009115F7" w:rsidRDefault="00E7219D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Burrows, A. (2020). </w:t>
      </w:r>
      <w:r w:rsidRPr="009115F7">
        <w:rPr>
          <w:rFonts w:ascii="Arial" w:hAnsi="Arial" w:cs="Arial"/>
          <w:i/>
          <w:iCs/>
          <w:sz w:val="24"/>
          <w:szCs w:val="24"/>
          <w:shd w:val="clear" w:color="auto" w:fill="FFFFFF"/>
        </w:rPr>
        <w:t>A Casebook on Contract</w:t>
      </w:r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. 1st edition. Bloomsbury Publishing. </w:t>
      </w:r>
    </w:p>
    <w:p w14:paraId="16FBF192" w14:textId="77777777" w:rsidR="00E7219D" w:rsidRPr="009115F7" w:rsidRDefault="00E7219D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093EECB4" w14:textId="73DC4660" w:rsidR="00D00DA5" w:rsidRPr="009115F7" w:rsidRDefault="00D00DA5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115F7">
        <w:rPr>
          <w:rFonts w:ascii="Arial" w:hAnsi="Arial" w:cs="Arial"/>
          <w:sz w:val="24"/>
          <w:szCs w:val="24"/>
          <w:shd w:val="clear" w:color="auto" w:fill="FFFFFF"/>
        </w:rPr>
        <w:t>e-</w:t>
      </w:r>
      <w:proofErr w:type="spellStart"/>
      <w:r w:rsidRPr="009115F7">
        <w:rPr>
          <w:rFonts w:ascii="Arial" w:hAnsi="Arial" w:cs="Arial"/>
          <w:sz w:val="24"/>
          <w:szCs w:val="24"/>
          <w:shd w:val="clear" w:color="auto" w:fill="FFFFFF"/>
        </w:rPr>
        <w:t>lawresources</w:t>
      </w:r>
      <w:proofErr w:type="spellEnd"/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 (n</w:t>
      </w:r>
      <w:r w:rsidR="00BD3DA5">
        <w:rPr>
          <w:rFonts w:ascii="Arial" w:hAnsi="Arial" w:cs="Arial"/>
          <w:sz w:val="24"/>
          <w:szCs w:val="24"/>
          <w:shd w:val="clear" w:color="auto" w:fill="FFFFFF"/>
        </w:rPr>
        <w:t>o date</w:t>
      </w:r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Pr="009115F7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Contract consideration. </w:t>
      </w:r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r w:rsidR="00BD3DA5" w:rsidRPr="00BD3DA5">
        <w:rPr>
          <w:rFonts w:ascii="Arial" w:hAnsi="Arial" w:cs="Arial"/>
          <w:sz w:val="24"/>
          <w:szCs w:val="24"/>
          <w:shd w:val="clear" w:color="auto" w:fill="FFFFFF"/>
        </w:rPr>
        <w:t>https://www.e-lawresources.co.uk/Consideration.php</w:t>
      </w:r>
      <w:r w:rsidR="00BD3DA5">
        <w:rPr>
          <w:rFonts w:ascii="Arial" w:hAnsi="Arial" w:cs="Arial"/>
          <w:sz w:val="24"/>
          <w:szCs w:val="24"/>
          <w:shd w:val="clear" w:color="auto" w:fill="FFFFFF"/>
        </w:rPr>
        <w:t xml:space="preserve"> (Accessed: 01 March 2022)</w:t>
      </w:r>
    </w:p>
    <w:p w14:paraId="2F55CA4E" w14:textId="77777777" w:rsidR="00D00DA5" w:rsidRPr="009115F7" w:rsidRDefault="00D00DA5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4EEF35BA" w14:textId="4D66B9A1" w:rsidR="00E83103" w:rsidRPr="009115F7" w:rsidRDefault="00BD3DA5" w:rsidP="00E83103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Law Case Summaries (no date). </w:t>
      </w:r>
      <w:proofErr w:type="spellStart"/>
      <w:r w:rsidRPr="00BD3DA5">
        <w:rPr>
          <w:rFonts w:ascii="Arial" w:hAnsi="Arial" w:cs="Arial"/>
          <w:i/>
          <w:iCs/>
          <w:sz w:val="24"/>
          <w:szCs w:val="24"/>
          <w:shd w:val="clear" w:color="auto" w:fill="FFFFFF"/>
        </w:rPr>
        <w:t>Planche</w:t>
      </w:r>
      <w:proofErr w:type="spellEnd"/>
      <w:r w:rsidRPr="00BD3DA5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v Colburn</w:t>
      </w: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Available at:  </w:t>
      </w:r>
      <w:r w:rsidRPr="00BD3DA5">
        <w:rPr>
          <w:rFonts w:ascii="Arial" w:hAnsi="Arial" w:cs="Arial"/>
          <w:sz w:val="24"/>
          <w:szCs w:val="24"/>
          <w:shd w:val="clear" w:color="auto" w:fill="FFFFFF"/>
        </w:rPr>
        <w:t>https://lawcasesummaries.com/knowledge-base/planche-v-colburn-1831-ewhc-kb-j56/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(Accessed: 04 March 2022)</w:t>
      </w:r>
    </w:p>
    <w:p w14:paraId="2CD3A860" w14:textId="77777777" w:rsidR="00E83103" w:rsidRDefault="00E83103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654EA647" w14:textId="71E6583A" w:rsidR="00D76B6F" w:rsidRPr="009115F7" w:rsidRDefault="00D76B6F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9115F7">
        <w:rPr>
          <w:rFonts w:ascii="Arial" w:hAnsi="Arial" w:cs="Arial"/>
          <w:sz w:val="24"/>
          <w:szCs w:val="24"/>
          <w:shd w:val="clear" w:color="auto" w:fill="FFFFFF"/>
        </w:rPr>
        <w:t>Merkin</w:t>
      </w:r>
      <w:proofErr w:type="spellEnd"/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, R.M., </w:t>
      </w:r>
      <w:proofErr w:type="spellStart"/>
      <w:r w:rsidRPr="009115F7">
        <w:rPr>
          <w:rFonts w:ascii="Arial" w:hAnsi="Arial" w:cs="Arial"/>
          <w:sz w:val="24"/>
          <w:szCs w:val="24"/>
          <w:shd w:val="clear" w:color="auto" w:fill="FFFFFF"/>
        </w:rPr>
        <w:t>Saintier</w:t>
      </w:r>
      <w:proofErr w:type="spellEnd"/>
      <w:r w:rsidRPr="009115F7">
        <w:rPr>
          <w:rFonts w:ascii="Arial" w:hAnsi="Arial" w:cs="Arial"/>
          <w:sz w:val="24"/>
          <w:szCs w:val="24"/>
          <w:shd w:val="clear" w:color="auto" w:fill="FFFFFF"/>
        </w:rPr>
        <w:t>, S. and Poole, J. (2021) </w:t>
      </w:r>
      <w:r w:rsidRPr="009115F7">
        <w:rPr>
          <w:rFonts w:ascii="Arial" w:hAnsi="Arial" w:cs="Arial"/>
          <w:i/>
          <w:iCs/>
          <w:sz w:val="24"/>
          <w:szCs w:val="24"/>
          <w:shd w:val="clear" w:color="auto" w:fill="FFFFFF"/>
        </w:rPr>
        <w:t>Poole’s casebook on contract law</w:t>
      </w:r>
      <w:r w:rsidRPr="009115F7">
        <w:rPr>
          <w:rFonts w:ascii="Arial" w:hAnsi="Arial" w:cs="Arial"/>
          <w:sz w:val="24"/>
          <w:szCs w:val="24"/>
          <w:shd w:val="clear" w:color="auto" w:fill="FFFFFF"/>
        </w:rPr>
        <w:t>. 15th edition. Oxford: Oxford University Press.</w:t>
      </w:r>
    </w:p>
    <w:p w14:paraId="7465969F" w14:textId="77777777" w:rsidR="00E7219D" w:rsidRPr="009115F7" w:rsidRDefault="00E7219D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32E29E58" w14:textId="7E0DA768" w:rsidR="00BA01B4" w:rsidRPr="009115F7" w:rsidRDefault="009810FF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115F7">
        <w:rPr>
          <w:rFonts w:ascii="Arial" w:hAnsi="Arial" w:cs="Arial"/>
          <w:sz w:val="24"/>
          <w:szCs w:val="24"/>
          <w:shd w:val="clear" w:color="auto" w:fill="FFFFFF"/>
        </w:rPr>
        <w:t>Poole, J. (2016) </w:t>
      </w:r>
      <w:r w:rsidRPr="009115F7">
        <w:rPr>
          <w:rFonts w:ascii="Arial" w:hAnsi="Arial" w:cs="Arial"/>
          <w:i/>
          <w:iCs/>
          <w:sz w:val="24"/>
          <w:szCs w:val="24"/>
          <w:shd w:val="clear" w:color="auto" w:fill="FFFFFF"/>
        </w:rPr>
        <w:t>Textbook on contract law</w:t>
      </w:r>
      <w:r w:rsidRPr="009115F7">
        <w:rPr>
          <w:rFonts w:ascii="Arial" w:hAnsi="Arial" w:cs="Arial"/>
          <w:sz w:val="24"/>
          <w:szCs w:val="24"/>
          <w:shd w:val="clear" w:color="auto" w:fill="FFFFFF"/>
        </w:rPr>
        <w:t>. 13th edition. Oxford: Oxford University Press.</w:t>
      </w:r>
    </w:p>
    <w:p w14:paraId="6CDC35F7" w14:textId="77777777" w:rsidR="00E7219D" w:rsidRPr="009115F7" w:rsidRDefault="00E7219D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67E73CF4" w14:textId="679FB0D3" w:rsidR="00D76B6F" w:rsidRPr="009115F7" w:rsidRDefault="00D76B6F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115F7">
        <w:rPr>
          <w:rFonts w:ascii="Arial" w:hAnsi="Arial" w:cs="Arial"/>
          <w:sz w:val="24"/>
          <w:szCs w:val="24"/>
          <w:shd w:val="clear" w:color="auto" w:fill="FFFFFF"/>
        </w:rPr>
        <w:t>Richards, P</w:t>
      </w:r>
      <w:r w:rsidR="007E1BE3" w:rsidRPr="009115F7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E1BE3" w:rsidRPr="009115F7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9115F7">
        <w:rPr>
          <w:rFonts w:ascii="Arial" w:hAnsi="Arial" w:cs="Arial"/>
          <w:sz w:val="24"/>
          <w:szCs w:val="24"/>
          <w:shd w:val="clear" w:color="auto" w:fill="FFFFFF"/>
        </w:rPr>
        <w:t>2019</w:t>
      </w:r>
      <w:r w:rsidR="007E1BE3" w:rsidRPr="009115F7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, Law of Contract PDF </w:t>
      </w:r>
      <w:proofErr w:type="spellStart"/>
      <w:r w:rsidRPr="009115F7">
        <w:rPr>
          <w:rFonts w:ascii="Arial" w:hAnsi="Arial" w:cs="Arial"/>
          <w:sz w:val="24"/>
          <w:szCs w:val="24"/>
          <w:shd w:val="clear" w:color="auto" w:fill="FFFFFF"/>
        </w:rPr>
        <w:t>EBook</w:t>
      </w:r>
      <w:proofErr w:type="spellEnd"/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, Pearson Education, Limited, Harlow. Available from: ProQuest </w:t>
      </w:r>
      <w:proofErr w:type="spellStart"/>
      <w:r w:rsidRPr="009115F7">
        <w:rPr>
          <w:rFonts w:ascii="Arial" w:hAnsi="Arial" w:cs="Arial"/>
          <w:sz w:val="24"/>
          <w:szCs w:val="24"/>
          <w:shd w:val="clear" w:color="auto" w:fill="FFFFFF"/>
        </w:rPr>
        <w:t>Ebook</w:t>
      </w:r>
      <w:proofErr w:type="spellEnd"/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 Central. [</w:t>
      </w:r>
      <w:r w:rsidR="00BD3DA5">
        <w:rPr>
          <w:rFonts w:ascii="Arial" w:hAnsi="Arial" w:cs="Arial"/>
          <w:sz w:val="24"/>
          <w:szCs w:val="24"/>
          <w:shd w:val="clear" w:color="auto" w:fill="FFFFFF"/>
        </w:rPr>
        <w:t>Accessed: 0</w:t>
      </w:r>
      <w:r w:rsidRPr="009115F7">
        <w:rPr>
          <w:rFonts w:ascii="Arial" w:hAnsi="Arial" w:cs="Arial"/>
          <w:sz w:val="24"/>
          <w:szCs w:val="24"/>
          <w:shd w:val="clear" w:color="auto" w:fill="FFFFFF"/>
        </w:rPr>
        <w:t>1 March 2022].</w:t>
      </w:r>
    </w:p>
    <w:p w14:paraId="02A26761" w14:textId="2B64B427" w:rsidR="00871FF3" w:rsidRPr="009115F7" w:rsidRDefault="00871FF3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516013B0" w14:textId="51692CE0" w:rsidR="00871FF3" w:rsidRPr="009115F7" w:rsidRDefault="00871FF3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bookmarkStart w:id="0" w:name="_Hlk97296422"/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Stone, R. and </w:t>
      </w:r>
      <w:proofErr w:type="spellStart"/>
      <w:r w:rsidRPr="009115F7">
        <w:rPr>
          <w:rFonts w:ascii="Arial" w:hAnsi="Arial" w:cs="Arial"/>
          <w:sz w:val="24"/>
          <w:szCs w:val="24"/>
          <w:shd w:val="clear" w:color="auto" w:fill="FFFFFF"/>
        </w:rPr>
        <w:t>Devenney</w:t>
      </w:r>
      <w:proofErr w:type="spellEnd"/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, J (2017) </w:t>
      </w:r>
      <w:bookmarkEnd w:id="0"/>
      <w:r w:rsidRPr="009115F7">
        <w:rPr>
          <w:rFonts w:ascii="Arial" w:hAnsi="Arial" w:cs="Arial"/>
          <w:i/>
          <w:iCs/>
          <w:sz w:val="24"/>
          <w:szCs w:val="24"/>
          <w:shd w:val="clear" w:color="auto" w:fill="FFFFFF"/>
        </w:rPr>
        <w:t>Text, Cases and Materials on Contract Law.</w:t>
      </w:r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 4</w:t>
      </w:r>
      <w:r w:rsidRPr="009115F7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9115F7">
        <w:rPr>
          <w:rFonts w:ascii="Arial" w:hAnsi="Arial" w:cs="Arial"/>
          <w:sz w:val="24"/>
          <w:szCs w:val="24"/>
          <w:shd w:val="clear" w:color="auto" w:fill="FFFFFF"/>
        </w:rPr>
        <w:t xml:space="preserve"> Edition. Taylor and Francis.</w:t>
      </w:r>
    </w:p>
    <w:p w14:paraId="5C701FC1" w14:textId="77777777" w:rsidR="00BD3DA5" w:rsidRDefault="00BD3DA5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29256334" w14:textId="77777777" w:rsidR="00BD3DA5" w:rsidRDefault="00BD3DA5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7520CEA7" w14:textId="547F0D13" w:rsidR="00BA01B4" w:rsidRPr="00BD3DA5" w:rsidRDefault="00BA01B4" w:rsidP="009115F7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115F7">
        <w:rPr>
          <w:rFonts w:ascii="Arial" w:eastAsia="Calibri" w:hAnsi="Arial" w:cs="Arial"/>
          <w:b/>
          <w:bCs/>
          <w:sz w:val="28"/>
          <w:szCs w:val="28"/>
        </w:rPr>
        <w:lastRenderedPageBreak/>
        <w:t>Case list</w:t>
      </w:r>
    </w:p>
    <w:p w14:paraId="1E0BE814" w14:textId="77777777" w:rsidR="009115F7" w:rsidRPr="009115F7" w:rsidRDefault="009115F7" w:rsidP="009115F7">
      <w:pPr>
        <w:spacing w:after="0" w:line="360" w:lineRule="auto"/>
        <w:rPr>
          <w:rFonts w:ascii="Arial" w:eastAsia="Calibri" w:hAnsi="Arial" w:cs="Arial"/>
          <w:b/>
          <w:bCs/>
          <w:sz w:val="28"/>
          <w:szCs w:val="28"/>
        </w:rPr>
      </w:pPr>
    </w:p>
    <w:p w14:paraId="19036148" w14:textId="45DAE3DD" w:rsidR="00E03578" w:rsidRDefault="00E03578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 w:rsidRPr="009115F7">
        <w:rPr>
          <w:rFonts w:ascii="Arial" w:eastAsia="Calibri" w:hAnsi="Arial" w:cs="Arial"/>
          <w:sz w:val="24"/>
          <w:szCs w:val="24"/>
        </w:rPr>
        <w:t xml:space="preserve">Adams v Lindsell (1818) </w:t>
      </w:r>
      <w:r w:rsidR="007A484E">
        <w:rPr>
          <w:rFonts w:ascii="Arial" w:eastAsia="Calibri" w:hAnsi="Arial" w:cs="Arial"/>
          <w:sz w:val="24"/>
          <w:szCs w:val="24"/>
        </w:rPr>
        <w:t xml:space="preserve">1 B &amp; </w:t>
      </w:r>
      <w:proofErr w:type="spellStart"/>
      <w:r w:rsidR="007A484E">
        <w:rPr>
          <w:rFonts w:ascii="Arial" w:eastAsia="Calibri" w:hAnsi="Arial" w:cs="Arial"/>
          <w:sz w:val="24"/>
          <w:szCs w:val="24"/>
        </w:rPr>
        <w:t>Ald</w:t>
      </w:r>
      <w:proofErr w:type="spellEnd"/>
      <w:r w:rsidR="007A484E">
        <w:rPr>
          <w:rFonts w:ascii="Arial" w:eastAsia="Calibri" w:hAnsi="Arial" w:cs="Arial"/>
          <w:sz w:val="24"/>
          <w:szCs w:val="24"/>
        </w:rPr>
        <w:t xml:space="preserve"> 681, </w:t>
      </w:r>
      <w:r w:rsidRPr="009115F7">
        <w:rPr>
          <w:rFonts w:ascii="Arial" w:eastAsia="Calibri" w:hAnsi="Arial" w:cs="Arial"/>
          <w:sz w:val="24"/>
          <w:szCs w:val="24"/>
        </w:rPr>
        <w:t>106 ER 250</w:t>
      </w:r>
      <w:r w:rsidR="007A484E">
        <w:rPr>
          <w:rFonts w:ascii="Arial" w:eastAsia="Calibri" w:hAnsi="Arial" w:cs="Arial"/>
          <w:sz w:val="24"/>
          <w:szCs w:val="24"/>
        </w:rPr>
        <w:t xml:space="preserve"> (KB)</w:t>
      </w:r>
    </w:p>
    <w:p w14:paraId="1E4DD163" w14:textId="77777777" w:rsidR="009115F7" w:rsidRPr="009115F7" w:rsidRDefault="009115F7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40F75EF0" w14:textId="2A667BC3" w:rsidR="00B07BA0" w:rsidRDefault="00B07BA0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 w:rsidRPr="009115F7">
        <w:rPr>
          <w:rFonts w:ascii="Arial" w:eastAsia="Calibri" w:hAnsi="Arial" w:cs="Arial"/>
          <w:sz w:val="24"/>
          <w:szCs w:val="24"/>
        </w:rPr>
        <w:t>Bolton v Mahadeva (1972) 1 WLR 1009 (CA)</w:t>
      </w:r>
    </w:p>
    <w:p w14:paraId="38A6B58B" w14:textId="77777777" w:rsidR="009115F7" w:rsidRPr="009115F7" w:rsidRDefault="009115F7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24C90156" w14:textId="7316CD62" w:rsidR="00C77A68" w:rsidRDefault="00C77A68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 w:rsidRPr="009115F7">
        <w:rPr>
          <w:rFonts w:ascii="Arial" w:eastAsia="Calibri" w:hAnsi="Arial" w:cs="Arial"/>
          <w:sz w:val="24"/>
          <w:szCs w:val="24"/>
        </w:rPr>
        <w:t xml:space="preserve">Cutter v Powell [1795] </w:t>
      </w:r>
      <w:r w:rsidR="007A484E">
        <w:rPr>
          <w:rFonts w:ascii="Arial" w:eastAsia="Calibri" w:hAnsi="Arial" w:cs="Arial"/>
          <w:sz w:val="24"/>
          <w:szCs w:val="24"/>
        </w:rPr>
        <w:t>6 Term Rep 320, 101 ER 573</w:t>
      </w:r>
    </w:p>
    <w:p w14:paraId="04A20703" w14:textId="77777777" w:rsidR="00BC4E75" w:rsidRDefault="00BC4E75" w:rsidP="00BC4E75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72BB6806" w14:textId="66D6361E" w:rsidR="00BC4E75" w:rsidRDefault="00BC4E75" w:rsidP="00BC4E75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Hoenig v Isaacs (1952) EWCA </w:t>
      </w:r>
      <w:proofErr w:type="spellStart"/>
      <w:r>
        <w:rPr>
          <w:rFonts w:ascii="Arial" w:eastAsia="Calibri" w:hAnsi="Arial" w:cs="Arial"/>
          <w:sz w:val="24"/>
          <w:szCs w:val="24"/>
        </w:rPr>
        <w:t>Civ</w:t>
      </w:r>
      <w:proofErr w:type="spellEnd"/>
      <w:r>
        <w:rPr>
          <w:rFonts w:ascii="Arial" w:eastAsia="Calibri" w:hAnsi="Arial" w:cs="Arial"/>
          <w:sz w:val="24"/>
          <w:szCs w:val="24"/>
        </w:rPr>
        <w:t xml:space="preserve"> 6, 2 All ER 176</w:t>
      </w:r>
    </w:p>
    <w:p w14:paraId="0624EF5A" w14:textId="77777777" w:rsidR="00BC4E75" w:rsidRDefault="00BC4E75" w:rsidP="00BC4E75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71FDC7F2" w14:textId="1A92A086" w:rsidR="00BC4E75" w:rsidRDefault="00BC4E75" w:rsidP="00BC4E75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Partridge v Crittenden (1968) IWLR 1204 (QB)</w:t>
      </w:r>
    </w:p>
    <w:p w14:paraId="62263A84" w14:textId="77777777" w:rsidR="00BC4E75" w:rsidRDefault="00BC4E75" w:rsidP="00BC4E75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1A53DF79" w14:textId="75DE09AD" w:rsidR="00BC4E75" w:rsidRDefault="00BC4E75" w:rsidP="00BC4E75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proofErr w:type="spellStart"/>
      <w:r w:rsidRPr="009115F7">
        <w:rPr>
          <w:rFonts w:ascii="Arial" w:eastAsia="Calibri" w:hAnsi="Arial" w:cs="Arial"/>
          <w:sz w:val="24"/>
          <w:szCs w:val="24"/>
        </w:rPr>
        <w:t>Planche</w:t>
      </w:r>
      <w:proofErr w:type="spellEnd"/>
      <w:r w:rsidRPr="009115F7">
        <w:rPr>
          <w:rFonts w:ascii="Arial" w:eastAsia="Calibri" w:hAnsi="Arial" w:cs="Arial"/>
          <w:sz w:val="24"/>
          <w:szCs w:val="24"/>
        </w:rPr>
        <w:t xml:space="preserve"> v Colburn (1831) EWHC KB J56</w:t>
      </w:r>
    </w:p>
    <w:p w14:paraId="060C20D3" w14:textId="77777777" w:rsidR="00BC4E75" w:rsidRDefault="00BC4E7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75744FB1" w14:textId="2E178A4E" w:rsidR="008E4E6F" w:rsidRDefault="007A484E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Re </w:t>
      </w:r>
      <w:r w:rsidR="008E4E6F" w:rsidRPr="009115F7">
        <w:rPr>
          <w:rFonts w:ascii="Arial" w:eastAsia="Calibri" w:hAnsi="Arial" w:cs="Arial"/>
          <w:sz w:val="24"/>
          <w:szCs w:val="24"/>
        </w:rPr>
        <w:t>McArdle (1951) Ch 669</w:t>
      </w:r>
      <w:r>
        <w:rPr>
          <w:rFonts w:ascii="Arial" w:eastAsia="Calibri" w:hAnsi="Arial" w:cs="Arial"/>
          <w:sz w:val="24"/>
          <w:szCs w:val="24"/>
        </w:rPr>
        <w:t xml:space="preserve"> (CA)</w:t>
      </w:r>
    </w:p>
    <w:p w14:paraId="54EE3F2D" w14:textId="77777777" w:rsidR="00BC4E75" w:rsidRDefault="00BC4E7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144F4CC0" w14:textId="1F558655" w:rsidR="00BC4E75" w:rsidRDefault="00BC4E7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Routledge v Grant (1828) 4 Bing 653, 130 ER 920</w:t>
      </w:r>
    </w:p>
    <w:p w14:paraId="2F0F2865" w14:textId="738D8966" w:rsidR="00BC4E75" w:rsidRDefault="00BC4E7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17DCFEAD" w14:textId="3CFF73B3" w:rsidR="00BC4E75" w:rsidRDefault="00BC4E7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R v Clarke (1927) 40 CLR 227</w:t>
      </w:r>
    </w:p>
    <w:p w14:paraId="52B69702" w14:textId="77777777" w:rsidR="00BC4E75" w:rsidRPr="009115F7" w:rsidRDefault="00BC4E7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36A429E1" w14:textId="50ABE9FE" w:rsidR="00BC4E75" w:rsidRDefault="00BC4E7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Stevenson</w:t>
      </w:r>
      <w:r>
        <w:rPr>
          <w:rFonts w:ascii="Arial" w:eastAsia="Calibri" w:hAnsi="Arial" w:cs="Arial"/>
          <w:sz w:val="24"/>
          <w:szCs w:val="24"/>
        </w:rPr>
        <w:t>,</w:t>
      </w:r>
      <w:r>
        <w:rPr>
          <w:rFonts w:ascii="Arial" w:eastAsia="Calibri" w:hAnsi="Arial" w:cs="Arial"/>
          <w:sz w:val="24"/>
          <w:szCs w:val="24"/>
        </w:rPr>
        <w:t xml:space="preserve"> Jacques &amp; Co v McLean (1880) 5 QBD 346</w:t>
      </w:r>
    </w:p>
    <w:p w14:paraId="12BD3476" w14:textId="77777777" w:rsidR="00BC4E75" w:rsidRDefault="00BC4E7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59C3FD0B" w14:textId="52E7693D" w:rsidR="00B07BA0" w:rsidRDefault="00B07BA0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 w:rsidRPr="009115F7">
        <w:rPr>
          <w:rFonts w:ascii="Arial" w:eastAsia="Calibri" w:hAnsi="Arial" w:cs="Arial"/>
          <w:sz w:val="24"/>
          <w:szCs w:val="24"/>
        </w:rPr>
        <w:t>Tweddle v Atkinson [1861] EWHC QB J57</w:t>
      </w:r>
    </w:p>
    <w:p w14:paraId="5E8D2FB9" w14:textId="696CC4EA" w:rsidR="00BC4E75" w:rsidRDefault="00BC4E7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12E5A68F" w14:textId="77777777" w:rsidR="00BC4E75" w:rsidRDefault="00BC4E7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3270F594" w14:textId="77777777" w:rsidR="00BC4E75" w:rsidRPr="009115F7" w:rsidRDefault="00BC4E75" w:rsidP="009115F7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333A2C58" w14:textId="3EF3399A" w:rsidR="00B07BA0" w:rsidRDefault="00B07BA0" w:rsidP="008E4E6F">
      <w:pPr>
        <w:rPr>
          <w:rFonts w:ascii="Arial" w:eastAsia="Calibri" w:hAnsi="Arial" w:cs="Arial"/>
          <w:sz w:val="24"/>
          <w:szCs w:val="24"/>
        </w:rPr>
      </w:pPr>
    </w:p>
    <w:sectPr w:rsidR="00B07BA0" w:rsidSect="006E607E">
      <w:footerReference w:type="default" r:id="rId9"/>
      <w:pgSz w:w="11906" w:h="16838"/>
      <w:pgMar w:top="1440" w:right="1440" w:bottom="1440" w:left="1418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50072C" w14:textId="77777777" w:rsidR="00AE68D4" w:rsidRDefault="00AE68D4" w:rsidP="00AE68D4">
      <w:pPr>
        <w:spacing w:after="0" w:line="240" w:lineRule="auto"/>
      </w:pPr>
      <w:r>
        <w:separator/>
      </w:r>
    </w:p>
  </w:endnote>
  <w:endnote w:type="continuationSeparator" w:id="0">
    <w:p w14:paraId="3958338E" w14:textId="77777777" w:rsidR="00AE68D4" w:rsidRDefault="00AE68D4" w:rsidP="00AE68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809723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FB08A8" w14:textId="7D570487" w:rsidR="006E607E" w:rsidRDefault="006E607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890FFB" w14:textId="77777777" w:rsidR="006E607E" w:rsidRDefault="006E60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8DEBFA" w14:textId="77777777" w:rsidR="00AE68D4" w:rsidRDefault="00AE68D4" w:rsidP="00AE68D4">
      <w:pPr>
        <w:spacing w:after="0" w:line="240" w:lineRule="auto"/>
      </w:pPr>
      <w:r>
        <w:separator/>
      </w:r>
    </w:p>
  </w:footnote>
  <w:footnote w:type="continuationSeparator" w:id="0">
    <w:p w14:paraId="38B6AE82" w14:textId="77777777" w:rsidR="00AE68D4" w:rsidRDefault="00AE68D4" w:rsidP="00AE68D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53071E"/>
    <w:multiLevelType w:val="hybridMultilevel"/>
    <w:tmpl w:val="429EF922"/>
    <w:lvl w:ilvl="0" w:tplc="2B80112A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3D472F"/>
    <w:multiLevelType w:val="hybridMultilevel"/>
    <w:tmpl w:val="CDC456EC"/>
    <w:lvl w:ilvl="0" w:tplc="789C5D2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78A649C2"/>
    <w:multiLevelType w:val="hybridMultilevel"/>
    <w:tmpl w:val="D45C4FB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A1MjI0MTI0N7E0MTRQ0lEKTi0uzszPAykwrAUA0UbPjywAAAA="/>
  </w:docVars>
  <w:rsids>
    <w:rsidRoot w:val="00AE68D4"/>
    <w:rsid w:val="00015533"/>
    <w:rsid w:val="00015EE5"/>
    <w:rsid w:val="000261C9"/>
    <w:rsid w:val="0004085F"/>
    <w:rsid w:val="000454C8"/>
    <w:rsid w:val="0008128E"/>
    <w:rsid w:val="00081BA8"/>
    <w:rsid w:val="00083536"/>
    <w:rsid w:val="000A66E4"/>
    <w:rsid w:val="001834DC"/>
    <w:rsid w:val="001A0E0E"/>
    <w:rsid w:val="001F7CB6"/>
    <w:rsid w:val="0020388B"/>
    <w:rsid w:val="0021629C"/>
    <w:rsid w:val="00292437"/>
    <w:rsid w:val="003818BC"/>
    <w:rsid w:val="00385AF1"/>
    <w:rsid w:val="003B6CA1"/>
    <w:rsid w:val="003F34F0"/>
    <w:rsid w:val="004136EF"/>
    <w:rsid w:val="004470DE"/>
    <w:rsid w:val="00494C75"/>
    <w:rsid w:val="00495105"/>
    <w:rsid w:val="004C1EE4"/>
    <w:rsid w:val="004C3452"/>
    <w:rsid w:val="004C770E"/>
    <w:rsid w:val="004D3EDA"/>
    <w:rsid w:val="004E7956"/>
    <w:rsid w:val="005127F3"/>
    <w:rsid w:val="005328DB"/>
    <w:rsid w:val="00562E25"/>
    <w:rsid w:val="00573F0C"/>
    <w:rsid w:val="005B0CFA"/>
    <w:rsid w:val="005F6C26"/>
    <w:rsid w:val="0060105A"/>
    <w:rsid w:val="006122B2"/>
    <w:rsid w:val="0066573C"/>
    <w:rsid w:val="006827D8"/>
    <w:rsid w:val="006B51FC"/>
    <w:rsid w:val="006D3808"/>
    <w:rsid w:val="006E607E"/>
    <w:rsid w:val="006F0F51"/>
    <w:rsid w:val="00706712"/>
    <w:rsid w:val="007216BF"/>
    <w:rsid w:val="00783D2C"/>
    <w:rsid w:val="00786F49"/>
    <w:rsid w:val="00791C9D"/>
    <w:rsid w:val="007A484E"/>
    <w:rsid w:val="007D16CB"/>
    <w:rsid w:val="007E1BE3"/>
    <w:rsid w:val="007E5E22"/>
    <w:rsid w:val="007F6CC2"/>
    <w:rsid w:val="00821D14"/>
    <w:rsid w:val="0083629E"/>
    <w:rsid w:val="008716C0"/>
    <w:rsid w:val="00871FF3"/>
    <w:rsid w:val="008757C7"/>
    <w:rsid w:val="008851E4"/>
    <w:rsid w:val="008B7D59"/>
    <w:rsid w:val="008D4AB4"/>
    <w:rsid w:val="008E4E6F"/>
    <w:rsid w:val="009115F7"/>
    <w:rsid w:val="00930EA5"/>
    <w:rsid w:val="0094488A"/>
    <w:rsid w:val="00950BB5"/>
    <w:rsid w:val="00954208"/>
    <w:rsid w:val="009810FF"/>
    <w:rsid w:val="00983F9E"/>
    <w:rsid w:val="009A2D4E"/>
    <w:rsid w:val="00A168BE"/>
    <w:rsid w:val="00A22C18"/>
    <w:rsid w:val="00A34426"/>
    <w:rsid w:val="00A6093A"/>
    <w:rsid w:val="00A978F6"/>
    <w:rsid w:val="00AE31C1"/>
    <w:rsid w:val="00AE68D4"/>
    <w:rsid w:val="00B07BA0"/>
    <w:rsid w:val="00B44CFF"/>
    <w:rsid w:val="00B71A66"/>
    <w:rsid w:val="00BA01B4"/>
    <w:rsid w:val="00BC4E75"/>
    <w:rsid w:val="00BD3DA5"/>
    <w:rsid w:val="00BF1EA4"/>
    <w:rsid w:val="00BF4830"/>
    <w:rsid w:val="00C35A98"/>
    <w:rsid w:val="00C5084D"/>
    <w:rsid w:val="00C702F7"/>
    <w:rsid w:val="00C7309C"/>
    <w:rsid w:val="00C77A68"/>
    <w:rsid w:val="00C83472"/>
    <w:rsid w:val="00C919DD"/>
    <w:rsid w:val="00C979DC"/>
    <w:rsid w:val="00D00DA5"/>
    <w:rsid w:val="00D714CF"/>
    <w:rsid w:val="00D719B7"/>
    <w:rsid w:val="00D76B6F"/>
    <w:rsid w:val="00D816A0"/>
    <w:rsid w:val="00DF61EA"/>
    <w:rsid w:val="00E03578"/>
    <w:rsid w:val="00E7219D"/>
    <w:rsid w:val="00E74BDF"/>
    <w:rsid w:val="00E83103"/>
    <w:rsid w:val="00E8658D"/>
    <w:rsid w:val="00E87B9D"/>
    <w:rsid w:val="00E97172"/>
    <w:rsid w:val="00E979E8"/>
    <w:rsid w:val="00EB4088"/>
    <w:rsid w:val="00EC3B1C"/>
    <w:rsid w:val="00EE5047"/>
    <w:rsid w:val="00EF7208"/>
    <w:rsid w:val="00F0417A"/>
    <w:rsid w:val="00F206B6"/>
    <w:rsid w:val="00F434A4"/>
    <w:rsid w:val="00F54A9D"/>
    <w:rsid w:val="00F7417B"/>
    <w:rsid w:val="00FB3644"/>
    <w:rsid w:val="00FF47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19EBDC"/>
  <w15:chartTrackingRefBased/>
  <w15:docId w15:val="{4ACEC740-9AB3-46D2-A1CE-A8CB37D6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E68D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68D4"/>
    <w:rPr>
      <w:rFonts w:eastAsiaTheme="minorEastAsia"/>
      <w:lang w:val="en-US"/>
    </w:rPr>
  </w:style>
  <w:style w:type="paragraph" w:customStyle="1" w:styleId="Title1">
    <w:name w:val="Title1"/>
    <w:basedOn w:val="Normal"/>
    <w:next w:val="Normal"/>
    <w:uiPriority w:val="10"/>
    <w:qFormat/>
    <w:rsid w:val="00AE68D4"/>
    <w:pPr>
      <w:spacing w:after="0" w:line="240" w:lineRule="auto"/>
      <w:contextualSpacing/>
    </w:pPr>
    <w:rPr>
      <w:rFonts w:ascii="Calibri Light" w:eastAsia="Times New Roman" w:hAnsi="Calibri Light" w:cs="Times New Roman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68D4"/>
    <w:rPr>
      <w:rFonts w:ascii="Calibri Light" w:eastAsia="Times New Roman" w:hAnsi="Calibri Light" w:cs="Times New Roman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0AE68D4"/>
    <w:pPr>
      <w:spacing w:after="0" w:line="240" w:lineRule="auto"/>
      <w:contextualSpacing/>
    </w:pPr>
    <w:rPr>
      <w:rFonts w:ascii="Calibri Light" w:eastAsia="Times New Roman" w:hAnsi="Calibri Light" w:cs="Times New Roman"/>
      <w:spacing w:val="-10"/>
      <w:kern w:val="28"/>
      <w:sz w:val="56"/>
      <w:szCs w:val="56"/>
    </w:rPr>
  </w:style>
  <w:style w:type="character" w:customStyle="1" w:styleId="TitleChar1">
    <w:name w:val="Title Char1"/>
    <w:basedOn w:val="DefaultParagraphFont"/>
    <w:uiPriority w:val="10"/>
    <w:rsid w:val="00AE68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AE68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68D4"/>
  </w:style>
  <w:style w:type="paragraph" w:styleId="Footer">
    <w:name w:val="footer"/>
    <w:basedOn w:val="Normal"/>
    <w:link w:val="FooterChar"/>
    <w:uiPriority w:val="99"/>
    <w:unhideWhenUsed/>
    <w:rsid w:val="00AE68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68D4"/>
  </w:style>
  <w:style w:type="paragraph" w:styleId="ListParagraph">
    <w:name w:val="List Paragraph"/>
    <w:basedOn w:val="Normal"/>
    <w:uiPriority w:val="34"/>
    <w:qFormat/>
    <w:rsid w:val="00AE31C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F48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48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5FB9D7E3A03451DB6ECE58F9E0C470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251246-88F0-452D-9E5B-4E13C8133DE3}"/>
      </w:docPartPr>
      <w:docPartBody>
        <w:p w:rsidR="004D79DD" w:rsidRDefault="00A01056" w:rsidP="00A01056">
          <w:pPr>
            <w:pStyle w:val="75FB9D7E3A03451DB6ECE58F9E0C470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86FB598B9E84C0CAF017E91D5AD8C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1354A1-756E-472F-ACFD-1FA65BDE50F7}"/>
      </w:docPartPr>
      <w:docPartBody>
        <w:p w:rsidR="004D79DD" w:rsidRDefault="00A01056" w:rsidP="00A01056">
          <w:pPr>
            <w:pStyle w:val="486FB598B9E84C0CAF017E91D5AD8C3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056"/>
    <w:rsid w:val="004D79DD"/>
    <w:rsid w:val="00A010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5FB9D7E3A03451DB6ECE58F9E0C470C">
    <w:name w:val="75FB9D7E3A03451DB6ECE58F9E0C470C"/>
    <w:rsid w:val="00A01056"/>
  </w:style>
  <w:style w:type="paragraph" w:customStyle="1" w:styleId="486FB598B9E84C0CAF017E91D5AD8C31">
    <w:name w:val="486FB598B9E84C0CAF017E91D5AD8C31"/>
    <w:rsid w:val="00A0105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1885</Words>
  <Characters>10746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CONTRACT LAW</vt:lpstr>
    </vt:vector>
  </TitlesOfParts>
  <Company/>
  <LinksUpToDate>false</LinksUpToDate>
  <CharactersWithSpaces>12606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CONTRACT LAW</dc:title>
  <dc:subject>BMLW5006</dc:subject>
  <dc:creator>Angharad Lewis</dc:creator>
  <cp:keywords/>
  <dc:description/>
  <cp:lastModifiedBy>Angharad Lewis</cp:lastModifiedBy>
  <cp:revision>2</cp:revision>
  <cp:lastPrinted>2022-03-04T22:12:00Z</cp:lastPrinted>
  <dcterms:created xsi:type="dcterms:W3CDTF">2022-03-04T22:19:00Z</dcterms:created>
  <dcterms:modified xsi:type="dcterms:W3CDTF">2022-03-04T22:19:00Z</dcterms:modified>
</cp:coreProperties>
</file>