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0DFEB" w14:textId="536F135A" w:rsidR="00A4475E" w:rsidRPr="000760A7" w:rsidRDefault="00A4475E" w:rsidP="00A4475E">
      <w:pPr>
        <w:jc w:val="center"/>
        <w:rPr>
          <w:sz w:val="24"/>
          <w:szCs w:val="24"/>
        </w:rPr>
      </w:pPr>
      <w:r w:rsidRPr="000760A7">
        <w:rPr>
          <w:i/>
          <w:sz w:val="24"/>
          <w:szCs w:val="24"/>
        </w:rPr>
        <w:t>The</w:t>
      </w:r>
      <w:r w:rsidR="00130A42" w:rsidRPr="000760A7">
        <w:rPr>
          <w:i/>
          <w:sz w:val="24"/>
          <w:szCs w:val="24"/>
        </w:rPr>
        <w:t xml:space="preserve"> Well-Tempered </w:t>
      </w:r>
      <w:proofErr w:type="gramStart"/>
      <w:r w:rsidR="00130A42" w:rsidRPr="000760A7">
        <w:rPr>
          <w:i/>
          <w:sz w:val="24"/>
          <w:szCs w:val="24"/>
        </w:rPr>
        <w:t>Reader :</w:t>
      </w:r>
      <w:proofErr w:type="gramEnd"/>
      <w:r w:rsidRPr="000760A7">
        <w:rPr>
          <w:i/>
          <w:sz w:val="24"/>
          <w:szCs w:val="24"/>
        </w:rPr>
        <w:t xml:space="preserve"> Renaissance</w:t>
      </w:r>
      <w:r w:rsidR="00130A42" w:rsidRPr="000760A7">
        <w:rPr>
          <w:i/>
          <w:sz w:val="24"/>
          <w:szCs w:val="24"/>
        </w:rPr>
        <w:t xml:space="preserve"> Poetics</w:t>
      </w:r>
    </w:p>
    <w:p w14:paraId="21AAE11C" w14:textId="77777777" w:rsidR="00A4475E" w:rsidRPr="000760A7" w:rsidRDefault="00A4475E" w:rsidP="00A4475E">
      <w:pPr>
        <w:jc w:val="center"/>
        <w:rPr>
          <w:sz w:val="24"/>
          <w:szCs w:val="24"/>
        </w:rPr>
      </w:pPr>
    </w:p>
    <w:p w14:paraId="65B2DC6D" w14:textId="77777777" w:rsidR="00F96D99" w:rsidRPr="000760A7" w:rsidRDefault="00F96D99" w:rsidP="00F96D99">
      <w:pPr>
        <w:rPr>
          <w:sz w:val="24"/>
          <w:szCs w:val="24"/>
          <w:lang w:val="en-GB"/>
        </w:rPr>
      </w:pPr>
    </w:p>
    <w:p w14:paraId="0053EC3B" w14:textId="77777777" w:rsidR="00F96D99" w:rsidRPr="000760A7" w:rsidRDefault="00F96D99" w:rsidP="00F96D99">
      <w:pPr>
        <w:jc w:val="center"/>
        <w:rPr>
          <w:b/>
          <w:bCs/>
          <w:sz w:val="24"/>
          <w:szCs w:val="24"/>
          <w:lang w:val="en-GB"/>
        </w:rPr>
      </w:pPr>
      <w:r w:rsidRPr="000760A7">
        <w:rPr>
          <w:b/>
          <w:bCs/>
          <w:sz w:val="24"/>
          <w:szCs w:val="24"/>
          <w:lang w:val="en-GB"/>
        </w:rPr>
        <w:t>Edmund Spenser</w:t>
      </w:r>
    </w:p>
    <w:p w14:paraId="2E9A33E1" w14:textId="77777777" w:rsidR="00F96D99" w:rsidRPr="000760A7" w:rsidRDefault="00F96D99" w:rsidP="00F96D99">
      <w:pPr>
        <w:jc w:val="center"/>
        <w:rPr>
          <w:sz w:val="24"/>
          <w:szCs w:val="24"/>
          <w:lang w:val="en-GB"/>
        </w:rPr>
      </w:pPr>
    </w:p>
    <w:p w14:paraId="6CC50B2A" w14:textId="77777777" w:rsidR="00F96D99" w:rsidRPr="000760A7" w:rsidRDefault="00F96D99" w:rsidP="00F96D99">
      <w:pPr>
        <w:jc w:val="center"/>
        <w:rPr>
          <w:i/>
          <w:sz w:val="24"/>
          <w:szCs w:val="24"/>
          <w:lang w:val="en-GB"/>
        </w:rPr>
      </w:pPr>
      <w:bookmarkStart w:id="0" w:name="Coteries_the_Areopagus"/>
      <w:r w:rsidRPr="000760A7">
        <w:rPr>
          <w:i/>
          <w:sz w:val="24"/>
          <w:szCs w:val="24"/>
          <w:lang w:val="en-GB"/>
        </w:rPr>
        <w:t>Coteries: The “Areopagus”</w:t>
      </w:r>
    </w:p>
    <w:p w14:paraId="5E4A3CF9" w14:textId="77777777" w:rsidR="00F96D99" w:rsidRPr="000760A7" w:rsidRDefault="00F96D99" w:rsidP="00F96D99">
      <w:pPr>
        <w:rPr>
          <w:sz w:val="24"/>
          <w:szCs w:val="24"/>
          <w:lang w:val="en-GB"/>
        </w:rPr>
      </w:pPr>
    </w:p>
    <w:p w14:paraId="6111F9E4" w14:textId="77777777" w:rsidR="00F96D99" w:rsidRPr="000760A7" w:rsidRDefault="00F96D99" w:rsidP="00F96D99">
      <w:pPr>
        <w:numPr>
          <w:ilvl w:val="0"/>
          <w:numId w:val="3"/>
        </w:numPr>
        <w:overflowPunct/>
        <w:autoSpaceDE/>
        <w:autoSpaceDN/>
        <w:adjustRightInd/>
        <w:rPr>
          <w:sz w:val="24"/>
          <w:szCs w:val="24"/>
          <w:lang w:val="en-GB"/>
        </w:rPr>
      </w:pPr>
      <w:r w:rsidRPr="000760A7">
        <w:rPr>
          <w:sz w:val="24"/>
          <w:szCs w:val="24"/>
          <w:lang w:val="en-GB"/>
        </w:rPr>
        <w:t xml:space="preserve">Spenser was associated with the “Areopagus,” the circle of poets or coterie that included Sir Philip Sidney and his friend Fulke Greville. </w:t>
      </w:r>
    </w:p>
    <w:p w14:paraId="3581BB02" w14:textId="77777777" w:rsidR="000760A7" w:rsidRDefault="000760A7" w:rsidP="000760A7">
      <w:pPr>
        <w:overflowPunct/>
        <w:autoSpaceDE/>
        <w:autoSpaceDN/>
        <w:adjustRightInd/>
        <w:ind w:left="720"/>
        <w:rPr>
          <w:sz w:val="24"/>
          <w:szCs w:val="24"/>
          <w:lang w:val="en-GB"/>
        </w:rPr>
      </w:pPr>
    </w:p>
    <w:p w14:paraId="09AC8D14" w14:textId="417B6295" w:rsidR="00F96D99" w:rsidRPr="000760A7" w:rsidRDefault="00F96D99" w:rsidP="00F96D99">
      <w:pPr>
        <w:numPr>
          <w:ilvl w:val="0"/>
          <w:numId w:val="3"/>
        </w:numPr>
        <w:overflowPunct/>
        <w:autoSpaceDE/>
        <w:autoSpaceDN/>
        <w:adjustRightInd/>
        <w:rPr>
          <w:sz w:val="24"/>
          <w:szCs w:val="24"/>
          <w:lang w:val="en-GB"/>
        </w:rPr>
      </w:pPr>
      <w:r w:rsidRPr="000760A7">
        <w:rPr>
          <w:sz w:val="24"/>
          <w:szCs w:val="24"/>
          <w:lang w:val="en-GB"/>
        </w:rPr>
        <w:t xml:space="preserve">They discussed such matters as the reform of English poetry, the use of classical metre in English verse, the possibility of integrating poetry and music, and the moral significance of literature. </w:t>
      </w:r>
    </w:p>
    <w:p w14:paraId="2DCF1782" w14:textId="77777777" w:rsidR="000760A7" w:rsidRDefault="000760A7" w:rsidP="000760A7">
      <w:pPr>
        <w:overflowPunct/>
        <w:autoSpaceDE/>
        <w:autoSpaceDN/>
        <w:adjustRightInd/>
        <w:ind w:left="720"/>
        <w:rPr>
          <w:sz w:val="24"/>
          <w:szCs w:val="24"/>
          <w:lang w:val="en-GB"/>
        </w:rPr>
      </w:pPr>
    </w:p>
    <w:p w14:paraId="3BACE54C" w14:textId="4CEFFD23" w:rsidR="00F96D99" w:rsidRPr="000760A7" w:rsidRDefault="00F96D99" w:rsidP="00F96D99">
      <w:pPr>
        <w:numPr>
          <w:ilvl w:val="0"/>
          <w:numId w:val="3"/>
        </w:numPr>
        <w:overflowPunct/>
        <w:autoSpaceDE/>
        <w:autoSpaceDN/>
        <w:adjustRightInd/>
        <w:rPr>
          <w:sz w:val="24"/>
          <w:szCs w:val="24"/>
          <w:lang w:val="en-GB"/>
        </w:rPr>
      </w:pPr>
      <w:r w:rsidRPr="000760A7">
        <w:rPr>
          <w:sz w:val="24"/>
          <w:szCs w:val="24"/>
          <w:lang w:val="en-GB"/>
        </w:rPr>
        <w:t xml:space="preserve">It was in this context that Sidney composed </w:t>
      </w:r>
      <w:r w:rsidRPr="000760A7">
        <w:rPr>
          <w:i/>
          <w:sz w:val="24"/>
          <w:szCs w:val="24"/>
          <w:lang w:val="en-GB"/>
        </w:rPr>
        <w:t>The Defence of Poesy</w:t>
      </w:r>
      <w:r w:rsidRPr="000760A7">
        <w:rPr>
          <w:sz w:val="24"/>
          <w:szCs w:val="24"/>
          <w:lang w:val="en-GB"/>
        </w:rPr>
        <w:t xml:space="preserve">, the first substantial critical treatise in English. </w:t>
      </w:r>
    </w:p>
    <w:p w14:paraId="470BCD55" w14:textId="77777777" w:rsidR="000760A7" w:rsidRDefault="000760A7" w:rsidP="000760A7">
      <w:pPr>
        <w:overflowPunct/>
        <w:autoSpaceDE/>
        <w:autoSpaceDN/>
        <w:adjustRightInd/>
        <w:ind w:left="720"/>
        <w:rPr>
          <w:sz w:val="24"/>
          <w:szCs w:val="24"/>
          <w:lang w:val="en-GB"/>
        </w:rPr>
      </w:pPr>
    </w:p>
    <w:p w14:paraId="72E574D1" w14:textId="7CC5B05D" w:rsidR="00F96D99" w:rsidRPr="000760A7" w:rsidRDefault="00F96D99" w:rsidP="00F96D99">
      <w:pPr>
        <w:numPr>
          <w:ilvl w:val="0"/>
          <w:numId w:val="3"/>
        </w:numPr>
        <w:overflowPunct/>
        <w:autoSpaceDE/>
        <w:autoSpaceDN/>
        <w:adjustRightInd/>
        <w:rPr>
          <w:sz w:val="24"/>
          <w:szCs w:val="24"/>
          <w:lang w:val="en-GB"/>
        </w:rPr>
      </w:pPr>
      <w:r w:rsidRPr="000760A7">
        <w:rPr>
          <w:sz w:val="24"/>
          <w:szCs w:val="24"/>
          <w:lang w:val="en-GB"/>
        </w:rPr>
        <w:t xml:space="preserve">The connection between Sidney and Spenser arose, however, through employment and family, for having made his first trip to Ireland, where he was later to serve as secretary to Arthur, Lord Grey of Wilton, and as a government official, gaining extensive Irish lands, Spenser entered the service of the powerful Earl of Leicester, Sidney’s uncle. </w:t>
      </w:r>
    </w:p>
    <w:bookmarkEnd w:id="0"/>
    <w:p w14:paraId="67BF5874" w14:textId="77777777" w:rsidR="00F96D99" w:rsidRPr="000760A7" w:rsidRDefault="00F96D99" w:rsidP="00F96D99">
      <w:pPr>
        <w:rPr>
          <w:sz w:val="24"/>
          <w:szCs w:val="24"/>
          <w:lang w:val="en-GB"/>
        </w:rPr>
      </w:pPr>
    </w:p>
    <w:p w14:paraId="32B154F3" w14:textId="77777777" w:rsidR="00F96D99" w:rsidRPr="000760A7" w:rsidRDefault="00F96D99" w:rsidP="00F96D99">
      <w:pPr>
        <w:rPr>
          <w:sz w:val="24"/>
          <w:szCs w:val="24"/>
          <w:lang w:val="en-GB"/>
        </w:rPr>
      </w:pPr>
    </w:p>
    <w:p w14:paraId="5814BCF3" w14:textId="77777777" w:rsidR="00F96D99" w:rsidRPr="000760A7" w:rsidRDefault="00F96D99" w:rsidP="00F96D99">
      <w:pPr>
        <w:jc w:val="center"/>
        <w:rPr>
          <w:i/>
          <w:sz w:val="24"/>
          <w:szCs w:val="24"/>
          <w:lang w:val="en-GB"/>
        </w:rPr>
      </w:pPr>
      <w:r w:rsidRPr="000760A7">
        <w:rPr>
          <w:i/>
          <w:sz w:val="24"/>
          <w:szCs w:val="24"/>
          <w:lang w:val="en-GB"/>
        </w:rPr>
        <w:t>Amoretti</w:t>
      </w:r>
    </w:p>
    <w:p w14:paraId="2EA1ABD7" w14:textId="77777777" w:rsidR="00F96D99" w:rsidRPr="000760A7" w:rsidRDefault="00F96D99" w:rsidP="00F96D99">
      <w:pPr>
        <w:rPr>
          <w:sz w:val="24"/>
          <w:szCs w:val="24"/>
          <w:lang w:val="en-GB"/>
        </w:rPr>
      </w:pPr>
    </w:p>
    <w:p w14:paraId="0B4A30B9" w14:textId="77777777" w:rsidR="00F96D99" w:rsidRPr="000760A7" w:rsidRDefault="00F96D99" w:rsidP="00F96D99">
      <w:pPr>
        <w:numPr>
          <w:ilvl w:val="0"/>
          <w:numId w:val="4"/>
        </w:numPr>
        <w:overflowPunct/>
        <w:autoSpaceDE/>
        <w:autoSpaceDN/>
        <w:adjustRightInd/>
        <w:rPr>
          <w:sz w:val="24"/>
          <w:szCs w:val="24"/>
          <w:lang w:val="en-GB"/>
        </w:rPr>
      </w:pPr>
      <w:r w:rsidRPr="000760A7">
        <w:rPr>
          <w:sz w:val="24"/>
          <w:szCs w:val="24"/>
          <w:lang w:val="en-GB"/>
        </w:rPr>
        <w:t xml:space="preserve">Spenser married Elizabeth Boyle and like Sidney, wrote </w:t>
      </w:r>
      <w:bookmarkStart w:id="1" w:name="Sonnet_Sequences"/>
      <w:r w:rsidRPr="000760A7">
        <w:rPr>
          <w:sz w:val="24"/>
          <w:szCs w:val="24"/>
          <w:lang w:val="en-GB"/>
        </w:rPr>
        <w:t xml:space="preserve">a sequence of sonnets entitled </w:t>
      </w:r>
      <w:r w:rsidRPr="000760A7">
        <w:rPr>
          <w:i/>
          <w:sz w:val="24"/>
          <w:szCs w:val="24"/>
          <w:lang w:val="en-GB"/>
        </w:rPr>
        <w:t>Amoretti</w:t>
      </w:r>
      <w:r w:rsidRPr="000760A7">
        <w:rPr>
          <w:sz w:val="24"/>
          <w:szCs w:val="24"/>
          <w:lang w:val="en-GB"/>
        </w:rPr>
        <w:t>, or little Cupids, little loves. This sequence seems to comprehend the cycle of courtship and marriage.</w:t>
      </w:r>
      <w:bookmarkEnd w:id="1"/>
    </w:p>
    <w:p w14:paraId="2ED0F47C" w14:textId="77777777" w:rsidR="000760A7" w:rsidRPr="000760A7" w:rsidRDefault="000760A7" w:rsidP="000760A7">
      <w:pPr>
        <w:overflowPunct/>
        <w:autoSpaceDE/>
        <w:autoSpaceDN/>
        <w:adjustRightInd/>
        <w:ind w:left="720"/>
        <w:rPr>
          <w:sz w:val="24"/>
          <w:szCs w:val="24"/>
          <w:lang w:val="en-GB"/>
        </w:rPr>
      </w:pPr>
      <w:bookmarkStart w:id="2" w:name="Elizabethan_Courtly_Style"/>
    </w:p>
    <w:p w14:paraId="383BE5FA" w14:textId="2AD0FEF0" w:rsidR="00F96D99" w:rsidRPr="000760A7" w:rsidRDefault="00F96D99" w:rsidP="00F96D99">
      <w:pPr>
        <w:numPr>
          <w:ilvl w:val="0"/>
          <w:numId w:val="4"/>
        </w:numPr>
        <w:overflowPunct/>
        <w:autoSpaceDE/>
        <w:autoSpaceDN/>
        <w:adjustRightInd/>
        <w:rPr>
          <w:sz w:val="24"/>
          <w:szCs w:val="24"/>
          <w:lang w:val="en-GB"/>
        </w:rPr>
      </w:pPr>
      <w:r w:rsidRPr="000760A7">
        <w:rPr>
          <w:i/>
          <w:sz w:val="24"/>
          <w:szCs w:val="24"/>
          <w:lang w:val="en-GB"/>
        </w:rPr>
        <w:t>Amoretti</w:t>
      </w:r>
      <w:r w:rsidRPr="000760A7">
        <w:rPr>
          <w:sz w:val="24"/>
          <w:szCs w:val="24"/>
          <w:lang w:val="en-GB"/>
        </w:rPr>
        <w:t xml:space="preserve"> is written in Elizabethan courtly style: Stylistically these poems differ from Wyatt’s plain style, in:</w:t>
      </w:r>
    </w:p>
    <w:p w14:paraId="6CF26735" w14:textId="77777777" w:rsidR="00F96D99" w:rsidRPr="000760A7" w:rsidRDefault="00F96D99" w:rsidP="00F96D99">
      <w:pPr>
        <w:numPr>
          <w:ilvl w:val="1"/>
          <w:numId w:val="4"/>
        </w:numPr>
        <w:overflowPunct/>
        <w:autoSpaceDE/>
        <w:autoSpaceDN/>
        <w:adjustRightInd/>
        <w:rPr>
          <w:sz w:val="24"/>
          <w:szCs w:val="24"/>
          <w:lang w:val="en-GB"/>
        </w:rPr>
      </w:pPr>
      <w:r w:rsidRPr="000760A7">
        <w:rPr>
          <w:sz w:val="24"/>
          <w:szCs w:val="24"/>
          <w:lang w:val="en-GB"/>
        </w:rPr>
        <w:t>their pictorial fluidity;</w:t>
      </w:r>
    </w:p>
    <w:p w14:paraId="2A6E4FB8" w14:textId="77777777" w:rsidR="00F96D99" w:rsidRPr="000760A7" w:rsidRDefault="00F96D99" w:rsidP="00F96D99">
      <w:pPr>
        <w:numPr>
          <w:ilvl w:val="1"/>
          <w:numId w:val="4"/>
        </w:numPr>
        <w:overflowPunct/>
        <w:autoSpaceDE/>
        <w:autoSpaceDN/>
        <w:adjustRightInd/>
        <w:rPr>
          <w:sz w:val="24"/>
          <w:szCs w:val="24"/>
          <w:lang w:val="en-GB"/>
        </w:rPr>
      </w:pPr>
      <w:r w:rsidRPr="000760A7">
        <w:rPr>
          <w:sz w:val="24"/>
          <w:szCs w:val="24"/>
          <w:lang w:val="en-GB"/>
        </w:rPr>
        <w:t>complex rhetorical patterns, which some contemporaries saw as ‘</w:t>
      </w:r>
      <w:r w:rsidRPr="000760A7">
        <w:rPr>
          <w:sz w:val="24"/>
          <w:szCs w:val="24"/>
        </w:rPr>
        <w:t>decorative’;</w:t>
      </w:r>
    </w:p>
    <w:p w14:paraId="64F51C3C" w14:textId="77777777" w:rsidR="00F96D99" w:rsidRPr="000760A7" w:rsidRDefault="00F96D99" w:rsidP="00F96D99">
      <w:pPr>
        <w:numPr>
          <w:ilvl w:val="1"/>
          <w:numId w:val="4"/>
        </w:numPr>
        <w:overflowPunct/>
        <w:autoSpaceDE/>
        <w:autoSpaceDN/>
        <w:adjustRightInd/>
        <w:rPr>
          <w:sz w:val="24"/>
          <w:szCs w:val="24"/>
          <w:lang w:val="en-GB"/>
        </w:rPr>
      </w:pPr>
      <w:r w:rsidRPr="000760A7">
        <w:rPr>
          <w:sz w:val="24"/>
          <w:szCs w:val="24"/>
          <w:lang w:val="en-GB"/>
        </w:rPr>
        <w:t>ornate “poetic” language rather than Wyatt’s almost colloquial, spoken language.</w:t>
      </w:r>
    </w:p>
    <w:p w14:paraId="326C1CC6" w14:textId="77777777" w:rsidR="000760A7" w:rsidRPr="000760A7" w:rsidRDefault="000760A7" w:rsidP="000760A7">
      <w:pPr>
        <w:tabs>
          <w:tab w:val="left" w:pos="-720"/>
        </w:tabs>
        <w:suppressAutoHyphens/>
        <w:overflowPunct/>
        <w:autoSpaceDE/>
        <w:autoSpaceDN/>
        <w:adjustRightInd/>
        <w:ind w:left="720"/>
        <w:rPr>
          <w:spacing w:val="-3"/>
          <w:sz w:val="24"/>
          <w:szCs w:val="24"/>
        </w:rPr>
      </w:pPr>
      <w:bookmarkStart w:id="3" w:name="Theory_of_Metaphor_and_the_Conceit"/>
      <w:bookmarkEnd w:id="2"/>
    </w:p>
    <w:p w14:paraId="2A491432" w14:textId="214014D6" w:rsidR="00F96D99" w:rsidRPr="000760A7" w:rsidRDefault="00F96D99" w:rsidP="00F96D99">
      <w:pPr>
        <w:numPr>
          <w:ilvl w:val="0"/>
          <w:numId w:val="4"/>
        </w:numPr>
        <w:tabs>
          <w:tab w:val="left" w:pos="-720"/>
        </w:tabs>
        <w:suppressAutoHyphens/>
        <w:overflowPunct/>
        <w:autoSpaceDE/>
        <w:autoSpaceDN/>
        <w:adjustRightInd/>
        <w:rPr>
          <w:spacing w:val="-3"/>
          <w:sz w:val="24"/>
          <w:szCs w:val="24"/>
        </w:rPr>
      </w:pPr>
      <w:r w:rsidRPr="000760A7">
        <w:rPr>
          <w:sz w:val="24"/>
          <w:szCs w:val="24"/>
          <w:lang w:val="en-GB"/>
        </w:rPr>
        <w:t>Appreciation of the opening poem in this sequence (</w:t>
      </w:r>
      <w:r w:rsidRPr="000760A7">
        <w:rPr>
          <w:i/>
          <w:sz w:val="24"/>
          <w:szCs w:val="24"/>
          <w:lang w:val="en-GB"/>
        </w:rPr>
        <w:t>Amoretti</w:t>
      </w:r>
      <w:r w:rsidRPr="000760A7">
        <w:rPr>
          <w:sz w:val="24"/>
          <w:szCs w:val="24"/>
          <w:lang w:val="en-GB"/>
        </w:rPr>
        <w:t xml:space="preserve">, Sonnet 1) depends on multiple relations and interaction between the parts of a series of metaphors. </w:t>
      </w:r>
      <w:r w:rsidRPr="000760A7">
        <w:rPr>
          <w:spacing w:val="-3"/>
          <w:sz w:val="24"/>
          <w:szCs w:val="24"/>
        </w:rPr>
        <w:t>In order to appreciate the distinct conceptual process of interaction, which gives rise to and opens out multiple points of varying degrees of similarity, we may look more closely at the ‘interaction view’ of Max Black.</w:t>
      </w:r>
      <w:r w:rsidRPr="000760A7">
        <w:rPr>
          <w:rStyle w:val="FootnoteReference"/>
          <w:spacing w:val="-3"/>
          <w:sz w:val="24"/>
          <w:szCs w:val="24"/>
        </w:rPr>
        <w:footnoteReference w:id="1"/>
      </w:r>
      <w:r w:rsidRPr="000760A7">
        <w:rPr>
          <w:spacing w:val="-3"/>
          <w:sz w:val="24"/>
          <w:szCs w:val="24"/>
        </w:rPr>
        <w:t xml:space="preserve"> In the ‘interaction view’, the sense of a metaphor ‘emerges as the result of a certain contextual action’.</w:t>
      </w:r>
      <w:r w:rsidRPr="000760A7">
        <w:rPr>
          <w:rStyle w:val="FootnoteReference"/>
          <w:spacing w:val="-3"/>
          <w:sz w:val="24"/>
          <w:szCs w:val="24"/>
        </w:rPr>
        <w:footnoteReference w:id="2"/>
      </w:r>
      <w:r w:rsidRPr="000760A7">
        <w:rPr>
          <w:spacing w:val="-3"/>
          <w:sz w:val="24"/>
          <w:szCs w:val="24"/>
        </w:rPr>
        <w:t xml:space="preserve"> In this action, the metaphorical </w:t>
      </w:r>
      <w:r w:rsidRPr="000760A7">
        <w:rPr>
          <w:spacing w:val="-3"/>
          <w:sz w:val="24"/>
          <w:szCs w:val="24"/>
        </w:rPr>
        <w:lastRenderedPageBreak/>
        <w:t>word or subsidiary subject is the focus, but this focus requires the frame of the sentence, the principal subject. Black says:</w:t>
      </w:r>
    </w:p>
    <w:p w14:paraId="2B52EAC7" w14:textId="77777777" w:rsidR="000760A7" w:rsidRDefault="000760A7" w:rsidP="00F96D99">
      <w:pPr>
        <w:tabs>
          <w:tab w:val="left" w:pos="-720"/>
        </w:tabs>
        <w:suppressAutoHyphens/>
        <w:ind w:left="720"/>
        <w:rPr>
          <w:spacing w:val="-3"/>
          <w:sz w:val="24"/>
          <w:szCs w:val="24"/>
        </w:rPr>
      </w:pPr>
    </w:p>
    <w:p w14:paraId="5098994E" w14:textId="46ABD311" w:rsidR="00F96D99" w:rsidRPr="000760A7" w:rsidRDefault="000760A7" w:rsidP="000760A7">
      <w:pPr>
        <w:tabs>
          <w:tab w:val="left" w:pos="-720"/>
          <w:tab w:val="left" w:pos="1418"/>
        </w:tabs>
        <w:suppressAutoHyphens/>
        <w:ind w:left="1418"/>
        <w:rPr>
          <w:spacing w:val="-3"/>
          <w:sz w:val="24"/>
          <w:szCs w:val="24"/>
        </w:rPr>
      </w:pPr>
      <w:r>
        <w:rPr>
          <w:spacing w:val="-3"/>
          <w:sz w:val="24"/>
          <w:szCs w:val="24"/>
        </w:rPr>
        <w:tab/>
      </w:r>
      <w:r w:rsidR="00F96D99" w:rsidRPr="000760A7">
        <w:rPr>
          <w:spacing w:val="-3"/>
          <w:sz w:val="24"/>
          <w:szCs w:val="24"/>
        </w:rPr>
        <w:t xml:space="preserve">This use of a “subsidiary subject” to foster insight into a “principal subject” is a distinctive </w:t>
      </w:r>
      <w:r w:rsidR="00F96D99" w:rsidRPr="000760A7">
        <w:rPr>
          <w:i/>
          <w:iCs/>
          <w:spacing w:val="-3"/>
          <w:sz w:val="24"/>
          <w:szCs w:val="24"/>
        </w:rPr>
        <w:t>intellectual</w:t>
      </w:r>
      <w:r w:rsidR="00F96D99" w:rsidRPr="000760A7">
        <w:rPr>
          <w:spacing w:val="-3"/>
          <w:sz w:val="24"/>
          <w:szCs w:val="24"/>
        </w:rPr>
        <w:t xml:space="preserve"> operation (though one familiar enough through our experiences of learning anything whatever), demanding simultaneous awareness of both subjects but not reducible to any </w:t>
      </w:r>
      <w:r w:rsidR="00F96D99" w:rsidRPr="000760A7">
        <w:rPr>
          <w:i/>
          <w:iCs/>
          <w:spacing w:val="-3"/>
          <w:sz w:val="24"/>
          <w:szCs w:val="24"/>
        </w:rPr>
        <w:t>comparison</w:t>
      </w:r>
      <w:r w:rsidR="00F96D99" w:rsidRPr="000760A7">
        <w:rPr>
          <w:spacing w:val="-3"/>
          <w:sz w:val="24"/>
          <w:szCs w:val="24"/>
        </w:rPr>
        <w:t xml:space="preserve"> between the two.</w:t>
      </w:r>
      <w:r w:rsidR="00F96D99" w:rsidRPr="000760A7">
        <w:rPr>
          <w:rStyle w:val="FootnoteReference"/>
          <w:spacing w:val="-3"/>
          <w:sz w:val="24"/>
          <w:szCs w:val="24"/>
        </w:rPr>
        <w:footnoteReference w:id="3"/>
      </w:r>
      <w:bookmarkEnd w:id="3"/>
    </w:p>
    <w:p w14:paraId="093E28B2" w14:textId="77777777" w:rsidR="00F96D99" w:rsidRPr="000760A7" w:rsidRDefault="00F96D99" w:rsidP="00F96D99">
      <w:pPr>
        <w:tabs>
          <w:tab w:val="left" w:pos="-720"/>
        </w:tabs>
        <w:suppressAutoHyphens/>
        <w:rPr>
          <w:spacing w:val="-3"/>
          <w:sz w:val="24"/>
          <w:szCs w:val="24"/>
        </w:rPr>
      </w:pPr>
    </w:p>
    <w:p w14:paraId="30ABE299" w14:textId="77777777" w:rsidR="00F96D99" w:rsidRPr="000760A7" w:rsidRDefault="00F96D99" w:rsidP="00F96D99">
      <w:pPr>
        <w:numPr>
          <w:ilvl w:val="0"/>
          <w:numId w:val="4"/>
        </w:numPr>
        <w:overflowPunct/>
        <w:autoSpaceDE/>
        <w:autoSpaceDN/>
        <w:adjustRightInd/>
        <w:rPr>
          <w:sz w:val="24"/>
          <w:szCs w:val="24"/>
          <w:lang w:val="en-GB"/>
        </w:rPr>
      </w:pPr>
      <w:r w:rsidRPr="000760A7">
        <w:rPr>
          <w:sz w:val="24"/>
          <w:szCs w:val="24"/>
          <w:lang w:val="en-GB"/>
        </w:rPr>
        <w:t xml:space="preserve">The opening quatrain of </w:t>
      </w:r>
      <w:r w:rsidRPr="000760A7">
        <w:rPr>
          <w:i/>
          <w:sz w:val="24"/>
          <w:szCs w:val="24"/>
          <w:lang w:val="en-GB"/>
        </w:rPr>
        <w:t>Amoretti</w:t>
      </w:r>
      <w:r w:rsidRPr="000760A7">
        <w:rPr>
          <w:sz w:val="24"/>
          <w:szCs w:val="24"/>
          <w:lang w:val="en-GB"/>
        </w:rPr>
        <w:t xml:space="preserve">, 1, compares the white vibrating leaves of </w:t>
      </w:r>
      <w:r w:rsidRPr="000760A7">
        <w:rPr>
          <w:i/>
          <w:sz w:val="24"/>
          <w:szCs w:val="24"/>
          <w:lang w:val="en-GB"/>
        </w:rPr>
        <w:t>Amoretti</w:t>
      </w:r>
      <w:r w:rsidRPr="000760A7">
        <w:rPr>
          <w:sz w:val="24"/>
          <w:szCs w:val="24"/>
          <w:lang w:val="en-GB"/>
        </w:rPr>
        <w:t xml:space="preserve"> held in the lady’s hands, to captives white and trembling before a triumphator who may take their lives. Ordinary captives’ hard bonds, in the associations of the subsidiary subject, correspond in the tenor to the soft fingers holding the book (and perhaps secondarily, if the book is bound, to the cords binding its quires). But since the lady’s hands are those ‘which hold my life in their dead doing might’, the simile functions as a complex metaphor, in whose embedded comparison it is the lover, conquered, who pretends to dread his mistress’ mood. Thus, vibrating leaves held in fingers resemble captives held in physical bonds and trembling with fear, who in turn resemble the poet trembling with emotions of love, whether at the thought of Elizabeth’s touch or of his life being figuratively in her hands. Moreover, since poet and book belong to the same field of discourse, the complex metaphor is of a very special form, in which the more distant subsidiary subject returns to the proximate literal chain, that is the situation of the poet and his beloved who is reading his poetry. The metaphor is really interestingly complex here because it is just possible that we may have construed the principal and subsidiary subjects incorrectly: the sonnet may be more about the lover than the book.</w:t>
      </w:r>
    </w:p>
    <w:p w14:paraId="3256A818" w14:textId="77777777" w:rsidR="000760A7" w:rsidRDefault="000760A7" w:rsidP="000760A7">
      <w:pPr>
        <w:overflowPunct/>
        <w:autoSpaceDE/>
        <w:autoSpaceDN/>
        <w:adjustRightInd/>
        <w:ind w:left="720"/>
        <w:rPr>
          <w:sz w:val="24"/>
          <w:szCs w:val="24"/>
          <w:lang w:val="en-GB"/>
        </w:rPr>
      </w:pPr>
    </w:p>
    <w:p w14:paraId="4D20C852" w14:textId="5F3FEC3C" w:rsidR="00F96D99" w:rsidRPr="000760A7" w:rsidRDefault="00F96D99" w:rsidP="00F96D99">
      <w:pPr>
        <w:numPr>
          <w:ilvl w:val="0"/>
          <w:numId w:val="4"/>
        </w:numPr>
        <w:overflowPunct/>
        <w:autoSpaceDE/>
        <w:autoSpaceDN/>
        <w:adjustRightInd/>
        <w:rPr>
          <w:sz w:val="24"/>
          <w:szCs w:val="24"/>
          <w:lang w:val="en-GB"/>
        </w:rPr>
      </w:pPr>
      <w:r w:rsidRPr="000760A7">
        <w:rPr>
          <w:sz w:val="24"/>
          <w:szCs w:val="24"/>
          <w:lang w:val="en-GB"/>
        </w:rPr>
        <w:t xml:space="preserve">Taking the metaphor of ‘lily hands’ into account brings us to even stranger ground. Lilies hold leaves too, so that there is almost some thought of a double subsidiary subject. At least, trembling of the lilies’ leaves is suggested, and with it an idea that Elizabeth’s hands may shake a little with the emotion the printed leaves are designed to arouse. The leaves will be happy, obviously, according to a poetic convention whereby a lover regards the ‘experience’ of objects enjoying physical contact with his mistress as enviable. Less obviously, they will be fortunate when the trembling they engender indicates the successful effect in Elizabeth of the poet’s courtship. Ambiguity here expresses a reciprocity of relation that distinguishes </w:t>
      </w:r>
      <w:r w:rsidRPr="000760A7">
        <w:rPr>
          <w:i/>
          <w:sz w:val="24"/>
          <w:szCs w:val="24"/>
          <w:lang w:val="en-GB"/>
        </w:rPr>
        <w:t>Amoretti</w:t>
      </w:r>
      <w:r w:rsidRPr="000760A7">
        <w:rPr>
          <w:sz w:val="24"/>
          <w:szCs w:val="24"/>
          <w:lang w:val="en-GB"/>
        </w:rPr>
        <w:t xml:space="preserve"> from most sonnet sequences.</w:t>
      </w:r>
    </w:p>
    <w:p w14:paraId="1608174F" w14:textId="77777777" w:rsidR="000760A7" w:rsidRDefault="000760A7" w:rsidP="000760A7">
      <w:pPr>
        <w:overflowPunct/>
        <w:autoSpaceDE/>
        <w:autoSpaceDN/>
        <w:adjustRightInd/>
        <w:ind w:left="720"/>
        <w:rPr>
          <w:sz w:val="24"/>
          <w:szCs w:val="24"/>
          <w:lang w:val="en-GB"/>
        </w:rPr>
      </w:pPr>
    </w:p>
    <w:p w14:paraId="7DB1C93A" w14:textId="7898B942" w:rsidR="00F96D99" w:rsidRPr="000760A7" w:rsidRDefault="00F96D99" w:rsidP="00F96D99">
      <w:pPr>
        <w:numPr>
          <w:ilvl w:val="0"/>
          <w:numId w:val="4"/>
        </w:numPr>
        <w:overflowPunct/>
        <w:autoSpaceDE/>
        <w:autoSpaceDN/>
        <w:adjustRightInd/>
        <w:rPr>
          <w:sz w:val="24"/>
          <w:szCs w:val="24"/>
          <w:lang w:val="en-GB"/>
        </w:rPr>
      </w:pPr>
      <w:r w:rsidRPr="000760A7">
        <w:rPr>
          <w:sz w:val="24"/>
          <w:szCs w:val="24"/>
          <w:lang w:val="en-GB"/>
        </w:rPr>
        <w:t xml:space="preserve">Succeeding metaphors of </w:t>
      </w:r>
      <w:r w:rsidRPr="000760A7">
        <w:rPr>
          <w:i/>
          <w:sz w:val="24"/>
          <w:szCs w:val="24"/>
          <w:lang w:val="en-GB"/>
        </w:rPr>
        <w:t>Amoretti</w:t>
      </w:r>
      <w:r w:rsidRPr="000760A7">
        <w:rPr>
          <w:sz w:val="24"/>
          <w:szCs w:val="24"/>
          <w:lang w:val="en-GB"/>
        </w:rPr>
        <w:t xml:space="preserve"> 1 become more abstract as they rise towards the world of Ideas. One sequence of discourse runs through aspects of the book: the material ‘leaves’; the communication of ‘lines’ looked on and ‘sorrows’ read; the poetic form, ‘rhymes’, drawn from higher vision. And corresponding aspects of the beloved ascend from ‘hands’, through ‘eyes’, to the ‘angel’s look’ in them – that is, from physical through animate to spiritual levels, thereby traversing the strata of creation. Each quatrain has an inset figure whose subsidiary subject anticipates the next level. ‘Victor’s sight’ looks on to ‘lamping </w:t>
      </w:r>
      <w:proofErr w:type="gramStart"/>
      <w:r w:rsidRPr="000760A7">
        <w:rPr>
          <w:sz w:val="24"/>
          <w:szCs w:val="24"/>
          <w:lang w:val="en-GB"/>
        </w:rPr>
        <w:t>eyes’</w:t>
      </w:r>
      <w:proofErr w:type="gramEnd"/>
      <w:r w:rsidRPr="000760A7">
        <w:rPr>
          <w:sz w:val="24"/>
          <w:szCs w:val="24"/>
          <w:lang w:val="en-GB"/>
        </w:rPr>
        <w:t xml:space="preserve"> and optical activity in the second quatrain; copious tears and blood flow towards the ‘sacred brook’ of the third. Finally, ‘bliss’ makes the end of the journey through souls (vegetable, animal, rational), just as it is the final cause, that is, the purpose of literary composition.</w:t>
      </w:r>
    </w:p>
    <w:p w14:paraId="2881B54D" w14:textId="77777777" w:rsidR="00F96D99" w:rsidRPr="000760A7" w:rsidRDefault="00F96D99" w:rsidP="00F96D99">
      <w:pPr>
        <w:rPr>
          <w:sz w:val="24"/>
          <w:szCs w:val="24"/>
          <w:lang w:val="en-GB"/>
        </w:rPr>
      </w:pPr>
    </w:p>
    <w:p w14:paraId="13150EF0" w14:textId="77777777" w:rsidR="00F96D99" w:rsidRPr="000760A7" w:rsidRDefault="00F96D99" w:rsidP="00F96D99">
      <w:pPr>
        <w:numPr>
          <w:ilvl w:val="0"/>
          <w:numId w:val="4"/>
        </w:numPr>
        <w:overflowPunct/>
        <w:autoSpaceDE/>
        <w:autoSpaceDN/>
        <w:adjustRightInd/>
        <w:rPr>
          <w:sz w:val="24"/>
          <w:szCs w:val="24"/>
        </w:rPr>
      </w:pPr>
      <w:bookmarkStart w:id="4" w:name="The_Blazon"/>
      <w:r w:rsidRPr="000760A7">
        <w:rPr>
          <w:i/>
          <w:sz w:val="24"/>
          <w:szCs w:val="24"/>
        </w:rPr>
        <w:t>Amoretti</w:t>
      </w:r>
      <w:r w:rsidRPr="000760A7">
        <w:rPr>
          <w:sz w:val="24"/>
          <w:szCs w:val="24"/>
        </w:rPr>
        <w:t xml:space="preserve">, 15, seems at first to have a much simpler figurative structure than </w:t>
      </w:r>
      <w:r w:rsidRPr="000760A7">
        <w:rPr>
          <w:i/>
          <w:sz w:val="24"/>
          <w:szCs w:val="24"/>
        </w:rPr>
        <w:t>Amoretti</w:t>
      </w:r>
      <w:r w:rsidRPr="000760A7">
        <w:rPr>
          <w:sz w:val="24"/>
          <w:szCs w:val="24"/>
        </w:rPr>
        <w:t xml:space="preserve">, 1. This sonnet consists of a catalogue of </w:t>
      </w:r>
      <w:proofErr w:type="gramStart"/>
      <w:r w:rsidRPr="000760A7">
        <w:rPr>
          <w:sz w:val="24"/>
          <w:szCs w:val="24"/>
        </w:rPr>
        <w:t>features</w:t>
      </w:r>
      <w:proofErr w:type="gramEnd"/>
      <w:r w:rsidRPr="000760A7">
        <w:rPr>
          <w:sz w:val="24"/>
          <w:szCs w:val="24"/>
        </w:rPr>
        <w:t xml:space="preserve"> and this kind of description was called a ‘blazon’, or more specifically, ‘anatomical blazon’, because it anatomizes the physical features or attributes of the beloved into her constituent parts. </w:t>
      </w:r>
    </w:p>
    <w:p w14:paraId="29EAB700" w14:textId="77777777" w:rsidR="00F96D99" w:rsidRPr="000760A7" w:rsidRDefault="00F96D99" w:rsidP="00F96D99">
      <w:pPr>
        <w:pStyle w:val="ListParagraph"/>
        <w:rPr>
          <w:spacing w:val="-3"/>
        </w:rPr>
      </w:pPr>
    </w:p>
    <w:p w14:paraId="2C7B3C1D" w14:textId="77777777" w:rsidR="00F96D99" w:rsidRPr="000760A7" w:rsidRDefault="00F96D99" w:rsidP="00F96D99">
      <w:pPr>
        <w:numPr>
          <w:ilvl w:val="0"/>
          <w:numId w:val="4"/>
        </w:numPr>
        <w:overflowPunct/>
        <w:autoSpaceDE/>
        <w:autoSpaceDN/>
        <w:adjustRightInd/>
        <w:rPr>
          <w:sz w:val="24"/>
          <w:szCs w:val="24"/>
        </w:rPr>
      </w:pPr>
      <w:r w:rsidRPr="000760A7">
        <w:rPr>
          <w:spacing w:val="-3"/>
          <w:sz w:val="24"/>
          <w:szCs w:val="24"/>
        </w:rPr>
        <w:t>The verb ‘to blazon’ ‘first appears in English in the sixteenth century</w:t>
      </w:r>
      <w:proofErr w:type="gramStart"/>
      <w:r w:rsidRPr="000760A7">
        <w:rPr>
          <w:spacing w:val="-3"/>
          <w:sz w:val="24"/>
          <w:szCs w:val="24"/>
        </w:rPr>
        <w:t>’, and</w:t>
      </w:r>
      <w:proofErr w:type="gramEnd"/>
      <w:r w:rsidRPr="000760A7">
        <w:rPr>
          <w:spacing w:val="-3"/>
          <w:sz w:val="24"/>
          <w:szCs w:val="24"/>
        </w:rPr>
        <w:t xml:space="preserve"> is used broadly for ‘to describe’ in a variety of heraldic, colourful or ornamental ways, and for ‘to publish vauntingly or boastfully’. The verb relates also to the English verb ‘to blaze’, ‘to proclaim . . . to publish . . . and, by extension, to defame or celebrate, to depict, to portray’. To blazon is, however, French in origin, from </w:t>
      </w:r>
      <w:proofErr w:type="spellStart"/>
      <w:r w:rsidRPr="000760A7">
        <w:rPr>
          <w:i/>
          <w:iCs/>
          <w:spacing w:val="-3"/>
          <w:sz w:val="24"/>
          <w:szCs w:val="24"/>
        </w:rPr>
        <w:t>blasonner</w:t>
      </w:r>
      <w:proofErr w:type="spellEnd"/>
      <w:r w:rsidRPr="000760A7">
        <w:rPr>
          <w:spacing w:val="-3"/>
          <w:sz w:val="24"/>
          <w:szCs w:val="24"/>
        </w:rPr>
        <w:t>, and although used so commonly there ‘that it signified little more than “to describe,” . . . its usage was rooted in two specific descriptive traditions, one heraldic and the other poetic’.</w:t>
      </w:r>
      <w:r w:rsidRPr="000760A7">
        <w:rPr>
          <w:rStyle w:val="FootnoteReference"/>
          <w:spacing w:val="-3"/>
          <w:sz w:val="24"/>
          <w:szCs w:val="24"/>
        </w:rPr>
        <w:footnoteReference w:id="4"/>
      </w:r>
      <w:r w:rsidRPr="000760A7">
        <w:rPr>
          <w:sz w:val="24"/>
          <w:szCs w:val="24"/>
        </w:rPr>
        <w:t xml:space="preserve"> However, ‘[</w:t>
      </w:r>
      <w:proofErr w:type="spellStart"/>
      <w:r w:rsidRPr="000760A7">
        <w:rPr>
          <w:sz w:val="24"/>
          <w:szCs w:val="24"/>
        </w:rPr>
        <w:t>i</w:t>
      </w:r>
      <w:proofErr w:type="spellEnd"/>
      <w:r w:rsidRPr="000760A7">
        <w:rPr>
          <w:sz w:val="24"/>
          <w:szCs w:val="24"/>
        </w:rPr>
        <w:t xml:space="preserve">]n the context of the anatomical </w:t>
      </w:r>
      <w:proofErr w:type="spellStart"/>
      <w:r w:rsidRPr="000760A7">
        <w:rPr>
          <w:i/>
          <w:sz w:val="24"/>
          <w:szCs w:val="24"/>
        </w:rPr>
        <w:t>blason</w:t>
      </w:r>
      <w:proofErr w:type="spellEnd"/>
      <w:r w:rsidRPr="000760A7">
        <w:rPr>
          <w:sz w:val="24"/>
          <w:szCs w:val="24"/>
        </w:rPr>
        <w:t>, the word is generally taken to have the sense of praise (when used as the title to a poem), with the word ‘</w:t>
      </w:r>
      <w:proofErr w:type="spellStart"/>
      <w:r w:rsidRPr="000760A7">
        <w:rPr>
          <w:i/>
          <w:sz w:val="24"/>
          <w:szCs w:val="24"/>
        </w:rPr>
        <w:t>contreblason</w:t>
      </w:r>
      <w:proofErr w:type="spellEnd"/>
      <w:r w:rsidRPr="000760A7">
        <w:rPr>
          <w:sz w:val="24"/>
          <w:szCs w:val="24"/>
        </w:rPr>
        <w:t>’ being coined to designate the opposite meaning of blame’ (p. 11).</w:t>
      </w:r>
      <w:r w:rsidRPr="000760A7">
        <w:rPr>
          <w:rStyle w:val="FootnoteReference"/>
          <w:sz w:val="24"/>
          <w:szCs w:val="24"/>
        </w:rPr>
        <w:footnoteReference w:id="5"/>
      </w:r>
    </w:p>
    <w:p w14:paraId="7B3FFDBA" w14:textId="77777777" w:rsidR="000760A7" w:rsidRPr="000760A7" w:rsidRDefault="000760A7" w:rsidP="000760A7">
      <w:pPr>
        <w:overflowPunct/>
        <w:autoSpaceDE/>
        <w:autoSpaceDN/>
        <w:adjustRightInd/>
        <w:ind w:left="720"/>
        <w:rPr>
          <w:sz w:val="24"/>
          <w:szCs w:val="24"/>
          <w:lang w:val="en-GB"/>
        </w:rPr>
      </w:pPr>
    </w:p>
    <w:p w14:paraId="0EBDF875" w14:textId="48CCFE2E" w:rsidR="00F96D99" w:rsidRPr="000760A7" w:rsidRDefault="00F96D99" w:rsidP="00F96D99">
      <w:pPr>
        <w:numPr>
          <w:ilvl w:val="0"/>
          <w:numId w:val="4"/>
        </w:numPr>
        <w:overflowPunct/>
        <w:autoSpaceDE/>
        <w:autoSpaceDN/>
        <w:adjustRightInd/>
        <w:rPr>
          <w:sz w:val="24"/>
          <w:szCs w:val="24"/>
          <w:lang w:val="en-GB"/>
        </w:rPr>
      </w:pPr>
      <w:r w:rsidRPr="000760A7">
        <w:rPr>
          <w:sz w:val="24"/>
          <w:szCs w:val="24"/>
        </w:rPr>
        <w:t xml:space="preserve">In </w:t>
      </w:r>
      <w:r w:rsidRPr="000760A7">
        <w:rPr>
          <w:i/>
          <w:sz w:val="24"/>
          <w:szCs w:val="24"/>
        </w:rPr>
        <w:t>Amoretti</w:t>
      </w:r>
      <w:r w:rsidRPr="000760A7">
        <w:rPr>
          <w:sz w:val="24"/>
          <w:szCs w:val="24"/>
        </w:rPr>
        <w:t>, 15, Spenser may be read as an enthusiastic salesman, as the sonnet ‘flatters the lady by treating her as a precious but as yet unexploited commodity’.</w:t>
      </w:r>
      <w:r w:rsidRPr="000760A7">
        <w:rPr>
          <w:rStyle w:val="FootnoteReference"/>
          <w:sz w:val="24"/>
          <w:szCs w:val="24"/>
        </w:rPr>
        <w:footnoteReference w:id="6"/>
      </w:r>
      <w:r w:rsidRPr="000760A7">
        <w:rPr>
          <w:sz w:val="24"/>
          <w:szCs w:val="24"/>
        </w:rPr>
        <w:t xml:space="preserve"> But according to Alastair Fowler, this appearance is deceptive. Spenser in fact criticizes the </w:t>
      </w:r>
      <w:proofErr w:type="gramStart"/>
      <w:r w:rsidRPr="000760A7">
        <w:rPr>
          <w:sz w:val="24"/>
          <w:szCs w:val="24"/>
        </w:rPr>
        <w:t>vain</w:t>
      </w:r>
      <w:proofErr w:type="gramEnd"/>
      <w:r w:rsidRPr="000760A7">
        <w:rPr>
          <w:sz w:val="24"/>
          <w:szCs w:val="24"/>
        </w:rPr>
        <w:t xml:space="preserve"> efforts of the ‘</w:t>
      </w:r>
      <w:proofErr w:type="spellStart"/>
      <w:r w:rsidRPr="000760A7">
        <w:rPr>
          <w:sz w:val="24"/>
          <w:szCs w:val="24"/>
        </w:rPr>
        <w:t>tradeful</w:t>
      </w:r>
      <w:proofErr w:type="spellEnd"/>
      <w:r w:rsidRPr="000760A7">
        <w:rPr>
          <w:sz w:val="24"/>
          <w:szCs w:val="24"/>
        </w:rPr>
        <w:t xml:space="preserve"> </w:t>
      </w:r>
      <w:proofErr w:type="gramStart"/>
      <w:r w:rsidRPr="000760A7">
        <w:rPr>
          <w:sz w:val="24"/>
          <w:szCs w:val="24"/>
        </w:rPr>
        <w:t>merchants’</w:t>
      </w:r>
      <w:proofErr w:type="gramEnd"/>
      <w:r w:rsidRPr="000760A7">
        <w:rPr>
          <w:sz w:val="24"/>
          <w:szCs w:val="24"/>
        </w:rPr>
        <w:t xml:space="preserve">. The conceit or understanding depends on complex metaphors. The last line does not imply that Elizabeth’s mind is adorned with virtues as her body with jewels, since her features do not merely wear, but are, figuratively, the jewels. The implication is rather that </w:t>
      </w:r>
      <w:r w:rsidRPr="000760A7">
        <w:rPr>
          <w:i/>
          <w:sz w:val="24"/>
          <w:szCs w:val="24"/>
        </w:rPr>
        <w:t>feature</w:t>
      </w:r>
      <w:r w:rsidRPr="000760A7">
        <w:rPr>
          <w:sz w:val="24"/>
          <w:szCs w:val="24"/>
        </w:rPr>
        <w:t xml:space="preserve"> (principal subject of metaphor) resembles </w:t>
      </w:r>
      <w:r w:rsidRPr="000760A7">
        <w:rPr>
          <w:i/>
          <w:sz w:val="24"/>
          <w:szCs w:val="24"/>
        </w:rPr>
        <w:t>jewel</w:t>
      </w:r>
      <w:r w:rsidRPr="000760A7">
        <w:rPr>
          <w:sz w:val="24"/>
          <w:szCs w:val="24"/>
        </w:rPr>
        <w:t xml:space="preserve"> (subsidiary subject) which resembles </w:t>
      </w:r>
      <w:r w:rsidRPr="000760A7">
        <w:rPr>
          <w:i/>
          <w:sz w:val="24"/>
          <w:szCs w:val="24"/>
        </w:rPr>
        <w:t>virtue</w:t>
      </w:r>
      <w:r w:rsidRPr="000760A7">
        <w:rPr>
          <w:sz w:val="24"/>
          <w:szCs w:val="24"/>
        </w:rPr>
        <w:t xml:space="preserve"> (secondary principal subject). All of this is compressed in the verb, in the final line, ‘adorned’.</w:t>
      </w:r>
      <w:r w:rsidRPr="000760A7">
        <w:rPr>
          <w:rStyle w:val="FootnoteReference"/>
          <w:sz w:val="24"/>
          <w:szCs w:val="24"/>
        </w:rPr>
        <w:footnoteReference w:id="7"/>
      </w:r>
      <w:bookmarkEnd w:id="4"/>
    </w:p>
    <w:p w14:paraId="28F164C4" w14:textId="77777777" w:rsidR="00F96D99" w:rsidRPr="000760A7" w:rsidRDefault="00F96D99" w:rsidP="00F96D99">
      <w:pPr>
        <w:rPr>
          <w:sz w:val="24"/>
          <w:szCs w:val="24"/>
          <w:lang w:val="en-GB"/>
        </w:rPr>
      </w:pPr>
    </w:p>
    <w:p w14:paraId="561EABBE" w14:textId="77777777" w:rsidR="00F96D99" w:rsidRPr="000760A7" w:rsidRDefault="00F96D99" w:rsidP="00F96D99">
      <w:pPr>
        <w:rPr>
          <w:sz w:val="24"/>
          <w:szCs w:val="24"/>
          <w:lang w:val="en-GB"/>
        </w:rPr>
      </w:pPr>
    </w:p>
    <w:p w14:paraId="6DC72FD6" w14:textId="77777777" w:rsidR="00A4475E" w:rsidRPr="000760A7" w:rsidRDefault="00A4475E" w:rsidP="00A4475E">
      <w:pPr>
        <w:jc w:val="center"/>
        <w:rPr>
          <w:sz w:val="24"/>
          <w:szCs w:val="24"/>
        </w:rPr>
      </w:pPr>
      <w:r w:rsidRPr="000760A7">
        <w:rPr>
          <w:sz w:val="24"/>
          <w:szCs w:val="24"/>
        </w:rPr>
        <w:t xml:space="preserve">Spenser, </w:t>
      </w:r>
      <w:r w:rsidRPr="000760A7">
        <w:rPr>
          <w:i/>
          <w:sz w:val="24"/>
          <w:szCs w:val="24"/>
        </w:rPr>
        <w:t>The Faerie Queene,</w:t>
      </w:r>
      <w:r w:rsidRPr="000760A7">
        <w:rPr>
          <w:sz w:val="24"/>
          <w:szCs w:val="24"/>
        </w:rPr>
        <w:t xml:space="preserve"> Book I</w:t>
      </w:r>
    </w:p>
    <w:p w14:paraId="0D83265F" w14:textId="77777777" w:rsidR="00A4475E" w:rsidRPr="000760A7" w:rsidRDefault="00A4475E" w:rsidP="00A4475E">
      <w:pPr>
        <w:jc w:val="both"/>
        <w:rPr>
          <w:sz w:val="24"/>
          <w:szCs w:val="24"/>
        </w:rPr>
      </w:pPr>
    </w:p>
    <w:p w14:paraId="7B63C746" w14:textId="77777777" w:rsidR="00A4475E" w:rsidRPr="000760A7" w:rsidRDefault="00A4475E" w:rsidP="00A4475E">
      <w:pPr>
        <w:jc w:val="both"/>
        <w:rPr>
          <w:sz w:val="24"/>
          <w:szCs w:val="24"/>
        </w:rPr>
      </w:pPr>
    </w:p>
    <w:p w14:paraId="3DE0D48C" w14:textId="77777777" w:rsidR="00A4475E" w:rsidRPr="000760A7" w:rsidRDefault="00A4475E" w:rsidP="00A4475E">
      <w:pPr>
        <w:numPr>
          <w:ilvl w:val="0"/>
          <w:numId w:val="1"/>
        </w:numPr>
        <w:rPr>
          <w:b/>
          <w:sz w:val="24"/>
          <w:szCs w:val="24"/>
        </w:rPr>
      </w:pPr>
      <w:r w:rsidRPr="000760A7">
        <w:rPr>
          <w:b/>
          <w:sz w:val="24"/>
          <w:szCs w:val="24"/>
        </w:rPr>
        <w:t>The general character of The Faerie Queene</w:t>
      </w:r>
    </w:p>
    <w:p w14:paraId="7546CC1C" w14:textId="77777777" w:rsidR="00A4475E" w:rsidRPr="000760A7" w:rsidRDefault="00A4475E" w:rsidP="00A4475E">
      <w:pPr>
        <w:numPr>
          <w:ilvl w:val="1"/>
          <w:numId w:val="1"/>
        </w:numPr>
        <w:rPr>
          <w:sz w:val="24"/>
          <w:szCs w:val="24"/>
        </w:rPr>
      </w:pPr>
      <w:r w:rsidRPr="000760A7">
        <w:rPr>
          <w:sz w:val="24"/>
          <w:szCs w:val="24"/>
        </w:rPr>
        <w:t>Nationalistic politics</w:t>
      </w:r>
    </w:p>
    <w:p w14:paraId="3811326D" w14:textId="77777777" w:rsidR="00A4475E" w:rsidRPr="000760A7" w:rsidRDefault="00A4475E" w:rsidP="00A4475E">
      <w:pPr>
        <w:numPr>
          <w:ilvl w:val="1"/>
          <w:numId w:val="1"/>
        </w:numPr>
        <w:rPr>
          <w:sz w:val="24"/>
          <w:szCs w:val="24"/>
        </w:rPr>
      </w:pPr>
      <w:r w:rsidRPr="000760A7">
        <w:rPr>
          <w:sz w:val="24"/>
          <w:szCs w:val="24"/>
        </w:rPr>
        <w:t>Protestant religiosity</w:t>
      </w:r>
    </w:p>
    <w:p w14:paraId="06C85AF0" w14:textId="77777777" w:rsidR="00A4475E" w:rsidRPr="000760A7" w:rsidRDefault="00A4475E" w:rsidP="00A4475E">
      <w:pPr>
        <w:numPr>
          <w:ilvl w:val="1"/>
          <w:numId w:val="1"/>
        </w:numPr>
        <w:rPr>
          <w:sz w:val="24"/>
          <w:szCs w:val="24"/>
        </w:rPr>
      </w:pPr>
      <w:r w:rsidRPr="000760A7">
        <w:rPr>
          <w:sz w:val="24"/>
          <w:szCs w:val="24"/>
        </w:rPr>
        <w:t>Humanist summation of mythology</w:t>
      </w:r>
    </w:p>
    <w:p w14:paraId="4F556CC6" w14:textId="77777777" w:rsidR="00A4475E" w:rsidRPr="000760A7" w:rsidRDefault="00A4475E" w:rsidP="00A4475E">
      <w:pPr>
        <w:numPr>
          <w:ilvl w:val="1"/>
          <w:numId w:val="1"/>
        </w:numPr>
        <w:rPr>
          <w:sz w:val="24"/>
          <w:szCs w:val="24"/>
        </w:rPr>
      </w:pPr>
      <w:r w:rsidRPr="000760A7">
        <w:rPr>
          <w:sz w:val="24"/>
          <w:szCs w:val="24"/>
        </w:rPr>
        <w:t>Literary anatomy of the imagination</w:t>
      </w:r>
    </w:p>
    <w:p w14:paraId="1B3ABBA1" w14:textId="77777777" w:rsidR="00A4475E" w:rsidRPr="000760A7" w:rsidRDefault="00A4475E" w:rsidP="00A4475E">
      <w:pPr>
        <w:rPr>
          <w:b/>
          <w:sz w:val="24"/>
          <w:szCs w:val="24"/>
        </w:rPr>
      </w:pPr>
    </w:p>
    <w:p w14:paraId="373CBED8" w14:textId="77777777" w:rsidR="00A4475E" w:rsidRPr="000760A7" w:rsidRDefault="00A4475E" w:rsidP="00A4475E">
      <w:pPr>
        <w:numPr>
          <w:ilvl w:val="0"/>
          <w:numId w:val="1"/>
        </w:numPr>
        <w:rPr>
          <w:b/>
          <w:sz w:val="24"/>
          <w:szCs w:val="24"/>
        </w:rPr>
      </w:pPr>
      <w:r w:rsidRPr="000760A7">
        <w:rPr>
          <w:b/>
          <w:sz w:val="24"/>
          <w:szCs w:val="24"/>
        </w:rPr>
        <w:t>Generic character</w:t>
      </w:r>
    </w:p>
    <w:p w14:paraId="30723684" w14:textId="77777777" w:rsidR="00A4475E" w:rsidRPr="000760A7" w:rsidRDefault="00A4475E" w:rsidP="00A4475E">
      <w:pPr>
        <w:numPr>
          <w:ilvl w:val="1"/>
          <w:numId w:val="1"/>
        </w:numPr>
        <w:rPr>
          <w:b/>
          <w:sz w:val="24"/>
          <w:szCs w:val="24"/>
        </w:rPr>
      </w:pPr>
      <w:r w:rsidRPr="000760A7">
        <w:rPr>
          <w:sz w:val="24"/>
          <w:szCs w:val="24"/>
        </w:rPr>
        <w:t xml:space="preserve">“Heroical poetry”’ (Sidney, </w:t>
      </w:r>
      <w:r w:rsidRPr="000760A7">
        <w:rPr>
          <w:i/>
          <w:sz w:val="24"/>
          <w:szCs w:val="24"/>
        </w:rPr>
        <w:t>Defence of Poesy</w:t>
      </w:r>
      <w:r w:rsidRPr="000760A7">
        <w:rPr>
          <w:sz w:val="24"/>
          <w:szCs w:val="24"/>
        </w:rPr>
        <w:t>)</w:t>
      </w:r>
    </w:p>
    <w:p w14:paraId="28A23BD3" w14:textId="77777777" w:rsidR="00A4475E" w:rsidRPr="000760A7" w:rsidRDefault="00A4475E" w:rsidP="00A4475E">
      <w:pPr>
        <w:numPr>
          <w:ilvl w:val="1"/>
          <w:numId w:val="1"/>
        </w:numPr>
        <w:rPr>
          <w:b/>
          <w:sz w:val="24"/>
          <w:szCs w:val="24"/>
        </w:rPr>
      </w:pPr>
      <w:r w:rsidRPr="000760A7">
        <w:rPr>
          <w:sz w:val="24"/>
          <w:szCs w:val="24"/>
        </w:rPr>
        <w:t>Epic</w:t>
      </w:r>
    </w:p>
    <w:p w14:paraId="72DDC745" w14:textId="77777777" w:rsidR="00A4475E" w:rsidRPr="000760A7" w:rsidRDefault="00A4475E" w:rsidP="00A4475E">
      <w:pPr>
        <w:numPr>
          <w:ilvl w:val="2"/>
          <w:numId w:val="1"/>
        </w:numPr>
        <w:rPr>
          <w:b/>
          <w:sz w:val="24"/>
          <w:szCs w:val="24"/>
        </w:rPr>
      </w:pPr>
      <w:r w:rsidRPr="000760A7">
        <w:rPr>
          <w:sz w:val="24"/>
          <w:szCs w:val="24"/>
        </w:rPr>
        <w:t xml:space="preserve">Homer, </w:t>
      </w:r>
      <w:r w:rsidRPr="000760A7">
        <w:rPr>
          <w:i/>
          <w:sz w:val="24"/>
          <w:szCs w:val="24"/>
        </w:rPr>
        <w:t>The Iliad</w:t>
      </w:r>
    </w:p>
    <w:p w14:paraId="4132960E" w14:textId="77777777" w:rsidR="00A4475E" w:rsidRPr="000760A7" w:rsidRDefault="00A4475E" w:rsidP="00A4475E">
      <w:pPr>
        <w:numPr>
          <w:ilvl w:val="2"/>
          <w:numId w:val="1"/>
        </w:numPr>
        <w:rPr>
          <w:b/>
          <w:sz w:val="24"/>
          <w:szCs w:val="24"/>
        </w:rPr>
      </w:pPr>
      <w:r w:rsidRPr="000760A7">
        <w:rPr>
          <w:sz w:val="24"/>
          <w:szCs w:val="24"/>
        </w:rPr>
        <w:t xml:space="preserve">Virgil, </w:t>
      </w:r>
      <w:r w:rsidRPr="000760A7">
        <w:rPr>
          <w:i/>
          <w:sz w:val="24"/>
          <w:szCs w:val="24"/>
        </w:rPr>
        <w:t>The Aeneid</w:t>
      </w:r>
    </w:p>
    <w:p w14:paraId="4CB377D1" w14:textId="77777777" w:rsidR="00A4475E" w:rsidRPr="000760A7" w:rsidRDefault="00A4475E" w:rsidP="00A4475E">
      <w:pPr>
        <w:numPr>
          <w:ilvl w:val="2"/>
          <w:numId w:val="1"/>
        </w:numPr>
        <w:rPr>
          <w:b/>
          <w:sz w:val="24"/>
          <w:szCs w:val="24"/>
        </w:rPr>
      </w:pPr>
      <w:r w:rsidRPr="000760A7">
        <w:rPr>
          <w:sz w:val="24"/>
          <w:szCs w:val="24"/>
        </w:rPr>
        <w:t xml:space="preserve">Romance epics such as Ariosto’s </w:t>
      </w:r>
      <w:r w:rsidRPr="000760A7">
        <w:rPr>
          <w:i/>
          <w:sz w:val="24"/>
          <w:szCs w:val="24"/>
        </w:rPr>
        <w:t>Orlando furioso</w:t>
      </w:r>
    </w:p>
    <w:p w14:paraId="1C0879E0" w14:textId="77777777" w:rsidR="00A4475E" w:rsidRPr="000760A7" w:rsidRDefault="00A4475E" w:rsidP="00A4475E">
      <w:pPr>
        <w:numPr>
          <w:ilvl w:val="1"/>
          <w:numId w:val="1"/>
        </w:numPr>
        <w:rPr>
          <w:b/>
          <w:sz w:val="24"/>
          <w:szCs w:val="24"/>
        </w:rPr>
      </w:pPr>
      <w:r w:rsidRPr="000760A7">
        <w:rPr>
          <w:sz w:val="24"/>
          <w:szCs w:val="24"/>
        </w:rPr>
        <w:lastRenderedPageBreak/>
        <w:t>Chivalric / Arthurian romance</w:t>
      </w:r>
    </w:p>
    <w:p w14:paraId="0C383DE6" w14:textId="77777777" w:rsidR="00A4475E" w:rsidRPr="000760A7" w:rsidRDefault="00A4475E" w:rsidP="00A4475E">
      <w:pPr>
        <w:ind w:left="1440"/>
        <w:rPr>
          <w:sz w:val="24"/>
          <w:szCs w:val="24"/>
        </w:rPr>
      </w:pPr>
    </w:p>
    <w:p w14:paraId="64AB6AE2" w14:textId="77777777" w:rsidR="00A4475E" w:rsidRPr="000760A7" w:rsidRDefault="00A4475E" w:rsidP="00A4475E">
      <w:pPr>
        <w:numPr>
          <w:ilvl w:val="0"/>
          <w:numId w:val="1"/>
        </w:numPr>
        <w:jc w:val="both"/>
        <w:rPr>
          <w:b/>
          <w:sz w:val="24"/>
          <w:szCs w:val="24"/>
        </w:rPr>
      </w:pPr>
      <w:r w:rsidRPr="000760A7">
        <w:rPr>
          <w:b/>
          <w:sz w:val="24"/>
          <w:szCs w:val="24"/>
        </w:rPr>
        <w:t>Spenser’s intention and the letter to Raleigh</w:t>
      </w:r>
    </w:p>
    <w:p w14:paraId="1F304123" w14:textId="77777777" w:rsidR="00A4475E" w:rsidRPr="000760A7" w:rsidRDefault="00A4475E" w:rsidP="00A4475E">
      <w:pPr>
        <w:numPr>
          <w:ilvl w:val="1"/>
          <w:numId w:val="1"/>
        </w:numPr>
        <w:jc w:val="both"/>
        <w:rPr>
          <w:b/>
          <w:sz w:val="24"/>
          <w:szCs w:val="24"/>
        </w:rPr>
      </w:pPr>
      <w:r w:rsidRPr="000760A7">
        <w:rPr>
          <w:sz w:val="24"/>
          <w:szCs w:val="24"/>
        </w:rPr>
        <w:t>‘Letter to Sir Walter Raleigh’ in the 1590 edition, at the end of Book III</w:t>
      </w:r>
    </w:p>
    <w:p w14:paraId="193F97CF" w14:textId="77777777" w:rsidR="00A4475E" w:rsidRPr="000760A7" w:rsidRDefault="00A4475E" w:rsidP="00A4475E">
      <w:pPr>
        <w:ind w:left="720"/>
        <w:jc w:val="both"/>
        <w:rPr>
          <w:b/>
          <w:sz w:val="24"/>
          <w:szCs w:val="24"/>
        </w:rPr>
      </w:pPr>
    </w:p>
    <w:p w14:paraId="37AFAD9A" w14:textId="77777777" w:rsidR="00A4475E" w:rsidRPr="000760A7" w:rsidRDefault="00A4475E" w:rsidP="00A4475E">
      <w:pPr>
        <w:numPr>
          <w:ilvl w:val="0"/>
          <w:numId w:val="1"/>
        </w:numPr>
        <w:jc w:val="both"/>
        <w:rPr>
          <w:b/>
          <w:sz w:val="24"/>
          <w:szCs w:val="24"/>
        </w:rPr>
      </w:pPr>
      <w:r w:rsidRPr="000760A7">
        <w:rPr>
          <w:b/>
          <w:sz w:val="24"/>
          <w:szCs w:val="24"/>
        </w:rPr>
        <w:t>The Faery Queen and the poem’s absent centre</w:t>
      </w:r>
    </w:p>
    <w:p w14:paraId="69A3B8C5" w14:textId="77777777" w:rsidR="00A4475E" w:rsidRPr="000760A7" w:rsidRDefault="00A4475E" w:rsidP="00A4475E">
      <w:pPr>
        <w:numPr>
          <w:ilvl w:val="1"/>
          <w:numId w:val="1"/>
        </w:numPr>
        <w:jc w:val="both"/>
        <w:rPr>
          <w:b/>
          <w:sz w:val="24"/>
          <w:szCs w:val="24"/>
        </w:rPr>
      </w:pPr>
      <w:r w:rsidRPr="000760A7">
        <w:rPr>
          <w:sz w:val="24"/>
          <w:szCs w:val="24"/>
        </w:rPr>
        <w:t>Political significance</w:t>
      </w:r>
    </w:p>
    <w:p w14:paraId="48F456E0" w14:textId="77777777" w:rsidR="00A4475E" w:rsidRPr="000760A7" w:rsidRDefault="00A4475E" w:rsidP="00A4475E">
      <w:pPr>
        <w:numPr>
          <w:ilvl w:val="2"/>
          <w:numId w:val="1"/>
        </w:numPr>
        <w:jc w:val="both"/>
        <w:rPr>
          <w:b/>
          <w:sz w:val="24"/>
          <w:szCs w:val="24"/>
        </w:rPr>
      </w:pPr>
      <w:r w:rsidRPr="000760A7">
        <w:rPr>
          <w:sz w:val="24"/>
          <w:szCs w:val="24"/>
        </w:rPr>
        <w:t>The proposed marriage of Gloriana and Arthur, whom Malory described as ‘the once and future king’, is a symbolic wedding of ancient British myth, legend and lineage with the reigning queen, but it is envisaged, a future-oriented gap which is never realised in the work as we have it.</w:t>
      </w:r>
    </w:p>
    <w:p w14:paraId="60B5AC22" w14:textId="77777777" w:rsidR="00A4475E" w:rsidRPr="000760A7" w:rsidRDefault="00A4475E" w:rsidP="00A4475E">
      <w:pPr>
        <w:numPr>
          <w:ilvl w:val="1"/>
          <w:numId w:val="1"/>
        </w:numPr>
        <w:jc w:val="both"/>
        <w:rPr>
          <w:sz w:val="24"/>
          <w:szCs w:val="24"/>
        </w:rPr>
      </w:pPr>
      <w:r w:rsidRPr="000760A7">
        <w:rPr>
          <w:sz w:val="24"/>
          <w:szCs w:val="24"/>
        </w:rPr>
        <w:t>Religious significance</w:t>
      </w:r>
    </w:p>
    <w:p w14:paraId="34998F9C" w14:textId="77777777" w:rsidR="00A4475E" w:rsidRPr="000760A7" w:rsidRDefault="00A4475E" w:rsidP="00A4475E">
      <w:pPr>
        <w:numPr>
          <w:ilvl w:val="2"/>
          <w:numId w:val="1"/>
        </w:numPr>
        <w:jc w:val="both"/>
        <w:rPr>
          <w:sz w:val="24"/>
          <w:szCs w:val="24"/>
        </w:rPr>
      </w:pPr>
      <w:r w:rsidRPr="000760A7">
        <w:rPr>
          <w:sz w:val="24"/>
          <w:szCs w:val="24"/>
        </w:rPr>
        <w:t>The Faery Queen as a religious symbol of the unrepresentable nature of the divine, the arena of divine knowledge and revelation to which no human being can have access</w:t>
      </w:r>
    </w:p>
    <w:p w14:paraId="022725CC" w14:textId="77777777" w:rsidR="00A4475E" w:rsidRPr="000760A7" w:rsidRDefault="00A4475E" w:rsidP="00A4475E">
      <w:pPr>
        <w:ind w:left="720"/>
        <w:rPr>
          <w:b/>
          <w:sz w:val="24"/>
          <w:szCs w:val="24"/>
        </w:rPr>
      </w:pPr>
    </w:p>
    <w:p w14:paraId="32E1B995" w14:textId="77777777" w:rsidR="00A4475E" w:rsidRPr="000760A7" w:rsidRDefault="00A4475E" w:rsidP="00A4475E">
      <w:pPr>
        <w:numPr>
          <w:ilvl w:val="0"/>
          <w:numId w:val="1"/>
        </w:numPr>
        <w:rPr>
          <w:b/>
          <w:sz w:val="24"/>
          <w:szCs w:val="24"/>
        </w:rPr>
      </w:pPr>
      <w:r w:rsidRPr="000760A7">
        <w:rPr>
          <w:b/>
          <w:sz w:val="24"/>
          <w:szCs w:val="24"/>
        </w:rPr>
        <w:t>The virtue of Book I</w:t>
      </w:r>
    </w:p>
    <w:p w14:paraId="189964FF" w14:textId="77777777" w:rsidR="00A4475E" w:rsidRPr="000760A7" w:rsidRDefault="00A4475E" w:rsidP="00A4475E">
      <w:pPr>
        <w:numPr>
          <w:ilvl w:val="1"/>
          <w:numId w:val="1"/>
        </w:numPr>
        <w:rPr>
          <w:sz w:val="24"/>
          <w:szCs w:val="24"/>
        </w:rPr>
      </w:pPr>
      <w:r w:rsidRPr="000760A7">
        <w:rPr>
          <w:sz w:val="24"/>
          <w:szCs w:val="24"/>
        </w:rPr>
        <w:t>The legend of St George</w:t>
      </w:r>
    </w:p>
    <w:p w14:paraId="4FC44947" w14:textId="77777777" w:rsidR="00A4475E" w:rsidRPr="000760A7" w:rsidRDefault="00A4475E" w:rsidP="00A4475E">
      <w:pPr>
        <w:numPr>
          <w:ilvl w:val="1"/>
          <w:numId w:val="1"/>
        </w:numPr>
        <w:rPr>
          <w:b/>
          <w:sz w:val="24"/>
          <w:szCs w:val="24"/>
        </w:rPr>
      </w:pPr>
      <w:r w:rsidRPr="000760A7">
        <w:rPr>
          <w:sz w:val="24"/>
          <w:szCs w:val="24"/>
        </w:rPr>
        <w:t>The Book of Revelation</w:t>
      </w:r>
    </w:p>
    <w:p w14:paraId="383BFCF0" w14:textId="77777777" w:rsidR="00A4475E" w:rsidRPr="000760A7" w:rsidRDefault="00A4475E" w:rsidP="00A4475E">
      <w:pPr>
        <w:ind w:left="720"/>
        <w:rPr>
          <w:b/>
          <w:sz w:val="24"/>
          <w:szCs w:val="24"/>
        </w:rPr>
      </w:pPr>
    </w:p>
    <w:p w14:paraId="70635C59" w14:textId="77777777" w:rsidR="00A4475E" w:rsidRPr="000760A7" w:rsidRDefault="00A4475E" w:rsidP="00A4475E">
      <w:pPr>
        <w:numPr>
          <w:ilvl w:val="0"/>
          <w:numId w:val="1"/>
        </w:numPr>
        <w:rPr>
          <w:b/>
          <w:sz w:val="24"/>
          <w:szCs w:val="24"/>
        </w:rPr>
      </w:pPr>
      <w:r w:rsidRPr="000760A7">
        <w:rPr>
          <w:b/>
          <w:sz w:val="24"/>
          <w:szCs w:val="24"/>
        </w:rPr>
        <w:t>Reading the virtues allegorically</w:t>
      </w:r>
    </w:p>
    <w:p w14:paraId="4A737552" w14:textId="77777777" w:rsidR="008F1BB3" w:rsidRPr="000760A7" w:rsidRDefault="008F1BB3" w:rsidP="008F1BB3">
      <w:pPr>
        <w:rPr>
          <w:sz w:val="24"/>
          <w:szCs w:val="24"/>
        </w:rPr>
      </w:pPr>
    </w:p>
    <w:p w14:paraId="1A9D47B9" w14:textId="77777777" w:rsidR="008F1BB3" w:rsidRPr="000760A7" w:rsidRDefault="008F1BB3" w:rsidP="008F1BB3">
      <w:pPr>
        <w:spacing w:line="360" w:lineRule="auto"/>
        <w:ind w:firstLine="360"/>
        <w:rPr>
          <w:sz w:val="24"/>
          <w:szCs w:val="24"/>
        </w:rPr>
      </w:pPr>
      <w:proofErr w:type="spellStart"/>
      <w:r w:rsidRPr="000760A7">
        <w:rPr>
          <w:sz w:val="24"/>
          <w:szCs w:val="24"/>
        </w:rPr>
        <w:t>Danté’s</w:t>
      </w:r>
      <w:proofErr w:type="spellEnd"/>
      <w:r w:rsidRPr="000760A7">
        <w:rPr>
          <w:sz w:val="24"/>
          <w:szCs w:val="24"/>
        </w:rPr>
        <w:t xml:space="preserve"> </w:t>
      </w:r>
      <w:r w:rsidRPr="000760A7">
        <w:rPr>
          <w:i/>
          <w:sz w:val="24"/>
          <w:szCs w:val="24"/>
        </w:rPr>
        <w:t>Divine Comedy</w:t>
      </w:r>
      <w:r w:rsidRPr="000760A7">
        <w:rPr>
          <w:sz w:val="24"/>
          <w:szCs w:val="24"/>
        </w:rPr>
        <w:t>:</w:t>
      </w:r>
    </w:p>
    <w:p w14:paraId="1ED554C2" w14:textId="77777777" w:rsidR="008F1BB3" w:rsidRPr="000760A7" w:rsidRDefault="008F1BB3" w:rsidP="008F1BB3">
      <w:pPr>
        <w:numPr>
          <w:ilvl w:val="0"/>
          <w:numId w:val="2"/>
        </w:numPr>
        <w:rPr>
          <w:sz w:val="24"/>
          <w:szCs w:val="24"/>
        </w:rPr>
      </w:pPr>
      <w:proofErr w:type="spellStart"/>
      <w:r w:rsidRPr="000760A7">
        <w:rPr>
          <w:i/>
          <w:sz w:val="24"/>
          <w:szCs w:val="24"/>
        </w:rPr>
        <w:t>sensus</w:t>
      </w:r>
      <w:proofErr w:type="spellEnd"/>
      <w:r w:rsidRPr="000760A7">
        <w:rPr>
          <w:i/>
          <w:sz w:val="24"/>
          <w:szCs w:val="24"/>
        </w:rPr>
        <w:t xml:space="preserve"> </w:t>
      </w:r>
      <w:proofErr w:type="spellStart"/>
      <w:r w:rsidRPr="000760A7">
        <w:rPr>
          <w:i/>
          <w:sz w:val="24"/>
          <w:szCs w:val="24"/>
        </w:rPr>
        <w:t>litteralis</w:t>
      </w:r>
      <w:proofErr w:type="spellEnd"/>
      <w:r w:rsidRPr="000760A7">
        <w:rPr>
          <w:sz w:val="24"/>
          <w:szCs w:val="24"/>
        </w:rPr>
        <w:t>, the “letter” or surface narrative that can be seen partially to mask, but also to reveal and give way to the other levels:</w:t>
      </w:r>
    </w:p>
    <w:p w14:paraId="79215411" w14:textId="77777777" w:rsidR="008F1BB3" w:rsidRPr="000760A7" w:rsidRDefault="008F1BB3" w:rsidP="008F1BB3">
      <w:pPr>
        <w:numPr>
          <w:ilvl w:val="0"/>
          <w:numId w:val="2"/>
        </w:numPr>
        <w:rPr>
          <w:sz w:val="24"/>
          <w:szCs w:val="24"/>
        </w:rPr>
      </w:pPr>
      <w:proofErr w:type="spellStart"/>
      <w:r w:rsidRPr="000760A7">
        <w:rPr>
          <w:i/>
          <w:sz w:val="24"/>
          <w:szCs w:val="24"/>
        </w:rPr>
        <w:t>sensus</w:t>
      </w:r>
      <w:proofErr w:type="spellEnd"/>
      <w:r w:rsidRPr="000760A7">
        <w:rPr>
          <w:i/>
          <w:sz w:val="24"/>
          <w:szCs w:val="24"/>
        </w:rPr>
        <w:t xml:space="preserve"> </w:t>
      </w:r>
      <w:proofErr w:type="spellStart"/>
      <w:r w:rsidRPr="000760A7">
        <w:rPr>
          <w:i/>
          <w:sz w:val="24"/>
          <w:szCs w:val="24"/>
        </w:rPr>
        <w:t>tropologicus</w:t>
      </w:r>
      <w:proofErr w:type="spellEnd"/>
      <w:r w:rsidRPr="000760A7">
        <w:rPr>
          <w:sz w:val="24"/>
          <w:szCs w:val="24"/>
        </w:rPr>
        <w:t>, the moral abstraction deriving from the narrative;</w:t>
      </w:r>
    </w:p>
    <w:p w14:paraId="0EA2F5DB" w14:textId="77777777" w:rsidR="008F1BB3" w:rsidRPr="000760A7" w:rsidRDefault="008F1BB3" w:rsidP="008F1BB3">
      <w:pPr>
        <w:numPr>
          <w:ilvl w:val="0"/>
          <w:numId w:val="2"/>
        </w:numPr>
        <w:rPr>
          <w:sz w:val="24"/>
          <w:szCs w:val="24"/>
        </w:rPr>
      </w:pPr>
      <w:proofErr w:type="spellStart"/>
      <w:r w:rsidRPr="000760A7">
        <w:rPr>
          <w:i/>
          <w:sz w:val="24"/>
          <w:szCs w:val="24"/>
        </w:rPr>
        <w:t>sensus</w:t>
      </w:r>
      <w:proofErr w:type="spellEnd"/>
      <w:r w:rsidRPr="000760A7">
        <w:rPr>
          <w:i/>
          <w:sz w:val="24"/>
          <w:szCs w:val="24"/>
        </w:rPr>
        <w:t xml:space="preserve"> </w:t>
      </w:r>
      <w:proofErr w:type="spellStart"/>
      <w:r w:rsidRPr="000760A7">
        <w:rPr>
          <w:i/>
          <w:sz w:val="24"/>
          <w:szCs w:val="24"/>
        </w:rPr>
        <w:t>allegoricus</w:t>
      </w:r>
      <w:proofErr w:type="spellEnd"/>
      <w:r w:rsidRPr="000760A7">
        <w:rPr>
          <w:sz w:val="24"/>
          <w:szCs w:val="24"/>
        </w:rPr>
        <w:t>, or typological meaning, wherein, for example, Old Testament events prefigure the incarnation, life, death, or resurrection of Jesus Christ;</w:t>
      </w:r>
    </w:p>
    <w:p w14:paraId="1CBE98C5" w14:textId="77777777" w:rsidR="008F1BB3" w:rsidRPr="000760A7" w:rsidRDefault="008F1BB3" w:rsidP="008F1BB3">
      <w:pPr>
        <w:numPr>
          <w:ilvl w:val="0"/>
          <w:numId w:val="2"/>
        </w:numPr>
        <w:rPr>
          <w:sz w:val="24"/>
          <w:szCs w:val="24"/>
        </w:rPr>
      </w:pPr>
      <w:proofErr w:type="spellStart"/>
      <w:r w:rsidRPr="000760A7">
        <w:rPr>
          <w:i/>
          <w:sz w:val="24"/>
          <w:szCs w:val="24"/>
        </w:rPr>
        <w:t>sensus</w:t>
      </w:r>
      <w:proofErr w:type="spellEnd"/>
      <w:r w:rsidRPr="000760A7">
        <w:rPr>
          <w:i/>
          <w:sz w:val="24"/>
          <w:szCs w:val="24"/>
        </w:rPr>
        <w:t xml:space="preserve"> </w:t>
      </w:r>
      <w:proofErr w:type="spellStart"/>
      <w:r w:rsidRPr="000760A7">
        <w:rPr>
          <w:i/>
          <w:sz w:val="24"/>
          <w:szCs w:val="24"/>
        </w:rPr>
        <w:t>anagogicus</w:t>
      </w:r>
      <w:proofErr w:type="spellEnd"/>
      <w:r w:rsidRPr="000760A7">
        <w:rPr>
          <w:sz w:val="24"/>
          <w:szCs w:val="24"/>
        </w:rPr>
        <w:t>, or anagogical meaning, the equivalent or corresponding eschatological (last things: death, judgement, heaven, and hell), soteriological (concerning salvation), or other religious event of individual or general import</w:t>
      </w:r>
    </w:p>
    <w:p w14:paraId="56F7789C" w14:textId="77777777" w:rsidR="008F1BB3" w:rsidRPr="000760A7" w:rsidRDefault="008F1BB3" w:rsidP="008F1BB3">
      <w:pPr>
        <w:rPr>
          <w:sz w:val="24"/>
          <w:szCs w:val="24"/>
        </w:rPr>
      </w:pPr>
    </w:p>
    <w:p w14:paraId="6EDAD79A" w14:textId="77777777" w:rsidR="008F1BB3" w:rsidRPr="000760A7" w:rsidRDefault="008F1BB3" w:rsidP="008F1BB3">
      <w:pPr>
        <w:ind w:left="360"/>
        <w:rPr>
          <w:spacing w:val="-3"/>
          <w:sz w:val="24"/>
          <w:szCs w:val="24"/>
        </w:rPr>
      </w:pPr>
      <w:r w:rsidRPr="000760A7">
        <w:rPr>
          <w:spacing w:val="-3"/>
          <w:sz w:val="24"/>
          <w:szCs w:val="24"/>
        </w:rPr>
        <w:t>Allegory, as a literary mode, lends itself in this way to the belief in universality. But the visible signs of language assimilate to themselves contingent historical and subjective meanings in addition to the more abstract universal moral and religious ones.</w:t>
      </w:r>
    </w:p>
    <w:p w14:paraId="2C387DE3" w14:textId="77777777" w:rsidR="008F1BB3" w:rsidRPr="000760A7" w:rsidRDefault="008F1BB3" w:rsidP="008F1BB3">
      <w:pPr>
        <w:rPr>
          <w:sz w:val="24"/>
          <w:szCs w:val="24"/>
        </w:rPr>
      </w:pPr>
    </w:p>
    <w:p w14:paraId="2EDAC861" w14:textId="1E8D7735" w:rsidR="00A4475E" w:rsidRPr="000760A7" w:rsidRDefault="00A4475E" w:rsidP="00A4475E">
      <w:pPr>
        <w:numPr>
          <w:ilvl w:val="1"/>
          <w:numId w:val="1"/>
        </w:numPr>
        <w:rPr>
          <w:sz w:val="24"/>
          <w:szCs w:val="24"/>
        </w:rPr>
      </w:pPr>
      <w:r w:rsidRPr="000760A7">
        <w:rPr>
          <w:sz w:val="24"/>
          <w:szCs w:val="24"/>
        </w:rPr>
        <w:t>Moral</w:t>
      </w:r>
    </w:p>
    <w:p w14:paraId="1A46096E" w14:textId="77777777" w:rsidR="00A4475E" w:rsidRPr="000760A7" w:rsidRDefault="00A4475E" w:rsidP="00A4475E">
      <w:pPr>
        <w:numPr>
          <w:ilvl w:val="2"/>
          <w:numId w:val="1"/>
        </w:numPr>
        <w:rPr>
          <w:sz w:val="24"/>
          <w:szCs w:val="24"/>
        </w:rPr>
      </w:pPr>
      <w:r w:rsidRPr="000760A7">
        <w:rPr>
          <w:sz w:val="24"/>
          <w:szCs w:val="24"/>
        </w:rPr>
        <w:t>Psychological</w:t>
      </w:r>
    </w:p>
    <w:p w14:paraId="0BE492C9" w14:textId="77777777" w:rsidR="00A4475E" w:rsidRPr="000760A7" w:rsidRDefault="00A4475E" w:rsidP="00A4475E">
      <w:pPr>
        <w:numPr>
          <w:ilvl w:val="2"/>
          <w:numId w:val="1"/>
        </w:numPr>
        <w:rPr>
          <w:sz w:val="24"/>
          <w:szCs w:val="24"/>
        </w:rPr>
      </w:pPr>
      <w:r w:rsidRPr="000760A7">
        <w:rPr>
          <w:sz w:val="24"/>
          <w:szCs w:val="24"/>
        </w:rPr>
        <w:t>Spiritual</w:t>
      </w:r>
    </w:p>
    <w:p w14:paraId="5ADFE9FB" w14:textId="77777777" w:rsidR="00A4475E" w:rsidRPr="000760A7" w:rsidRDefault="00A4475E" w:rsidP="00A4475E">
      <w:pPr>
        <w:numPr>
          <w:ilvl w:val="2"/>
          <w:numId w:val="1"/>
        </w:numPr>
        <w:rPr>
          <w:sz w:val="24"/>
          <w:szCs w:val="24"/>
        </w:rPr>
      </w:pPr>
      <w:r w:rsidRPr="000760A7">
        <w:rPr>
          <w:sz w:val="24"/>
          <w:szCs w:val="24"/>
        </w:rPr>
        <w:t xml:space="preserve">Prudentius, </w:t>
      </w:r>
      <w:r w:rsidRPr="000760A7">
        <w:rPr>
          <w:i/>
          <w:sz w:val="24"/>
          <w:szCs w:val="24"/>
        </w:rPr>
        <w:t>Psychomachia</w:t>
      </w:r>
    </w:p>
    <w:p w14:paraId="5B202E87" w14:textId="77777777" w:rsidR="00A4475E" w:rsidRPr="000760A7" w:rsidRDefault="00A4475E" w:rsidP="00A4475E">
      <w:pPr>
        <w:numPr>
          <w:ilvl w:val="1"/>
          <w:numId w:val="1"/>
        </w:numPr>
        <w:rPr>
          <w:sz w:val="24"/>
          <w:szCs w:val="24"/>
        </w:rPr>
      </w:pPr>
      <w:r w:rsidRPr="000760A7">
        <w:rPr>
          <w:sz w:val="24"/>
          <w:szCs w:val="24"/>
        </w:rPr>
        <w:t>Historical</w:t>
      </w:r>
    </w:p>
    <w:p w14:paraId="7CA5E3E8" w14:textId="77777777" w:rsidR="00A4475E" w:rsidRPr="000760A7" w:rsidRDefault="00A4475E" w:rsidP="00A4475E">
      <w:pPr>
        <w:numPr>
          <w:ilvl w:val="2"/>
          <w:numId w:val="1"/>
        </w:numPr>
        <w:rPr>
          <w:sz w:val="24"/>
          <w:szCs w:val="24"/>
        </w:rPr>
      </w:pPr>
      <w:r w:rsidRPr="000760A7">
        <w:rPr>
          <w:sz w:val="24"/>
          <w:szCs w:val="24"/>
        </w:rPr>
        <w:t>History of the true Church</w:t>
      </w:r>
    </w:p>
    <w:p w14:paraId="03252695" w14:textId="77777777" w:rsidR="00A4475E" w:rsidRPr="000760A7" w:rsidRDefault="00A4475E" w:rsidP="00A4475E">
      <w:pPr>
        <w:numPr>
          <w:ilvl w:val="2"/>
          <w:numId w:val="1"/>
        </w:numPr>
        <w:rPr>
          <w:sz w:val="24"/>
          <w:szCs w:val="24"/>
        </w:rPr>
      </w:pPr>
      <w:r w:rsidRPr="000760A7">
        <w:rPr>
          <w:sz w:val="24"/>
          <w:szCs w:val="24"/>
        </w:rPr>
        <w:t>The Reformation</w:t>
      </w:r>
    </w:p>
    <w:p w14:paraId="4345D9CD" w14:textId="77777777" w:rsidR="00A4475E" w:rsidRPr="000760A7" w:rsidRDefault="00A4475E" w:rsidP="00A4475E">
      <w:pPr>
        <w:numPr>
          <w:ilvl w:val="1"/>
          <w:numId w:val="1"/>
        </w:numPr>
        <w:rPr>
          <w:i/>
          <w:sz w:val="24"/>
          <w:szCs w:val="24"/>
        </w:rPr>
      </w:pPr>
      <w:r w:rsidRPr="000760A7">
        <w:rPr>
          <w:i/>
          <w:sz w:val="24"/>
          <w:szCs w:val="24"/>
        </w:rPr>
        <w:t>Allegoresis</w:t>
      </w:r>
    </w:p>
    <w:p w14:paraId="69C165BD" w14:textId="77777777" w:rsidR="00A4475E" w:rsidRPr="000760A7" w:rsidRDefault="00A4475E" w:rsidP="00A4475E">
      <w:pPr>
        <w:numPr>
          <w:ilvl w:val="1"/>
          <w:numId w:val="1"/>
        </w:numPr>
        <w:rPr>
          <w:sz w:val="24"/>
          <w:szCs w:val="24"/>
        </w:rPr>
      </w:pPr>
      <w:r w:rsidRPr="000760A7">
        <w:rPr>
          <w:sz w:val="24"/>
          <w:szCs w:val="24"/>
        </w:rPr>
        <w:t>Allegory as:</w:t>
      </w:r>
    </w:p>
    <w:p w14:paraId="3B68F374" w14:textId="77777777" w:rsidR="00A4475E" w:rsidRPr="000760A7" w:rsidRDefault="00A4475E" w:rsidP="00A4475E">
      <w:pPr>
        <w:numPr>
          <w:ilvl w:val="2"/>
          <w:numId w:val="1"/>
        </w:numPr>
        <w:rPr>
          <w:sz w:val="24"/>
          <w:szCs w:val="24"/>
        </w:rPr>
      </w:pPr>
      <w:r w:rsidRPr="000760A7">
        <w:rPr>
          <w:sz w:val="24"/>
          <w:szCs w:val="24"/>
        </w:rPr>
        <w:t>a vertically organized spatial hierarchy of meanings</w:t>
      </w:r>
    </w:p>
    <w:p w14:paraId="44508348" w14:textId="77777777" w:rsidR="00A4475E" w:rsidRPr="000760A7" w:rsidRDefault="00A4475E" w:rsidP="00A4475E">
      <w:pPr>
        <w:numPr>
          <w:ilvl w:val="2"/>
          <w:numId w:val="1"/>
        </w:numPr>
        <w:rPr>
          <w:sz w:val="24"/>
          <w:szCs w:val="24"/>
        </w:rPr>
      </w:pPr>
      <w:r w:rsidRPr="000760A7">
        <w:rPr>
          <w:sz w:val="24"/>
          <w:szCs w:val="24"/>
        </w:rPr>
        <w:t>simultaneous signifying multiple meaning - polysemy</w:t>
      </w:r>
    </w:p>
    <w:p w14:paraId="26AB8323" w14:textId="77777777" w:rsidR="00D94767" w:rsidRPr="000760A7" w:rsidRDefault="00D94767" w:rsidP="00D94767">
      <w:pPr>
        <w:spacing w:line="360" w:lineRule="auto"/>
        <w:rPr>
          <w:spacing w:val="-3"/>
          <w:sz w:val="24"/>
          <w:szCs w:val="24"/>
        </w:rPr>
      </w:pPr>
    </w:p>
    <w:p w14:paraId="1CD2A8D0" w14:textId="77777777" w:rsidR="00A4475E" w:rsidRPr="000760A7" w:rsidRDefault="00A4475E" w:rsidP="00A4475E">
      <w:pPr>
        <w:spacing w:line="360" w:lineRule="auto"/>
        <w:jc w:val="both"/>
        <w:rPr>
          <w:sz w:val="24"/>
          <w:szCs w:val="24"/>
        </w:rPr>
      </w:pPr>
    </w:p>
    <w:sectPr w:rsidR="00A4475E" w:rsidRPr="000760A7" w:rsidSect="00ED5E1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25F76" w14:textId="77777777" w:rsidR="00107679" w:rsidRDefault="00107679" w:rsidP="0031561A">
      <w:r>
        <w:separator/>
      </w:r>
    </w:p>
  </w:endnote>
  <w:endnote w:type="continuationSeparator" w:id="0">
    <w:p w14:paraId="16DF30BE" w14:textId="77777777" w:rsidR="00107679" w:rsidRDefault="00107679" w:rsidP="00315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altName w:val="Times New Roman"/>
    <w:panose1 w:val="02020603050405020304"/>
    <w:charset w:val="00"/>
    <w:family w:val="roman"/>
    <w:pitch w:val="variable"/>
    <w:sig w:usb0="E0002EFF" w:usb1="C000785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SimSun">
    <w:altName w:val="???????????????????????????????"/>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803419"/>
      <w:docPartObj>
        <w:docPartGallery w:val="Page Numbers (Bottom of Page)"/>
        <w:docPartUnique/>
      </w:docPartObj>
    </w:sdtPr>
    <w:sdtEndPr>
      <w:rPr>
        <w:noProof/>
      </w:rPr>
    </w:sdtEndPr>
    <w:sdtContent>
      <w:p w14:paraId="4157A228" w14:textId="3CCFB16C" w:rsidR="00452CD5" w:rsidRDefault="00452C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250755" w14:textId="77777777" w:rsidR="00452CD5" w:rsidRDefault="00452C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0390A0" w14:textId="77777777" w:rsidR="00107679" w:rsidRDefault="00107679" w:rsidP="0031561A">
      <w:r>
        <w:separator/>
      </w:r>
    </w:p>
  </w:footnote>
  <w:footnote w:type="continuationSeparator" w:id="0">
    <w:p w14:paraId="7819E8B5" w14:textId="77777777" w:rsidR="00107679" w:rsidRDefault="00107679" w:rsidP="0031561A">
      <w:r>
        <w:continuationSeparator/>
      </w:r>
    </w:p>
  </w:footnote>
  <w:footnote w:id="1">
    <w:p w14:paraId="4FB378E3" w14:textId="3F010D90" w:rsidR="00F96D99" w:rsidRPr="00271C4D" w:rsidRDefault="00F96D99" w:rsidP="00F96D99">
      <w:pPr>
        <w:pStyle w:val="FootnoteText"/>
        <w:rPr>
          <w:rFonts w:ascii="Garamond" w:hAnsi="Garamond"/>
        </w:rPr>
      </w:pPr>
      <w:r w:rsidRPr="00271C4D">
        <w:rPr>
          <w:rStyle w:val="FootnoteReference"/>
          <w:rFonts w:ascii="Garamond" w:hAnsi="Garamond"/>
        </w:rPr>
        <w:footnoteRef/>
      </w:r>
      <w:r w:rsidRPr="00271C4D">
        <w:rPr>
          <w:rFonts w:ascii="Garamond" w:hAnsi="Garamond"/>
        </w:rPr>
        <w:t xml:space="preserve"> </w:t>
      </w:r>
      <w:r w:rsidR="000760A7">
        <w:rPr>
          <w:rFonts w:ascii="Garamond" w:hAnsi="Garamond"/>
        </w:rPr>
        <w:t xml:space="preserve">Max </w:t>
      </w:r>
      <w:proofErr w:type="gramStart"/>
      <w:r w:rsidRPr="00271C4D">
        <w:rPr>
          <w:rFonts w:ascii="Garamond" w:hAnsi="Garamond"/>
        </w:rPr>
        <w:t>Black</w:t>
      </w:r>
      <w:r w:rsidR="000760A7">
        <w:rPr>
          <w:rFonts w:ascii="Garamond" w:hAnsi="Garamond"/>
        </w:rPr>
        <w:t xml:space="preserve"> </w:t>
      </w:r>
      <w:r w:rsidRPr="00271C4D">
        <w:rPr>
          <w:rFonts w:ascii="Garamond" w:hAnsi="Garamond"/>
        </w:rPr>
        <w:t>lists</w:t>
      </w:r>
      <w:proofErr w:type="gramEnd"/>
      <w:r w:rsidRPr="00271C4D">
        <w:rPr>
          <w:rFonts w:ascii="Garamond" w:hAnsi="Garamond"/>
        </w:rPr>
        <w:t xml:space="preserve"> these </w:t>
      </w:r>
      <w:r w:rsidRPr="00CC6117">
        <w:rPr>
          <w:rFonts w:ascii="Garamond" w:hAnsi="Garamond"/>
        </w:rPr>
        <w:t>claims on pp. 291-92 of ‘Metaphor’,</w:t>
      </w:r>
      <w:r w:rsidRPr="00CC6117">
        <w:rPr>
          <w:rFonts w:ascii="Garamond" w:hAnsi="Garamond"/>
          <w:i/>
          <w:iCs/>
        </w:rPr>
        <w:t xml:space="preserve"> Proceedings of the Aristotelian Society</w:t>
      </w:r>
      <w:r w:rsidRPr="00CC6117">
        <w:rPr>
          <w:rFonts w:ascii="Garamond" w:hAnsi="Garamond"/>
        </w:rPr>
        <w:t xml:space="preserve">, </w:t>
      </w:r>
      <w:proofErr w:type="spellStart"/>
      <w:r w:rsidRPr="00CC6117">
        <w:rPr>
          <w:rFonts w:ascii="Garamond" w:hAnsi="Garamond"/>
        </w:rPr>
        <w:t>n.s</w:t>
      </w:r>
      <w:proofErr w:type="spellEnd"/>
      <w:r w:rsidRPr="00CC6117">
        <w:rPr>
          <w:rFonts w:ascii="Garamond" w:hAnsi="Garamond"/>
        </w:rPr>
        <w:t>. 55 (1955), 273-94</w:t>
      </w:r>
      <w:r>
        <w:rPr>
          <w:rFonts w:ascii="Garamond" w:hAnsi="Garamond"/>
        </w:rPr>
        <w:t>,</w:t>
      </w:r>
      <w:r w:rsidRPr="00271C4D">
        <w:rPr>
          <w:rFonts w:ascii="Garamond" w:hAnsi="Garamond"/>
        </w:rPr>
        <w:t xml:space="preserve"> but reference is also made in the text and notes of this chapter to Black’s fuller expositions of the respective points elsewhere in his text. Black discusses the pertinence of the seven claims or principles on page 292.</w:t>
      </w:r>
    </w:p>
  </w:footnote>
  <w:footnote w:id="2">
    <w:p w14:paraId="33317375" w14:textId="1AA4B3BF" w:rsidR="00F96D99" w:rsidRPr="00271C4D" w:rsidRDefault="00F96D99" w:rsidP="00F96D99">
      <w:pPr>
        <w:pStyle w:val="FootnoteText"/>
        <w:rPr>
          <w:rFonts w:ascii="Garamond" w:hAnsi="Garamond"/>
        </w:rPr>
      </w:pPr>
      <w:r w:rsidRPr="00271C4D">
        <w:rPr>
          <w:rStyle w:val="FootnoteReference"/>
          <w:rFonts w:ascii="Garamond" w:hAnsi="Garamond"/>
        </w:rPr>
        <w:footnoteRef/>
      </w:r>
      <w:r w:rsidRPr="00271C4D">
        <w:rPr>
          <w:rFonts w:ascii="Garamond" w:hAnsi="Garamond"/>
        </w:rPr>
        <w:t xml:space="preserve"> </w:t>
      </w:r>
      <w:r w:rsidR="000760A7">
        <w:rPr>
          <w:rFonts w:ascii="Garamond" w:hAnsi="Garamond"/>
        </w:rPr>
        <w:t xml:space="preserve">Paul </w:t>
      </w:r>
      <w:r w:rsidRPr="00271C4D">
        <w:rPr>
          <w:rFonts w:ascii="Garamond" w:hAnsi="Garamond"/>
        </w:rPr>
        <w:t>Ricoeur, ‘Metaphor and the Main Problem of Hermeneutics’,</w:t>
      </w:r>
      <w:r w:rsidRPr="002318E8">
        <w:rPr>
          <w:rFonts w:ascii="Garamond" w:hAnsi="Garamond"/>
          <w:i/>
          <w:iCs/>
        </w:rPr>
        <w:t xml:space="preserve"> New Literary History</w:t>
      </w:r>
      <w:r w:rsidRPr="002318E8">
        <w:rPr>
          <w:rFonts w:ascii="Garamond" w:hAnsi="Garamond"/>
        </w:rPr>
        <w:t xml:space="preserve"> 6 (1974), 95-110</w:t>
      </w:r>
      <w:r w:rsidRPr="00271C4D">
        <w:rPr>
          <w:rFonts w:ascii="Garamond" w:hAnsi="Garamond"/>
        </w:rPr>
        <w:t xml:space="preserve"> </w:t>
      </w:r>
      <w:r>
        <w:rPr>
          <w:rFonts w:ascii="Garamond" w:hAnsi="Garamond"/>
        </w:rPr>
        <w:t>(</w:t>
      </w:r>
      <w:r w:rsidRPr="00271C4D">
        <w:rPr>
          <w:rFonts w:ascii="Garamond" w:hAnsi="Garamond"/>
        </w:rPr>
        <w:t>p. 99</w:t>
      </w:r>
      <w:r>
        <w:rPr>
          <w:rFonts w:ascii="Garamond" w:hAnsi="Garamond"/>
        </w:rPr>
        <w:t>)</w:t>
      </w:r>
      <w:r w:rsidRPr="00271C4D">
        <w:rPr>
          <w:rFonts w:ascii="Garamond" w:hAnsi="Garamond"/>
        </w:rPr>
        <w:t xml:space="preserve">. On the ‘contextual effect’, </w:t>
      </w:r>
      <w:proofErr w:type="spellStart"/>
      <w:r w:rsidRPr="00271C4D">
        <w:rPr>
          <w:rFonts w:ascii="Garamond" w:hAnsi="Garamond"/>
        </w:rPr>
        <w:t>Ricoeur</w:t>
      </w:r>
      <w:proofErr w:type="spellEnd"/>
      <w:r w:rsidRPr="00271C4D">
        <w:rPr>
          <w:rFonts w:ascii="Garamond" w:hAnsi="Garamond"/>
        </w:rPr>
        <w:t xml:space="preserve"> says: ‘If the metaphorical sense is more than the actualization of one of the potential meanings of a polysemic word (and all our words in common discourse are polysemic), it is necessary that this metaphorical use is only </w:t>
      </w:r>
      <w:r w:rsidRPr="00271C4D">
        <w:rPr>
          <w:rFonts w:ascii="Garamond" w:hAnsi="Garamond"/>
          <w:i/>
          <w:iCs/>
        </w:rPr>
        <w:t>contextual</w:t>
      </w:r>
      <w:r w:rsidRPr="00271C4D">
        <w:rPr>
          <w:rFonts w:ascii="Garamond" w:hAnsi="Garamond"/>
        </w:rPr>
        <w:t>; by that I mean a sense which emerges as the result of a certain contextual action.’</w:t>
      </w:r>
    </w:p>
  </w:footnote>
  <w:footnote w:id="3">
    <w:p w14:paraId="0B2724ED" w14:textId="4F72EEC4" w:rsidR="00F96D99" w:rsidRPr="00271C4D" w:rsidRDefault="00F96D99" w:rsidP="00F96D99">
      <w:pPr>
        <w:pStyle w:val="FootnoteText"/>
        <w:rPr>
          <w:rFonts w:ascii="Garamond" w:hAnsi="Garamond"/>
        </w:rPr>
      </w:pPr>
      <w:r w:rsidRPr="00271C4D">
        <w:rPr>
          <w:rStyle w:val="FootnoteReference"/>
          <w:rFonts w:ascii="Garamond" w:hAnsi="Garamond"/>
        </w:rPr>
        <w:footnoteRef/>
      </w:r>
      <w:r w:rsidRPr="00271C4D">
        <w:rPr>
          <w:rFonts w:ascii="Garamond" w:hAnsi="Garamond"/>
        </w:rPr>
        <w:t xml:space="preserve"> Black, ‘Metaphor’, p. 293.</w:t>
      </w:r>
    </w:p>
  </w:footnote>
  <w:footnote w:id="4">
    <w:p w14:paraId="77C04E45" w14:textId="77777777" w:rsidR="00F96D99" w:rsidRPr="004E3C1B" w:rsidRDefault="00F96D99" w:rsidP="00F96D99">
      <w:pPr>
        <w:pStyle w:val="FootnoteText"/>
        <w:rPr>
          <w:rFonts w:ascii="Garamond" w:hAnsi="Garamond"/>
          <w:lang w:val="en-GB"/>
        </w:rPr>
      </w:pPr>
      <w:r w:rsidRPr="004E3C1B">
        <w:rPr>
          <w:rStyle w:val="FootnoteReference"/>
          <w:rFonts w:ascii="Garamond" w:hAnsi="Garamond"/>
        </w:rPr>
        <w:footnoteRef/>
      </w:r>
      <w:r w:rsidRPr="004E3C1B">
        <w:rPr>
          <w:rFonts w:ascii="Garamond" w:hAnsi="Garamond"/>
        </w:rPr>
        <w:t xml:space="preserve"> </w:t>
      </w:r>
      <w:r w:rsidRPr="00591890">
        <w:rPr>
          <w:rFonts w:ascii="Garamond" w:hAnsi="Garamond"/>
        </w:rPr>
        <w:t xml:space="preserve">Nancy J. Vickers, ‘“This heraldry in Lucrece’ face”’, in </w:t>
      </w:r>
      <w:r w:rsidRPr="00591890">
        <w:rPr>
          <w:rFonts w:ascii="Garamond" w:hAnsi="Garamond"/>
          <w:i/>
          <w:iCs/>
        </w:rPr>
        <w:t>The Female Body in Western Culture: Contemporary Perspectives</w:t>
      </w:r>
      <w:r w:rsidRPr="00591890">
        <w:rPr>
          <w:rFonts w:ascii="Garamond" w:hAnsi="Garamond"/>
        </w:rPr>
        <w:t>, ed. by Susan Rubin Suleiman (Cambridge, Mass. and London: Harvard University Press, 1986), pp. 209-22 (p.213).</w:t>
      </w:r>
    </w:p>
  </w:footnote>
  <w:footnote w:id="5">
    <w:p w14:paraId="2787936C" w14:textId="77777777" w:rsidR="00F96D99" w:rsidRPr="004E3C1B" w:rsidRDefault="00F96D99" w:rsidP="00F96D99">
      <w:pPr>
        <w:pStyle w:val="FootnoteText"/>
        <w:rPr>
          <w:rFonts w:ascii="Garamond" w:hAnsi="Garamond"/>
          <w:lang w:val="en-GB"/>
        </w:rPr>
      </w:pPr>
      <w:r w:rsidRPr="004E3C1B">
        <w:rPr>
          <w:rStyle w:val="FootnoteReference"/>
          <w:rFonts w:ascii="Garamond" w:hAnsi="Garamond"/>
        </w:rPr>
        <w:footnoteRef/>
      </w:r>
      <w:r w:rsidRPr="004E3C1B">
        <w:rPr>
          <w:rFonts w:ascii="Garamond" w:hAnsi="Garamond"/>
        </w:rPr>
        <w:t xml:space="preserve"> </w:t>
      </w:r>
      <w:r>
        <w:rPr>
          <w:rFonts w:ascii="Garamond" w:hAnsi="Garamond"/>
        </w:rPr>
        <w:t xml:space="preserve">Alison </w:t>
      </w:r>
      <w:r w:rsidRPr="00591890">
        <w:rPr>
          <w:rFonts w:ascii="Garamond" w:hAnsi="Garamond"/>
        </w:rPr>
        <w:t>Saun</w:t>
      </w:r>
      <w:r w:rsidRPr="00053BC9">
        <w:rPr>
          <w:rFonts w:ascii="Garamond" w:hAnsi="Garamond"/>
        </w:rPr>
        <w:t xml:space="preserve">ders, </w:t>
      </w:r>
      <w:r w:rsidRPr="00053BC9">
        <w:rPr>
          <w:rFonts w:ascii="Garamond" w:hAnsi="Garamond"/>
          <w:i/>
        </w:rPr>
        <w:t xml:space="preserve">The Sixteenth-Century </w:t>
      </w:r>
      <w:proofErr w:type="spellStart"/>
      <w:r w:rsidRPr="00053BC9">
        <w:rPr>
          <w:rFonts w:ascii="Garamond" w:hAnsi="Garamond"/>
          <w:i/>
        </w:rPr>
        <w:t>Blason</w:t>
      </w:r>
      <w:proofErr w:type="spellEnd"/>
      <w:r w:rsidRPr="00053BC9">
        <w:rPr>
          <w:rFonts w:ascii="Garamond" w:hAnsi="Garamond"/>
          <w:i/>
        </w:rPr>
        <w:t xml:space="preserve"> </w:t>
      </w:r>
      <w:proofErr w:type="spellStart"/>
      <w:r w:rsidRPr="00053BC9">
        <w:rPr>
          <w:rFonts w:ascii="Garamond" w:hAnsi="Garamond"/>
          <w:i/>
        </w:rPr>
        <w:t>Poétique</w:t>
      </w:r>
      <w:proofErr w:type="spellEnd"/>
      <w:r w:rsidRPr="00053BC9">
        <w:rPr>
          <w:rFonts w:ascii="Garamond" w:hAnsi="Garamond"/>
        </w:rPr>
        <w:t xml:space="preserve"> (Berne, Frankfurt am Main and Las Vegas: Peter Lang, 1981</w:t>
      </w:r>
      <w:r>
        <w:rPr>
          <w:rFonts w:ascii="Garamond" w:hAnsi="Garamond"/>
        </w:rPr>
        <w:t>),</w:t>
      </w:r>
      <w:r w:rsidRPr="00591890">
        <w:rPr>
          <w:rFonts w:ascii="Garamond" w:hAnsi="Garamond"/>
        </w:rPr>
        <w:t xml:space="preserve"> p.</w:t>
      </w:r>
      <w:r>
        <w:rPr>
          <w:rFonts w:ascii="Garamond" w:hAnsi="Garamond"/>
        </w:rPr>
        <w:t xml:space="preserve"> 11.</w:t>
      </w:r>
    </w:p>
  </w:footnote>
  <w:footnote w:id="6">
    <w:p w14:paraId="172F4E82" w14:textId="77777777" w:rsidR="00F96D99" w:rsidRPr="004E3C1B" w:rsidRDefault="00F96D99" w:rsidP="00F96D99">
      <w:pPr>
        <w:pStyle w:val="FootnoteText"/>
        <w:rPr>
          <w:rFonts w:ascii="Garamond" w:hAnsi="Garamond"/>
          <w:lang w:val="en-GB"/>
        </w:rPr>
      </w:pPr>
      <w:r w:rsidRPr="004E3C1B">
        <w:rPr>
          <w:rStyle w:val="FootnoteReference"/>
          <w:rFonts w:ascii="Garamond" w:hAnsi="Garamond"/>
        </w:rPr>
        <w:footnoteRef/>
      </w:r>
      <w:r w:rsidRPr="004E3C1B">
        <w:rPr>
          <w:rFonts w:ascii="Garamond" w:hAnsi="Garamond"/>
        </w:rPr>
        <w:t xml:space="preserve"> </w:t>
      </w:r>
      <w:r>
        <w:rPr>
          <w:rFonts w:ascii="Garamond" w:hAnsi="Garamond"/>
        </w:rPr>
        <w:t xml:space="preserve">Raymond Southall, ‘Love Poetry in the Sixteenth Century’, </w:t>
      </w:r>
      <w:r>
        <w:rPr>
          <w:rFonts w:ascii="Garamond" w:hAnsi="Garamond"/>
          <w:i/>
        </w:rPr>
        <w:t>Essays in Criticism</w:t>
      </w:r>
      <w:r>
        <w:rPr>
          <w:rFonts w:ascii="Garamond" w:hAnsi="Garamond"/>
        </w:rPr>
        <w:t xml:space="preserve">, 22 (1972), p. 377, cited in Alastair Fowler, ‘Elizabethan Conceits – Spenser, Sidney and Drayton’, (1975), </w:t>
      </w:r>
      <w:proofErr w:type="spellStart"/>
      <w:r>
        <w:rPr>
          <w:rFonts w:ascii="Garamond" w:hAnsi="Garamond"/>
        </w:rPr>
        <w:t>repr</w:t>
      </w:r>
      <w:proofErr w:type="spellEnd"/>
      <w:r>
        <w:rPr>
          <w:rFonts w:ascii="Garamond" w:hAnsi="Garamond"/>
        </w:rPr>
        <w:t xml:space="preserve">. in Gerald Hammond, ed., </w:t>
      </w:r>
      <w:r>
        <w:rPr>
          <w:rFonts w:ascii="Garamond" w:hAnsi="Garamond"/>
          <w:i/>
        </w:rPr>
        <w:t>Elizabethan Poetry: Lyrical and Narrative</w:t>
      </w:r>
      <w:r>
        <w:rPr>
          <w:rFonts w:ascii="Garamond" w:hAnsi="Garamond"/>
        </w:rPr>
        <w:t>, A Casebook (London &amp; Basingstoke: Macmillan, 1984), pp. 178-95 (p. 184).</w:t>
      </w:r>
    </w:p>
  </w:footnote>
  <w:footnote w:id="7">
    <w:p w14:paraId="0CE39484" w14:textId="77777777" w:rsidR="00F96D99" w:rsidRPr="000B7D71" w:rsidRDefault="00F96D99" w:rsidP="00F96D99">
      <w:pPr>
        <w:pStyle w:val="FootnoteText"/>
        <w:rPr>
          <w:rFonts w:ascii="Garamond" w:hAnsi="Garamond"/>
          <w:lang w:val="en-GB"/>
        </w:rPr>
      </w:pPr>
      <w:r w:rsidRPr="000B7D71">
        <w:rPr>
          <w:rStyle w:val="FootnoteReference"/>
          <w:rFonts w:ascii="Garamond" w:hAnsi="Garamond"/>
        </w:rPr>
        <w:footnoteRef/>
      </w:r>
      <w:r w:rsidRPr="000B7D71">
        <w:rPr>
          <w:rFonts w:ascii="Garamond" w:hAnsi="Garamond"/>
        </w:rPr>
        <w:t xml:space="preserve"> </w:t>
      </w:r>
      <w:r>
        <w:rPr>
          <w:rFonts w:ascii="Garamond" w:hAnsi="Garamond"/>
        </w:rPr>
        <w:t>This involves a slight reinterpretation though based on Fowler’s, in ‘Elizabethan Conceits’, p. 185.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B6570F"/>
    <w:multiLevelType w:val="hybridMultilevel"/>
    <w:tmpl w:val="B70E2C4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3861DA"/>
    <w:multiLevelType w:val="hybridMultilevel"/>
    <w:tmpl w:val="9DCE86B6"/>
    <w:lvl w:ilvl="0" w:tplc="0809000F">
      <w:start w:val="1"/>
      <w:numFmt w:val="decimal"/>
      <w:lvlText w:val="%1."/>
      <w:lvlJc w:val="left"/>
      <w:pPr>
        <w:ind w:left="720" w:hanging="360"/>
      </w:pPr>
    </w:lvl>
    <w:lvl w:ilvl="1" w:tplc="5C84BEAE">
      <w:start w:val="1"/>
      <w:numFmt w:val="lowerLetter"/>
      <w:lvlText w:val="%2."/>
      <w:lvlJc w:val="left"/>
      <w:pPr>
        <w:ind w:left="1440" w:hanging="360"/>
      </w:pPr>
      <w:rPr>
        <w:b w:val="0"/>
      </w:rPr>
    </w:lvl>
    <w:lvl w:ilvl="2" w:tplc="8E6677D0">
      <w:start w:val="1"/>
      <w:numFmt w:val="lowerRoman"/>
      <w:lvlText w:val="%3."/>
      <w:lvlJc w:val="right"/>
      <w:pPr>
        <w:ind w:left="2160" w:hanging="180"/>
      </w:pPr>
      <w:rPr>
        <w:b w:val="0"/>
      </w:r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 w15:restartNumberingAfterBreak="0">
    <w:nsid w:val="4B053680"/>
    <w:multiLevelType w:val="hybridMultilevel"/>
    <w:tmpl w:val="1F182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023702"/>
    <w:multiLevelType w:val="hybridMultilevel"/>
    <w:tmpl w:val="FB5237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9713062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88059733">
    <w:abstractNumId w:val="2"/>
  </w:num>
  <w:num w:numId="3" w16cid:durableId="1511286967">
    <w:abstractNumId w:val="3"/>
  </w:num>
  <w:num w:numId="4" w16cid:durableId="301085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75E"/>
    <w:rsid w:val="000760A7"/>
    <w:rsid w:val="00107679"/>
    <w:rsid w:val="00130A42"/>
    <w:rsid w:val="001B4AB6"/>
    <w:rsid w:val="00204CEA"/>
    <w:rsid w:val="0031561A"/>
    <w:rsid w:val="00452CD5"/>
    <w:rsid w:val="008F1BB3"/>
    <w:rsid w:val="00A4475E"/>
    <w:rsid w:val="00BB63D7"/>
    <w:rsid w:val="00CE234F"/>
    <w:rsid w:val="00D94767"/>
    <w:rsid w:val="00E83F57"/>
    <w:rsid w:val="00ED5E1A"/>
    <w:rsid w:val="00F43E86"/>
    <w:rsid w:val="00F96D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25D9C7"/>
  <w15:docId w15:val="{4E625389-1CD0-411D-9094-62844EFE4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75E"/>
    <w:pPr>
      <w:overflowPunct w:val="0"/>
      <w:autoSpaceDE w:val="0"/>
      <w:autoSpaceDN w:val="0"/>
      <w:adjustRightInd w:val="0"/>
      <w:spacing w:after="0" w:line="240" w:lineRule="auto"/>
    </w:pPr>
    <w:rPr>
      <w:rFonts w:ascii="Times New Roman" w:eastAsia="Times New Roman" w:hAnsi="Times New Roman" w:cs="Times New Roman"/>
      <w:sz w:val="20"/>
      <w:szCs w:val="20"/>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561A"/>
    <w:pPr>
      <w:tabs>
        <w:tab w:val="center" w:pos="4513"/>
        <w:tab w:val="right" w:pos="9026"/>
      </w:tabs>
    </w:pPr>
  </w:style>
  <w:style w:type="character" w:customStyle="1" w:styleId="HeaderChar">
    <w:name w:val="Header Char"/>
    <w:basedOn w:val="DefaultParagraphFont"/>
    <w:link w:val="Header"/>
    <w:uiPriority w:val="99"/>
    <w:rsid w:val="0031561A"/>
    <w:rPr>
      <w:rFonts w:ascii="Times New Roman" w:eastAsia="Times New Roman" w:hAnsi="Times New Roman" w:cs="Times New Roman"/>
      <w:sz w:val="20"/>
      <w:szCs w:val="20"/>
      <w:lang w:val="en-AU"/>
    </w:rPr>
  </w:style>
  <w:style w:type="paragraph" w:styleId="Footer">
    <w:name w:val="footer"/>
    <w:basedOn w:val="Normal"/>
    <w:link w:val="FooterChar"/>
    <w:uiPriority w:val="99"/>
    <w:unhideWhenUsed/>
    <w:rsid w:val="0031561A"/>
    <w:pPr>
      <w:tabs>
        <w:tab w:val="center" w:pos="4513"/>
        <w:tab w:val="right" w:pos="9026"/>
      </w:tabs>
    </w:pPr>
  </w:style>
  <w:style w:type="character" w:customStyle="1" w:styleId="FooterChar">
    <w:name w:val="Footer Char"/>
    <w:basedOn w:val="DefaultParagraphFont"/>
    <w:link w:val="Footer"/>
    <w:uiPriority w:val="99"/>
    <w:rsid w:val="0031561A"/>
    <w:rPr>
      <w:rFonts w:ascii="Times New Roman" w:eastAsia="Times New Roman" w:hAnsi="Times New Roman" w:cs="Times New Roman"/>
      <w:sz w:val="20"/>
      <w:szCs w:val="20"/>
      <w:lang w:val="en-AU"/>
    </w:rPr>
  </w:style>
  <w:style w:type="paragraph" w:styleId="FootnoteText">
    <w:name w:val="footnote text"/>
    <w:basedOn w:val="Normal"/>
    <w:link w:val="FootnoteTextChar"/>
    <w:semiHidden/>
    <w:rsid w:val="00F96D99"/>
    <w:pPr>
      <w:overflowPunct/>
      <w:autoSpaceDE/>
      <w:autoSpaceDN/>
      <w:adjustRightInd/>
    </w:pPr>
    <w:rPr>
      <w:lang w:val="en-US"/>
    </w:rPr>
  </w:style>
  <w:style w:type="character" w:customStyle="1" w:styleId="FootnoteTextChar">
    <w:name w:val="Footnote Text Char"/>
    <w:basedOn w:val="DefaultParagraphFont"/>
    <w:link w:val="FootnoteText"/>
    <w:semiHidden/>
    <w:rsid w:val="00F96D99"/>
    <w:rPr>
      <w:rFonts w:ascii="Times New Roman" w:eastAsia="Times New Roman" w:hAnsi="Times New Roman" w:cs="Times New Roman"/>
      <w:sz w:val="20"/>
      <w:szCs w:val="20"/>
      <w:lang w:val="en-US"/>
    </w:rPr>
  </w:style>
  <w:style w:type="character" w:styleId="FootnoteReference">
    <w:name w:val="footnote reference"/>
    <w:semiHidden/>
    <w:rsid w:val="00F96D99"/>
    <w:rPr>
      <w:vertAlign w:val="superscript"/>
    </w:rPr>
  </w:style>
  <w:style w:type="paragraph" w:styleId="ListParagraph">
    <w:name w:val="List Paragraph"/>
    <w:basedOn w:val="Normal"/>
    <w:uiPriority w:val="34"/>
    <w:qFormat/>
    <w:rsid w:val="00F96D99"/>
    <w:pPr>
      <w:overflowPunct/>
      <w:autoSpaceDE/>
      <w:autoSpaceDN/>
      <w:adjustRightInd/>
      <w:ind w:left="720"/>
    </w:pPr>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4056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4</Pages>
  <Words>1449</Words>
  <Characters>8265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pn021</dc:creator>
  <cp:keywords/>
  <dc:description/>
  <cp:lastModifiedBy>Peter Mitchell</cp:lastModifiedBy>
  <cp:revision>3</cp:revision>
  <dcterms:created xsi:type="dcterms:W3CDTF">2026-04-23T19:54:00Z</dcterms:created>
  <dcterms:modified xsi:type="dcterms:W3CDTF">2026-04-23T22:33:00Z</dcterms:modified>
</cp:coreProperties>
</file>