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7BFF2" w14:textId="2E9325CF" w:rsidR="00750C7B" w:rsidRPr="00750C7B" w:rsidRDefault="00750C7B" w:rsidP="00750C7B">
      <w:pPr>
        <w:pStyle w:val="Title"/>
        <w:rPr>
          <w:sz w:val="52"/>
          <w:szCs w:val="52"/>
        </w:rPr>
      </w:pPr>
      <w:r w:rsidRPr="00750C7B">
        <w:rPr>
          <w:sz w:val="52"/>
          <w:szCs w:val="52"/>
        </w:rPr>
        <w:t>LCBB4001 ACCOUNTING FUNDAMENTALS EXAM</w:t>
      </w:r>
    </w:p>
    <w:p w14:paraId="7BABF0BC" w14:textId="77777777" w:rsidR="00750C7B" w:rsidRPr="00750C7B" w:rsidRDefault="00750C7B" w:rsidP="00750C7B"/>
    <w:p w14:paraId="316C9E52" w14:textId="45FC0253" w:rsidR="00750C7B" w:rsidRDefault="00750C7B" w:rsidP="007C2E66">
      <w:pPr>
        <w:rPr>
          <w:b/>
          <w:bCs/>
        </w:rPr>
      </w:pPr>
      <w:r>
        <w:rPr>
          <w:b/>
          <w:bCs/>
        </w:rPr>
        <w:t>STUDENT NAME:</w:t>
      </w:r>
      <w:r w:rsidR="00790CB2">
        <w:rPr>
          <w:b/>
          <w:bCs/>
        </w:rPr>
        <w:t xml:space="preserve"> YORDAN GOSPODINOV </w:t>
      </w:r>
      <w:proofErr w:type="spellStart"/>
      <w:r w:rsidR="00790CB2">
        <w:rPr>
          <w:b/>
          <w:bCs/>
        </w:rPr>
        <w:t>GOSPODINOV</w:t>
      </w:r>
      <w:proofErr w:type="spellEnd"/>
    </w:p>
    <w:p w14:paraId="5BACDE5E" w14:textId="4CAE1071" w:rsidR="00750C7B" w:rsidRDefault="00750C7B" w:rsidP="007C2E66">
      <w:pPr>
        <w:rPr>
          <w:b/>
          <w:bCs/>
        </w:rPr>
      </w:pPr>
      <w:r>
        <w:rPr>
          <w:b/>
          <w:bCs/>
        </w:rPr>
        <w:t>STUDENT ID:</w:t>
      </w:r>
      <w:r w:rsidR="00790CB2">
        <w:rPr>
          <w:b/>
          <w:bCs/>
        </w:rPr>
        <w:t xml:space="preserve"> 2020080</w:t>
      </w:r>
    </w:p>
    <w:p w14:paraId="55CB6715" w14:textId="14279942" w:rsidR="00790CB2" w:rsidRPr="0025465B" w:rsidRDefault="00750C7B" w:rsidP="007C2E66">
      <w:pPr>
        <w:rPr>
          <w:b/>
          <w:bCs/>
        </w:rPr>
      </w:pPr>
      <w:r>
        <w:rPr>
          <w:b/>
          <w:bCs/>
        </w:rPr>
        <w:t>MODULE LEADER:</w:t>
      </w:r>
      <w:r w:rsidR="00790CB2">
        <w:rPr>
          <w:b/>
          <w:bCs/>
        </w:rPr>
        <w:t xml:space="preserve"> </w:t>
      </w:r>
      <w:r w:rsidR="0025465B">
        <w:rPr>
          <w:b/>
          <w:bCs/>
        </w:rPr>
        <w:t xml:space="preserve">DR. </w:t>
      </w:r>
      <w:r w:rsidR="00790CB2">
        <w:rPr>
          <w:b/>
          <w:bCs/>
        </w:rPr>
        <w:t>WIDIN BONGASU SHA</w:t>
      </w:r>
      <w:r w:rsidR="0025465B">
        <w:rPr>
          <w:b/>
          <w:bCs/>
        </w:rPr>
        <w:t>’VEN</w:t>
      </w:r>
    </w:p>
    <w:p w14:paraId="08E78A32" w14:textId="2AD8AF57" w:rsidR="00750C7B" w:rsidRDefault="00750C7B" w:rsidP="007C2E66">
      <w:pPr>
        <w:rPr>
          <w:b/>
          <w:bCs/>
        </w:rPr>
      </w:pPr>
      <w:r>
        <w:rPr>
          <w:b/>
          <w:bCs/>
        </w:rPr>
        <w:t>DATE OF SUBMISSION: 27/08/2021</w:t>
      </w:r>
    </w:p>
    <w:p w14:paraId="3D937BAE" w14:textId="65EE3821" w:rsidR="00750C7B" w:rsidRDefault="00750C7B" w:rsidP="007C2E66">
      <w:pPr>
        <w:rPr>
          <w:b/>
          <w:bCs/>
        </w:rPr>
      </w:pPr>
      <w:r>
        <w:rPr>
          <w:b/>
          <w:bCs/>
        </w:rPr>
        <w:t xml:space="preserve">WORD COUNT: </w:t>
      </w:r>
      <w:r w:rsidR="006B3A0D">
        <w:rPr>
          <w:b/>
          <w:bCs/>
        </w:rPr>
        <w:t>1122</w:t>
      </w:r>
    </w:p>
    <w:p w14:paraId="05C12A88" w14:textId="5E8956E1" w:rsidR="00750C7B" w:rsidRDefault="00750C7B">
      <w:pPr>
        <w:spacing w:after="0" w:line="240" w:lineRule="auto"/>
        <w:rPr>
          <w:b/>
          <w:bCs/>
        </w:rPr>
      </w:pPr>
      <w:r>
        <w:rPr>
          <w:b/>
          <w:bCs/>
        </w:rPr>
        <w:br w:type="page"/>
      </w:r>
    </w:p>
    <w:p w14:paraId="1A60781D" w14:textId="689BA41E" w:rsidR="007C2E66" w:rsidRPr="00FD39CC" w:rsidRDefault="007C2E66" w:rsidP="00750C7B">
      <w:pPr>
        <w:pStyle w:val="Heading1"/>
      </w:pPr>
      <w:r>
        <w:lastRenderedPageBreak/>
        <w:t>Question 1</w:t>
      </w:r>
    </w:p>
    <w:p w14:paraId="01ECC2F6" w14:textId="547B80A9" w:rsidR="007C2E66" w:rsidRPr="00594C68" w:rsidRDefault="007C2E66" w:rsidP="007C2E66">
      <w:pPr>
        <w:rPr>
          <w:u w:val="single"/>
        </w:rPr>
      </w:pPr>
      <w:r w:rsidRPr="00594C68">
        <w:rPr>
          <w:u w:val="single"/>
        </w:rPr>
        <w:t xml:space="preserve">a) </w:t>
      </w:r>
      <w:r w:rsidR="00594C68" w:rsidRPr="00594C68">
        <w:rPr>
          <w:u w:val="single"/>
        </w:rPr>
        <w:t>Task</w:t>
      </w:r>
    </w:p>
    <w:p w14:paraId="73000359" w14:textId="77777777" w:rsidR="007C2E66" w:rsidRDefault="007C2E66" w:rsidP="007C2E66">
      <w:r>
        <w:t>Break-even units = Total fixed cost / contribution margin per unit</w:t>
      </w:r>
    </w:p>
    <w:p w14:paraId="628D5F13" w14:textId="77777777" w:rsidR="007C2E66" w:rsidRDefault="007C2E66" w:rsidP="007C2E66">
      <w:r>
        <w:t>= 350,000 / 11- 6</w:t>
      </w:r>
    </w:p>
    <w:p w14:paraId="6485427A" w14:textId="77777777" w:rsidR="007C2E66" w:rsidRDefault="007C2E66" w:rsidP="007C2E66">
      <w:r>
        <w:t>= 350,000 / 5</w:t>
      </w:r>
    </w:p>
    <w:p w14:paraId="675435B5" w14:textId="77777777" w:rsidR="007C2E66" w:rsidRDefault="007C2E66" w:rsidP="007C2E66">
      <w:r>
        <w:t>= 70, 000 units</w:t>
      </w:r>
    </w:p>
    <w:p w14:paraId="430AFAC8" w14:textId="74C385F7" w:rsidR="007C2E66" w:rsidRDefault="007C2E66" w:rsidP="007C2E66">
      <w:r>
        <w:t>Break-even Revenue = Break-even units * Selling price per unit</w:t>
      </w:r>
    </w:p>
    <w:p w14:paraId="1743A58C" w14:textId="77777777" w:rsidR="007C2E66" w:rsidRDefault="007C2E66" w:rsidP="007C2E66">
      <w:r>
        <w:t>= 70,000*11= £ 770,000</w:t>
      </w:r>
    </w:p>
    <w:p w14:paraId="1932AC00" w14:textId="07DF99BF" w:rsidR="007C2E66" w:rsidRPr="00594C68" w:rsidRDefault="007C2E66" w:rsidP="007C2E66">
      <w:pPr>
        <w:rPr>
          <w:u w:val="single"/>
        </w:rPr>
      </w:pPr>
      <w:r w:rsidRPr="00594C68">
        <w:rPr>
          <w:u w:val="single"/>
        </w:rPr>
        <w:t xml:space="preserve">b) </w:t>
      </w:r>
      <w:r w:rsidR="00594C68">
        <w:rPr>
          <w:u w:val="single"/>
        </w:rPr>
        <w:t>Task</w:t>
      </w:r>
    </w:p>
    <w:p w14:paraId="47FD420F" w14:textId="77777777" w:rsidR="007C2E66" w:rsidRDefault="007C2E66" w:rsidP="007C2E66">
      <w:r>
        <w:t>Profit = Total contribution margin - Fixed cost</w:t>
      </w:r>
    </w:p>
    <w:p w14:paraId="59DC0CEB" w14:textId="77777777" w:rsidR="007C2E66" w:rsidRDefault="007C2E66" w:rsidP="007C2E66">
      <w:r>
        <w:t>= Contribution margin per unit * 75,000 - 350,0000</w:t>
      </w:r>
    </w:p>
    <w:p w14:paraId="69E87A8C" w14:textId="77777777" w:rsidR="007C2E66" w:rsidRDefault="007C2E66" w:rsidP="007C2E66">
      <w:r>
        <w:t>= 5 *75,000 - 350,000</w:t>
      </w:r>
    </w:p>
    <w:p w14:paraId="16B22B46" w14:textId="77777777" w:rsidR="007C2E66" w:rsidRDefault="007C2E66" w:rsidP="007C2E66">
      <w:r>
        <w:t>= 375,000 - 350,000</w:t>
      </w:r>
    </w:p>
    <w:p w14:paraId="4C32CACF" w14:textId="77777777" w:rsidR="007C2E66" w:rsidRDefault="007C2E66" w:rsidP="007C2E66">
      <w:r>
        <w:t>= £ 25,000</w:t>
      </w:r>
    </w:p>
    <w:p w14:paraId="539B51BF" w14:textId="26AA80A5" w:rsidR="007C2E66" w:rsidRPr="00594C68" w:rsidRDefault="007C2E66" w:rsidP="007C2E66">
      <w:pPr>
        <w:rPr>
          <w:u w:val="single"/>
        </w:rPr>
      </w:pPr>
      <w:r w:rsidRPr="00594C68">
        <w:rPr>
          <w:u w:val="single"/>
        </w:rPr>
        <w:t xml:space="preserve">c) </w:t>
      </w:r>
      <w:r w:rsidR="00594C68">
        <w:rPr>
          <w:u w:val="single"/>
        </w:rPr>
        <w:t>Task</w:t>
      </w:r>
    </w:p>
    <w:p w14:paraId="089BF178" w14:textId="77777777" w:rsidR="007C2E66" w:rsidRDefault="007C2E66" w:rsidP="007C2E66">
      <w:proofErr w:type="spellStart"/>
      <w:r>
        <w:t>i</w:t>
      </w:r>
      <w:proofErr w:type="spellEnd"/>
      <w:r>
        <w:t>) Contribution margin per unit for the new product</w:t>
      </w:r>
    </w:p>
    <w:p w14:paraId="618B3D57" w14:textId="77777777" w:rsidR="007C2E66" w:rsidRDefault="007C2E66" w:rsidP="007C2E66">
      <w:r>
        <w:t>= New selling price - existing variable cost - additional variable cost</w:t>
      </w:r>
    </w:p>
    <w:p w14:paraId="359B0926" w14:textId="3A07FE37" w:rsidR="007C2E66" w:rsidRDefault="007C2E66" w:rsidP="007C2E66">
      <w:r>
        <w:t xml:space="preserve">= 13 - 6 </w:t>
      </w:r>
      <w:r w:rsidR="00594C68">
        <w:t>–</w:t>
      </w:r>
      <w:r>
        <w:t xml:space="preserve"> 1</w:t>
      </w:r>
      <w:r w:rsidR="00594C68">
        <w:t xml:space="preserve"> </w:t>
      </w:r>
      <w:r>
        <w:t>= £6 per unit</w:t>
      </w:r>
    </w:p>
    <w:p w14:paraId="17BACB67" w14:textId="77777777" w:rsidR="007C2E66" w:rsidRDefault="007C2E66" w:rsidP="007C2E66">
      <w:r>
        <w:t>ii) Total contribution margin for the new product = contribution margin per unit * expected units to be sold</w:t>
      </w:r>
    </w:p>
    <w:p w14:paraId="7419E4AA" w14:textId="779F101A" w:rsidR="007C2E66" w:rsidRDefault="007C2E66" w:rsidP="007C2E66">
      <w:r>
        <w:t>= 6*80,000</w:t>
      </w:r>
    </w:p>
    <w:p w14:paraId="20663B15" w14:textId="77777777" w:rsidR="007C2E66" w:rsidRDefault="007C2E66" w:rsidP="007C2E66">
      <w:r>
        <w:t>= 480,000</w:t>
      </w:r>
    </w:p>
    <w:p w14:paraId="0CF548B5" w14:textId="77777777" w:rsidR="007C2E66" w:rsidRDefault="007C2E66" w:rsidP="007C2E66">
      <w:r>
        <w:t>iii) profit for the new product</w:t>
      </w:r>
    </w:p>
    <w:p w14:paraId="38F30472" w14:textId="77777777" w:rsidR="007C2E66" w:rsidRDefault="007C2E66" w:rsidP="007C2E66">
      <w:r>
        <w:t>= total contribution margin - existing fixed cost - additional advertising expenses</w:t>
      </w:r>
    </w:p>
    <w:p w14:paraId="5DFE6832" w14:textId="0BF755E9" w:rsidR="007C2E66" w:rsidRDefault="007C2E66" w:rsidP="007C2E66">
      <w:r>
        <w:t>= 480,000 - 350,000 - 10,000</w:t>
      </w:r>
    </w:p>
    <w:p w14:paraId="03F03DC1" w14:textId="77777777" w:rsidR="007C2E66" w:rsidRPr="00C60A0D" w:rsidRDefault="007C2E66" w:rsidP="007C2E66">
      <w:r>
        <w:t>= £ 120,000</w:t>
      </w:r>
    </w:p>
    <w:p w14:paraId="327DC4B2" w14:textId="4A501F1E" w:rsidR="007C2E66" w:rsidRPr="00750C7B" w:rsidRDefault="00750C7B" w:rsidP="007C2E66">
      <w:pPr>
        <w:rPr>
          <w:u w:val="single"/>
        </w:rPr>
      </w:pPr>
      <w:r w:rsidRPr="00750C7B">
        <w:rPr>
          <w:u w:val="single"/>
        </w:rPr>
        <w:t xml:space="preserve">d) </w:t>
      </w:r>
      <w:r w:rsidR="007C2E66" w:rsidRPr="00750C7B">
        <w:rPr>
          <w:u w:val="single"/>
        </w:rPr>
        <w:t>Discuss the limitations of break-even analysis.</w:t>
      </w:r>
    </w:p>
    <w:p w14:paraId="1DEFA141" w14:textId="0FD71E17" w:rsidR="007C2E66" w:rsidRDefault="007C2E66" w:rsidP="007C2E66">
      <w:r>
        <w:lastRenderedPageBreak/>
        <w:t xml:space="preserve">Winning the initial investment and reaching the </w:t>
      </w:r>
      <w:proofErr w:type="spellStart"/>
      <w:proofErr w:type="gramStart"/>
      <w:r>
        <w:t>break even</w:t>
      </w:r>
      <w:proofErr w:type="spellEnd"/>
      <w:proofErr w:type="gramEnd"/>
      <w:r>
        <w:t xml:space="preserve"> point is imperative when deciding on the pragmatic use of cost features</w:t>
      </w:r>
      <w:r w:rsidR="006B3A0D" w:rsidRPr="006B3A0D">
        <w:t xml:space="preserve"> (Catanzaro, 2016)</w:t>
      </w:r>
      <w:r>
        <w:t xml:space="preserve">. It is an element of three variables, </w:t>
      </w:r>
      <w:proofErr w:type="spellStart"/>
      <w:r>
        <w:t>ie</w:t>
      </w:r>
      <w:proofErr w:type="spellEnd"/>
      <w:r>
        <w:t>. volume of transactions, costs and benefits. It aims to settle the powerful link that exists between the absolute costs and the transaction volume of an organization.</w:t>
      </w:r>
    </w:p>
    <w:p w14:paraId="0D0A041F" w14:textId="77777777" w:rsidR="007C2E66" w:rsidRDefault="007C2E66" w:rsidP="007C2E66">
      <w:r>
        <w:t xml:space="preserve">1. In equal break point achievement and establishment, we maintain everything consistently. Sales costs are considered to be </w:t>
      </w:r>
      <w:proofErr w:type="gramStart"/>
      <w:r>
        <w:t>stable</w:t>
      </w:r>
      <w:proofErr w:type="gramEnd"/>
      <w:r>
        <w:t xml:space="preserve"> and the cost is direct. In practice, this will not be the case.</w:t>
      </w:r>
    </w:p>
    <w:p w14:paraId="544CD401" w14:textId="77777777" w:rsidR="007C2E66" w:rsidRDefault="007C2E66" w:rsidP="007C2E66">
      <w:r>
        <w:t xml:space="preserve">2. In a </w:t>
      </w:r>
      <w:proofErr w:type="gramStart"/>
      <w:r>
        <w:t>break even</w:t>
      </w:r>
      <w:proofErr w:type="gramEnd"/>
      <w:r>
        <w:t xml:space="preserve"> investigation, because we keep capacity stable, we design the future with the help of past capacity. This is not right.</w:t>
      </w:r>
    </w:p>
    <w:p w14:paraId="226E13CA" w14:textId="77777777" w:rsidR="007C2E66" w:rsidRDefault="007C2E66" w:rsidP="007C2E66">
      <w:r>
        <w:t>3. The presumption that the cost-benefit relationship is direct is valid only for a small range of profitability. This is anything but a successful tool for long-term use.</w:t>
      </w:r>
    </w:p>
    <w:p w14:paraId="73F9F5A9" w14:textId="52EAC83B" w:rsidR="007C2E66" w:rsidRDefault="007C2E66" w:rsidP="007C2E66">
      <w:r>
        <w:t xml:space="preserve">4. The benefits are an element of profitability, but also of various elements such as innovative change, improvement of the specialty on board, etc., which would be neglected in </w:t>
      </w:r>
      <w:proofErr w:type="spellStart"/>
      <w:r>
        <w:t>break even</w:t>
      </w:r>
      <w:proofErr w:type="spellEnd"/>
      <w:r w:rsidR="006B3A0D" w:rsidRPr="006B3A0D">
        <w:t xml:space="preserve"> (Catanzaro, 2016)</w:t>
      </w:r>
      <w:r>
        <w:t>.</w:t>
      </w:r>
    </w:p>
    <w:p w14:paraId="1BDCEC03" w14:textId="7D0AC814" w:rsidR="00750C7B" w:rsidRDefault="00750C7B" w:rsidP="00750C7B">
      <w:pPr>
        <w:pStyle w:val="Heading1"/>
      </w:pPr>
      <w:r>
        <w:t>Question 2</w:t>
      </w:r>
    </w:p>
    <w:p w14:paraId="573C251B" w14:textId="0954B6D1" w:rsidR="007C2E66" w:rsidRPr="00750C7B" w:rsidRDefault="00750C7B" w:rsidP="007C2E66">
      <w:pPr>
        <w:rPr>
          <w:u w:val="single"/>
        </w:rPr>
      </w:pPr>
      <w:r w:rsidRPr="00750C7B">
        <w:rPr>
          <w:u w:val="single"/>
        </w:rPr>
        <w:t xml:space="preserve">a) </w:t>
      </w:r>
      <w:r w:rsidR="007C2E66" w:rsidRPr="00750C7B">
        <w:rPr>
          <w:u w:val="single"/>
        </w:rPr>
        <w:t>Importance of management accounting, and how it differs from what financial accounting provides.</w:t>
      </w:r>
    </w:p>
    <w:p w14:paraId="39685E5E" w14:textId="1AED7409" w:rsidR="007C2E66" w:rsidRDefault="007C2E66" w:rsidP="007C2E66">
      <w:r>
        <w:t xml:space="preserve">Small and medium-sized businesses, especially those in a state of early development, require quick and powerful choices to further improve income and market </w:t>
      </w:r>
      <w:r w:rsidR="006B3A0D">
        <w:t>state</w:t>
      </w:r>
      <w:r w:rsidR="006B3A0D" w:rsidRPr="006B3A0D">
        <w:t xml:space="preserve"> (Peterson, 2020)</w:t>
      </w:r>
      <w:r>
        <w:t>. Therefore, supervisors need to have knowledge in all parts of business activities in order to decide on further activities. The Accounting Board provides performance information and monetary information that allows directors to determine further plans as indicated by available data. To clarify the true meaning of on-board accounting, we need to go further into the details. From time to time, when you need another element or subcomponent, it is difficult to decide whether it is worth creating the unit completely on your own or hiring an external creation organization to hand it over to you</w:t>
      </w:r>
      <w:r w:rsidR="006B3A0D" w:rsidRPr="006B3A0D">
        <w:t xml:space="preserve"> (Peterson, 2020)</w:t>
      </w:r>
      <w:r>
        <w:t>. This is where administrative accounting can help you reach a choice depending on the viability of each choice. Making the right choice can save you money, but it can also save your entire business from possible financial disasters. From time to time it is more moderate to change your own lines to create portions than to buy a unit; in any case, there are events, while hiring an external supplier can bring more monetary increase.</w:t>
      </w:r>
    </w:p>
    <w:p w14:paraId="73F902A7" w14:textId="266E1A99" w:rsidR="007C2E66" w:rsidRDefault="007C2E66" w:rsidP="007C2E66">
      <w:r>
        <w:t>Financial type of accounting is used to represent the monetary power of the organization to external partners</w:t>
      </w:r>
      <w:r w:rsidR="006B3A0D" w:rsidRPr="006B3A0D">
        <w:t xml:space="preserve"> (Peterson, 2020)</w:t>
      </w:r>
      <w:r>
        <w:t xml:space="preserve">. This allows senior management, investors, potential financial backers, banks and monetary foundations to perceive the organization's performance over </w:t>
      </w:r>
      <w:proofErr w:type="gramStart"/>
      <w:r>
        <w:t>a period of time</w:t>
      </w:r>
      <w:proofErr w:type="gramEnd"/>
      <w:r>
        <w:t xml:space="preserve">. These reports are recorded on an annual basis. </w:t>
      </w:r>
      <w:proofErr w:type="gramStart"/>
      <w:r>
        <w:t>In the event that</w:t>
      </w:r>
      <w:proofErr w:type="gramEnd"/>
      <w:r>
        <w:t xml:space="preserve"> a business is considered to be traded on an open market organization on a stock exchange, the accounts must be part of the freely </w:t>
      </w:r>
      <w:r>
        <w:lastRenderedPageBreak/>
        <w:t xml:space="preserve">available report. In a cash accounting course, insufficient learners figure out how to prepare, review, and disassemble fiscal statements. There are two significant contrasts between cash and onboard accounting. The main difference is that the administration's accounting is introduced in the internal area of ​​the organization, while the monetary accounting is ready for the outside crowd. </w:t>
      </w:r>
      <w:proofErr w:type="gramStart"/>
      <w:r>
        <w:t>Despite the fact that</w:t>
      </w:r>
      <w:proofErr w:type="gramEnd"/>
      <w:r>
        <w:t xml:space="preserve"> cash accounting is vital for current and potential financial backers, on-board accounting is essential for directors to deal with current and future monetary decisions for their business. The subsequent contrast is that monetary accounting is accurate and must adhere to the correct accounting rules (GAAP), while management accounting can be based on theory or indicator, as most managers are not able to obtain certain numbers when they need to make a choice</w:t>
      </w:r>
      <w:r w:rsidR="006B3A0D" w:rsidRPr="006B3A0D">
        <w:t xml:space="preserve"> (Peterson, 2020)</w:t>
      </w:r>
      <w:r>
        <w:t>.</w:t>
      </w:r>
    </w:p>
    <w:p w14:paraId="32E7BDF3" w14:textId="411D49D9" w:rsidR="007C2E66" w:rsidRDefault="007C2E66" w:rsidP="007C2E66">
      <w:r>
        <w:t>Financial type of accounting is performed mainly for a certain period, which is usually one year. Then the accounting of the administration is done according to the needs of the administration, say quarterly, half a year, etc</w:t>
      </w:r>
      <w:r w:rsidR="006B3A0D" w:rsidRPr="006B3A0D">
        <w:t xml:space="preserve"> (Peterson, 2020)</w:t>
      </w:r>
      <w:r>
        <w:t>.</w:t>
      </w:r>
    </w:p>
    <w:p w14:paraId="7F6EE1B9" w14:textId="7EC6AC38" w:rsidR="007C2E66" w:rsidRDefault="007C2E66" w:rsidP="007C2E66">
      <w:r>
        <w:t>The financial accounting data need to be disseminated and reviewed by legal inspectors. Unlike the managerial type of' accounting, which does not expect data to be disseminated and reviewed because it is for internal use as it was.</w:t>
      </w:r>
    </w:p>
    <w:p w14:paraId="34C7AFBF" w14:textId="756CFFA7" w:rsidR="00FE6EE1" w:rsidRPr="00750C7B" w:rsidRDefault="00750C7B">
      <w:pPr>
        <w:rPr>
          <w:u w:val="single"/>
        </w:rPr>
      </w:pPr>
      <w:r w:rsidRPr="00750C7B">
        <w:rPr>
          <w:u w:val="single"/>
        </w:rPr>
        <w:t xml:space="preserve">b) </w:t>
      </w:r>
      <w:r w:rsidR="007C2E66" w:rsidRPr="00750C7B">
        <w:rPr>
          <w:u w:val="single"/>
        </w:rPr>
        <w:t>Techniques by which the management accountant can achieve the objectives of management accounting.</w:t>
      </w:r>
    </w:p>
    <w:p w14:paraId="45088569" w14:textId="77777777" w:rsidR="007C2E66" w:rsidRDefault="007C2E66" w:rsidP="007C2E66">
      <w:r>
        <w:t>1. Planning for finances in the company:</w:t>
      </w:r>
    </w:p>
    <w:p w14:paraId="72F2E70E" w14:textId="799C8C87" w:rsidR="007C2E66" w:rsidRDefault="007C2E66" w:rsidP="007C2E66">
      <w:r>
        <w:t xml:space="preserve">The money order is a demonstration of a choice in advance for the money exercises, important for the </w:t>
      </w:r>
      <w:r w:rsidR="006B3A0D">
        <w:t>aim</w:t>
      </w:r>
      <w:r>
        <w:t xml:space="preserve"> to achieve its main goals</w:t>
      </w:r>
      <w:r w:rsidR="006B3A0D" w:rsidRPr="006B3A0D">
        <w:t xml:space="preserve"> (A Youssef, 2013)</w:t>
      </w:r>
      <w:r>
        <w:t>. It includes making decisions about the long-term and current monetary goals of the enterprise, forming monetary arrangements and promoting the monetary system to reach destinations.</w:t>
      </w:r>
    </w:p>
    <w:p w14:paraId="6B970316" w14:textId="77777777" w:rsidR="007C2E66" w:rsidRDefault="007C2E66" w:rsidP="007C2E66">
      <w:r>
        <w:t>The work of monetary approaches cannot be accentuated to achieve the greatest return on capital employed. Monetary approaches can be identified by providing the required amount of capital, sources of assets, controlling the provision and distribution of wages, serving as an assistant in the use of liabilities and value of capital and ensuring the ideal level of interest in various resources.</w:t>
      </w:r>
    </w:p>
    <w:p w14:paraId="1B5E5EB4" w14:textId="77777777" w:rsidR="007C2E66" w:rsidRDefault="007C2E66" w:rsidP="007C2E66">
      <w:r>
        <w:t>2. Consideration of financial reporting:</w:t>
      </w:r>
    </w:p>
    <w:p w14:paraId="0E63CEAC" w14:textId="333570B6" w:rsidR="007C2E66" w:rsidRDefault="007C2E66" w:rsidP="007C2E66">
      <w:r>
        <w:t xml:space="preserve">The investigation is an attempt to decide the meaning and means of the information in the budget statement </w:t>
      </w:r>
      <w:proofErr w:type="gramStart"/>
      <w:r>
        <w:t>so as to</w:t>
      </w:r>
      <w:proofErr w:type="gramEnd"/>
      <w:r>
        <w:t xml:space="preserve"> make an assumption about the possibilities for future revenues, the capacity to pay the revenues and the development of the obligations and the productivity of a stable profit strategy</w:t>
      </w:r>
      <w:r w:rsidR="006B3A0D" w:rsidRPr="006B3A0D">
        <w:t xml:space="preserve"> (A Youssef, 2013)</w:t>
      </w:r>
      <w:r>
        <w:t>. The methods of such a study are close to fiscal reports, model investigations, cash flow explanations, and proportional investigations. This review leads to the introduction of data that will help business leaders, financial backers and loan managers.</w:t>
      </w:r>
    </w:p>
    <w:p w14:paraId="25FC6790" w14:textId="77777777" w:rsidR="007C2E66" w:rsidRDefault="007C2E66" w:rsidP="007C2E66">
      <w:r>
        <w:lastRenderedPageBreak/>
        <w:t>3. Cost historical corporate accounting analysis:</w:t>
      </w:r>
    </w:p>
    <w:p w14:paraId="5F1DD94D" w14:textId="017B5C5F" w:rsidR="007C2E66" w:rsidRDefault="007C2E66" w:rsidP="007C2E66">
      <w:r>
        <w:t xml:space="preserve">Cost accounting provides past information to the administration, identifying the costs for each job, </w:t>
      </w:r>
      <w:r w:rsidR="006B3A0D">
        <w:t>corporate types of processes</w:t>
      </w:r>
      <w:r>
        <w:t>, and office so that a review of standard costs can be made</w:t>
      </w:r>
      <w:r w:rsidR="006B3A0D" w:rsidRPr="006B3A0D">
        <w:t xml:space="preserve"> (A Youssef, 2013)</w:t>
      </w:r>
      <w:r>
        <w:t>. Such research can be useful for the administration to control costs and for future settlement.</w:t>
      </w:r>
    </w:p>
    <w:p w14:paraId="2E4FC36A" w14:textId="7198939D" w:rsidR="007C2E66" w:rsidRDefault="007C2E66"/>
    <w:p w14:paraId="0563E83F" w14:textId="3927CA96" w:rsidR="00750C7B" w:rsidRDefault="00750C7B"/>
    <w:p w14:paraId="4693AA1E" w14:textId="29F221A2" w:rsidR="00750C7B" w:rsidRDefault="00750C7B"/>
    <w:p w14:paraId="49010A6F" w14:textId="47FA2236" w:rsidR="00750C7B" w:rsidRDefault="00750C7B"/>
    <w:p w14:paraId="61FF3BF2" w14:textId="17AB93F3" w:rsidR="00750C7B" w:rsidRDefault="00750C7B"/>
    <w:p w14:paraId="2C578D5F" w14:textId="35D742EA" w:rsidR="00750C7B" w:rsidRDefault="00750C7B"/>
    <w:p w14:paraId="1E2ED6D6" w14:textId="05F4A2B1" w:rsidR="00750C7B" w:rsidRDefault="00750C7B"/>
    <w:p w14:paraId="151216B4" w14:textId="71FDA5EB" w:rsidR="00750C7B" w:rsidRDefault="00750C7B"/>
    <w:p w14:paraId="2AD320DB" w14:textId="00A04E66" w:rsidR="00750C7B" w:rsidRDefault="00750C7B"/>
    <w:p w14:paraId="20EC548E" w14:textId="25749997" w:rsidR="00750C7B" w:rsidRDefault="00750C7B"/>
    <w:p w14:paraId="0534F835" w14:textId="5C22C9E1" w:rsidR="00750C7B" w:rsidRDefault="00750C7B"/>
    <w:p w14:paraId="3DA79CE9" w14:textId="623B6278" w:rsidR="00750C7B" w:rsidRDefault="00750C7B"/>
    <w:p w14:paraId="1B3D8EE8" w14:textId="23A010AE" w:rsidR="00750C7B" w:rsidRDefault="00750C7B"/>
    <w:p w14:paraId="4EACB81B" w14:textId="531FB5EE" w:rsidR="00750C7B" w:rsidRDefault="00750C7B"/>
    <w:p w14:paraId="0293484D" w14:textId="67496778" w:rsidR="00750C7B" w:rsidRDefault="00750C7B"/>
    <w:p w14:paraId="06135AF7" w14:textId="2F955D38" w:rsidR="00750C7B" w:rsidRDefault="00750C7B"/>
    <w:p w14:paraId="1025FC9F" w14:textId="1C5919FC" w:rsidR="00750C7B" w:rsidRDefault="00750C7B"/>
    <w:p w14:paraId="21469132" w14:textId="2B3CEAEE" w:rsidR="00750C7B" w:rsidRDefault="00750C7B"/>
    <w:p w14:paraId="5B0D760A" w14:textId="2E7645B6" w:rsidR="00750C7B" w:rsidRDefault="00750C7B"/>
    <w:p w14:paraId="0A5D1610" w14:textId="3024071B" w:rsidR="00750C7B" w:rsidRDefault="00750C7B"/>
    <w:p w14:paraId="71315F7D" w14:textId="0E291F98" w:rsidR="00750C7B" w:rsidRDefault="00750C7B"/>
    <w:p w14:paraId="5AADD452" w14:textId="59B74047" w:rsidR="00750C7B" w:rsidRDefault="00750C7B"/>
    <w:p w14:paraId="6629D29C" w14:textId="77777777" w:rsidR="00750C7B" w:rsidRDefault="00750C7B"/>
    <w:p w14:paraId="425AA5E8" w14:textId="2BA37763" w:rsidR="00750C7B" w:rsidRPr="00750C7B" w:rsidRDefault="00750C7B" w:rsidP="00750C7B">
      <w:pPr>
        <w:pStyle w:val="Heading1"/>
      </w:pPr>
      <w:r>
        <w:lastRenderedPageBreak/>
        <w:t>References</w:t>
      </w:r>
    </w:p>
    <w:p w14:paraId="524E60D4" w14:textId="79690987" w:rsidR="006B3A0D" w:rsidRDefault="006B3A0D">
      <w:r w:rsidRPr="006B3A0D">
        <w:t xml:space="preserve">A Youssef, M. (2013). Management Control System Style and Management Accounting Techniques Adoption. </w:t>
      </w:r>
      <w:r w:rsidRPr="006B3A0D">
        <w:rPr>
          <w:i/>
          <w:iCs/>
        </w:rPr>
        <w:t>Journal of Accounting &amp; Marketing</w:t>
      </w:r>
      <w:r w:rsidRPr="006B3A0D">
        <w:t>, 02(</w:t>
      </w:r>
      <w:r w:rsidRPr="006B3A0D">
        <w:rPr>
          <w:b/>
          <w:bCs/>
        </w:rPr>
        <w:t>03</w:t>
      </w:r>
      <w:r w:rsidRPr="006B3A0D">
        <w:t>).</w:t>
      </w:r>
    </w:p>
    <w:p w14:paraId="091A6357" w14:textId="74934F19" w:rsidR="00750C7B" w:rsidRDefault="006B3A0D">
      <w:r w:rsidRPr="006B3A0D">
        <w:t xml:space="preserve">Catanzaro, T.E. (2016). Break Even Analysis. </w:t>
      </w:r>
      <w:r w:rsidRPr="006B3A0D">
        <w:rPr>
          <w:i/>
          <w:iCs/>
        </w:rPr>
        <w:t>Journal of Global Economics</w:t>
      </w:r>
      <w:r w:rsidRPr="006B3A0D">
        <w:t>, 4(</w:t>
      </w:r>
      <w:r w:rsidRPr="006B3A0D">
        <w:rPr>
          <w:b/>
          <w:bCs/>
        </w:rPr>
        <w:t>2</w:t>
      </w:r>
      <w:r w:rsidRPr="006B3A0D">
        <w:t>).</w:t>
      </w:r>
    </w:p>
    <w:p w14:paraId="546470C0" w14:textId="5A814F0A" w:rsidR="006B3A0D" w:rsidRDefault="006B3A0D">
      <w:r w:rsidRPr="006B3A0D">
        <w:t xml:space="preserve">Peterson, S.J. (2020). </w:t>
      </w:r>
      <w:r w:rsidRPr="006B3A0D">
        <w:rPr>
          <w:i/>
          <w:iCs/>
        </w:rPr>
        <w:t>Construction accounting and financial management</w:t>
      </w:r>
      <w:r w:rsidRPr="006B3A0D">
        <w:t>. Hoboken, Nj: Pearson Education, Inc.</w:t>
      </w:r>
    </w:p>
    <w:sectPr w:rsidR="006B3A0D">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A0E06" w14:textId="77777777" w:rsidR="006D0E11" w:rsidRDefault="006D0E11" w:rsidP="00594C68">
      <w:pPr>
        <w:spacing w:after="0" w:line="240" w:lineRule="auto"/>
      </w:pPr>
      <w:r>
        <w:separator/>
      </w:r>
    </w:p>
  </w:endnote>
  <w:endnote w:type="continuationSeparator" w:id="0">
    <w:p w14:paraId="0C87DC6D" w14:textId="77777777" w:rsidR="006D0E11" w:rsidRDefault="006D0E11" w:rsidP="00594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4790285"/>
      <w:docPartObj>
        <w:docPartGallery w:val="Page Numbers (Bottom of Page)"/>
        <w:docPartUnique/>
      </w:docPartObj>
    </w:sdtPr>
    <w:sdtEndPr>
      <w:rPr>
        <w:rStyle w:val="PageNumber"/>
      </w:rPr>
    </w:sdtEndPr>
    <w:sdtContent>
      <w:p w14:paraId="0D4A04B9" w14:textId="08C72D0F" w:rsidR="00594C68" w:rsidRDefault="00594C68"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DFAF04" w14:textId="77777777" w:rsidR="00594C68" w:rsidRDefault="00594C68" w:rsidP="00594C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1760114"/>
      <w:docPartObj>
        <w:docPartGallery w:val="Page Numbers (Bottom of Page)"/>
        <w:docPartUnique/>
      </w:docPartObj>
    </w:sdtPr>
    <w:sdtEndPr>
      <w:rPr>
        <w:rStyle w:val="PageNumber"/>
      </w:rPr>
    </w:sdtEndPr>
    <w:sdtContent>
      <w:p w14:paraId="492AA72C" w14:textId="48F003BE" w:rsidR="00594C68" w:rsidRDefault="00594C68"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6DD254" w14:textId="77777777" w:rsidR="00594C68" w:rsidRDefault="00594C68" w:rsidP="00594C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6EEDD" w14:textId="77777777" w:rsidR="006D0E11" w:rsidRDefault="006D0E11" w:rsidP="00594C68">
      <w:pPr>
        <w:spacing w:after="0" w:line="240" w:lineRule="auto"/>
      </w:pPr>
      <w:r>
        <w:separator/>
      </w:r>
    </w:p>
  </w:footnote>
  <w:footnote w:type="continuationSeparator" w:id="0">
    <w:p w14:paraId="5378775D" w14:textId="77777777" w:rsidR="006D0E11" w:rsidRDefault="006D0E11" w:rsidP="00594C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66"/>
    <w:rsid w:val="0025465B"/>
    <w:rsid w:val="005433BA"/>
    <w:rsid w:val="00571B3E"/>
    <w:rsid w:val="00594C68"/>
    <w:rsid w:val="006B3A0D"/>
    <w:rsid w:val="006D0E11"/>
    <w:rsid w:val="00750C7B"/>
    <w:rsid w:val="00790CB2"/>
    <w:rsid w:val="007A3D60"/>
    <w:rsid w:val="007C2E66"/>
    <w:rsid w:val="00E7784F"/>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82F9D"/>
  <w15:chartTrackingRefBased/>
  <w15:docId w15:val="{15A36284-BB4D-8640-BB5B-20DA2C506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E66"/>
    <w:pPr>
      <w:spacing w:after="200" w:line="276" w:lineRule="auto"/>
    </w:pPr>
    <w:rPr>
      <w:rFonts w:ascii="Arial" w:hAnsi="Arial"/>
      <w:szCs w:val="22"/>
    </w:rPr>
  </w:style>
  <w:style w:type="paragraph" w:styleId="Heading1">
    <w:name w:val="heading 1"/>
    <w:basedOn w:val="Normal"/>
    <w:next w:val="Normal"/>
    <w:link w:val="Heading1Char"/>
    <w:uiPriority w:val="9"/>
    <w:qFormat/>
    <w:rsid w:val="00750C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94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C68"/>
    <w:rPr>
      <w:rFonts w:ascii="Arial" w:hAnsi="Arial"/>
      <w:szCs w:val="22"/>
    </w:rPr>
  </w:style>
  <w:style w:type="character" w:styleId="PageNumber">
    <w:name w:val="page number"/>
    <w:basedOn w:val="DefaultParagraphFont"/>
    <w:uiPriority w:val="99"/>
    <w:semiHidden/>
    <w:unhideWhenUsed/>
    <w:rsid w:val="00594C68"/>
  </w:style>
  <w:style w:type="character" w:customStyle="1" w:styleId="Heading1Char">
    <w:name w:val="Heading 1 Char"/>
    <w:basedOn w:val="DefaultParagraphFont"/>
    <w:link w:val="Heading1"/>
    <w:uiPriority w:val="9"/>
    <w:rsid w:val="00750C7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50C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0C7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1126</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 Gospodinov</dc:creator>
  <cp:keywords/>
  <dc:description/>
  <cp:lastModifiedBy>Yordan Gospodinov Gospodinov</cp:lastModifiedBy>
  <cp:revision>5</cp:revision>
  <dcterms:created xsi:type="dcterms:W3CDTF">2021-08-27T09:39:00Z</dcterms:created>
  <dcterms:modified xsi:type="dcterms:W3CDTF">2021-08-27T13:26:00Z</dcterms:modified>
</cp:coreProperties>
</file>