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037EF" w14:textId="77777777" w:rsidR="00AA39F9" w:rsidRDefault="00AA39F9" w:rsidP="00AA39F9">
      <w:pPr>
        <w:spacing w:after="80" w:line="360" w:lineRule="auto"/>
        <w:rPr>
          <w:rFonts w:ascii="Arial" w:eastAsia="Calibri" w:hAnsi="Arial" w:cs="Arial"/>
          <w:kern w:val="0"/>
          <w:sz w:val="24"/>
          <w:szCs w:val="24"/>
        </w:rPr>
      </w:pPr>
    </w:p>
    <w:p w14:paraId="29FE909C" w14:textId="77777777" w:rsidR="00AA39F9" w:rsidRDefault="00AA39F9" w:rsidP="00AA39F9">
      <w:pPr>
        <w:spacing w:after="80" w:line="360" w:lineRule="auto"/>
        <w:rPr>
          <w:rFonts w:ascii="Arial" w:eastAsia="Calibri" w:hAnsi="Arial" w:cs="Arial"/>
          <w:kern w:val="0"/>
          <w:sz w:val="24"/>
          <w:szCs w:val="24"/>
        </w:rPr>
      </w:pPr>
    </w:p>
    <w:p w14:paraId="25FE80C6" w14:textId="77777777" w:rsidR="00AA39F9" w:rsidRDefault="00AA39F9" w:rsidP="00AA39F9">
      <w:pPr>
        <w:spacing w:after="80" w:line="360" w:lineRule="auto"/>
        <w:rPr>
          <w:rFonts w:ascii="Arial" w:eastAsia="Calibri" w:hAnsi="Arial" w:cs="Arial"/>
          <w:kern w:val="0"/>
          <w:sz w:val="24"/>
          <w:szCs w:val="24"/>
        </w:rPr>
      </w:pPr>
    </w:p>
    <w:p w14:paraId="2F9EE613" w14:textId="77777777" w:rsidR="00AA39F9" w:rsidRDefault="00AA39F9" w:rsidP="00AA39F9">
      <w:pPr>
        <w:spacing w:after="80" w:line="360" w:lineRule="auto"/>
        <w:rPr>
          <w:rFonts w:ascii="Arial" w:eastAsia="Calibri" w:hAnsi="Arial" w:cs="Arial"/>
          <w:kern w:val="0"/>
          <w:sz w:val="24"/>
          <w:szCs w:val="24"/>
        </w:rPr>
      </w:pPr>
    </w:p>
    <w:p w14:paraId="7DED3EF1" w14:textId="77777777" w:rsidR="00AA39F9" w:rsidRDefault="00AA39F9" w:rsidP="00AA39F9">
      <w:pPr>
        <w:spacing w:after="80" w:line="360" w:lineRule="auto"/>
        <w:rPr>
          <w:rFonts w:ascii="Arial" w:eastAsia="Calibri" w:hAnsi="Arial" w:cs="Arial"/>
          <w:kern w:val="0"/>
          <w:sz w:val="24"/>
          <w:szCs w:val="24"/>
        </w:rPr>
      </w:pPr>
    </w:p>
    <w:p w14:paraId="11948DCD" w14:textId="77777777" w:rsidR="00AA39F9" w:rsidRDefault="00AA39F9" w:rsidP="00AA39F9">
      <w:pPr>
        <w:spacing w:after="80" w:line="360" w:lineRule="auto"/>
        <w:rPr>
          <w:rFonts w:ascii="Arial" w:eastAsia="Calibri" w:hAnsi="Arial" w:cs="Arial"/>
          <w:kern w:val="0"/>
          <w:sz w:val="24"/>
          <w:szCs w:val="24"/>
        </w:rPr>
      </w:pPr>
    </w:p>
    <w:p w14:paraId="0B10BAD5" w14:textId="77777777" w:rsidR="00AA39F9" w:rsidRDefault="00AA39F9" w:rsidP="00AA39F9">
      <w:pPr>
        <w:spacing w:after="80" w:line="360" w:lineRule="auto"/>
        <w:rPr>
          <w:rFonts w:ascii="Arial" w:eastAsia="Calibri" w:hAnsi="Arial" w:cs="Arial"/>
          <w:kern w:val="0"/>
          <w:sz w:val="24"/>
          <w:szCs w:val="24"/>
        </w:rPr>
      </w:pPr>
    </w:p>
    <w:p w14:paraId="1BDC2A30" w14:textId="77777777" w:rsidR="00AA39F9" w:rsidRDefault="00AA39F9" w:rsidP="00AA39F9">
      <w:pPr>
        <w:spacing w:after="80" w:line="360" w:lineRule="auto"/>
        <w:rPr>
          <w:rFonts w:ascii="Arial" w:eastAsia="Calibri" w:hAnsi="Arial" w:cs="Arial"/>
          <w:kern w:val="0"/>
          <w:sz w:val="24"/>
          <w:szCs w:val="24"/>
        </w:rPr>
      </w:pPr>
    </w:p>
    <w:p w14:paraId="684B3EBD" w14:textId="77777777" w:rsidR="00AA39F9" w:rsidRDefault="00AA39F9" w:rsidP="00AA39F9">
      <w:pPr>
        <w:spacing w:after="80" w:line="360" w:lineRule="auto"/>
        <w:rPr>
          <w:rFonts w:ascii="Arial" w:eastAsia="Calibri" w:hAnsi="Arial" w:cs="Arial"/>
          <w:kern w:val="0"/>
          <w:sz w:val="24"/>
          <w:szCs w:val="24"/>
        </w:rPr>
      </w:pPr>
    </w:p>
    <w:p w14:paraId="29B2C78E" w14:textId="77777777" w:rsidR="00AA39F9" w:rsidRDefault="00AA39F9" w:rsidP="00AA39F9">
      <w:pPr>
        <w:spacing w:after="80" w:line="360" w:lineRule="auto"/>
        <w:rPr>
          <w:rFonts w:ascii="Arial" w:eastAsia="Calibri" w:hAnsi="Arial" w:cs="Arial"/>
          <w:kern w:val="0"/>
          <w:sz w:val="24"/>
          <w:szCs w:val="24"/>
        </w:rPr>
      </w:pPr>
    </w:p>
    <w:p w14:paraId="4A9E65D5"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Topic: Report Case Study: The Seacrest Lodge</w:t>
      </w:r>
    </w:p>
    <w:p w14:paraId="39B56EA7" w14:textId="77777777" w:rsidR="00AA39F9" w:rsidRDefault="00AA39F9" w:rsidP="00AA39F9">
      <w:pPr>
        <w:spacing w:after="80" w:line="360" w:lineRule="auto"/>
        <w:jc w:val="center"/>
        <w:rPr>
          <w:rFonts w:ascii="Arial" w:eastAsia="Calibri" w:hAnsi="Arial" w:cs="Arial"/>
          <w:kern w:val="0"/>
          <w:sz w:val="24"/>
          <w:szCs w:val="24"/>
        </w:rPr>
      </w:pPr>
    </w:p>
    <w:p w14:paraId="0062C115"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Module Title : Financial Management for the Hotel Industry BMIH5007</w:t>
      </w:r>
    </w:p>
    <w:p w14:paraId="6795EFE2"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Lecturer’s Name : Tristan Hawkins</w:t>
      </w:r>
    </w:p>
    <w:p w14:paraId="7E20A636"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Student’s Name : Gabriela Catalina Dumitru</w:t>
      </w:r>
    </w:p>
    <w:p w14:paraId="45957089"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Student ID : 2209716</w:t>
      </w:r>
    </w:p>
    <w:p w14:paraId="110B089F"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Date : 22.05.2024</w:t>
      </w:r>
    </w:p>
    <w:p w14:paraId="6F566EDC"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Wordcount : 1978 words</w:t>
      </w:r>
    </w:p>
    <w:p w14:paraId="61E7E97A"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18F4DB65"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04915EA7"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57E8DF8B"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1BD4BE26"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4B8F8BCD"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5CF302B3"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71BB74F3"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3F828C02"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0E41FAC7"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143E53CD"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36219918"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41FAFB58" w14:textId="77777777" w:rsidR="00AA39F9" w:rsidRDefault="00AA39F9" w:rsidP="00AA39F9">
      <w:pPr>
        <w:shd w:val="clear" w:color="auto" w:fill="FFFFFF"/>
        <w:spacing w:after="0" w:line="360" w:lineRule="auto"/>
        <w:rPr>
          <w:rFonts w:ascii="Arial" w:eastAsia="Times New Roman" w:hAnsi="Arial" w:cs="Arial"/>
          <w:kern w:val="0"/>
          <w:sz w:val="24"/>
          <w:szCs w:val="24"/>
          <w:lang w:eastAsia="en-GB"/>
          <w14:ligatures w14:val="none"/>
        </w:rPr>
      </w:pPr>
    </w:p>
    <w:p w14:paraId="54893FB3" w14:textId="77777777" w:rsidR="00AA39F9" w:rsidRDefault="00AA39F9" w:rsidP="00AA39F9">
      <w:pPr>
        <w:shd w:val="clear" w:color="auto" w:fill="FFFFFF"/>
        <w:spacing w:after="0" w:line="360" w:lineRule="auto"/>
        <w:rPr>
          <w:rFonts w:ascii="Arial" w:eastAsia="Times New Roman" w:hAnsi="Arial" w:cs="Arial"/>
          <w:kern w:val="0"/>
          <w:sz w:val="24"/>
          <w:szCs w:val="24"/>
          <w:lang w:eastAsia="en-GB"/>
          <w14:ligatures w14:val="none"/>
        </w:rPr>
      </w:pPr>
    </w:p>
    <w:p w14:paraId="305DA2F9" w14:textId="77777777" w:rsidR="00AA39F9" w:rsidRDefault="00AA39F9" w:rsidP="00AA39F9">
      <w:pPr>
        <w:shd w:val="clear" w:color="auto" w:fill="FFFFFF"/>
        <w:spacing w:after="0" w:line="360" w:lineRule="auto"/>
        <w:rPr>
          <w:rFonts w:ascii="Arial" w:eastAsia="Times New Roman" w:hAnsi="Arial" w:cs="Arial"/>
          <w:kern w:val="0"/>
          <w:sz w:val="24"/>
          <w:szCs w:val="24"/>
          <w:lang w:eastAsia="en-GB"/>
          <w14:ligatures w14:val="none"/>
        </w:rPr>
      </w:pPr>
    </w:p>
    <w:p w14:paraId="13420858" w14:textId="77777777" w:rsidR="00AA39F9" w:rsidRDefault="00AA39F9" w:rsidP="00AA39F9">
      <w:pPr>
        <w:shd w:val="clear" w:color="auto" w:fill="FFFFFF"/>
        <w:spacing w:after="0" w:line="360" w:lineRule="auto"/>
        <w:rPr>
          <w:rFonts w:ascii="Arial" w:eastAsia="Times New Roman" w:hAnsi="Arial" w:cs="Arial"/>
          <w:b/>
          <w:bCs/>
          <w:kern w:val="0"/>
          <w:sz w:val="24"/>
          <w:szCs w:val="24"/>
          <w:lang w:eastAsia="en-GB"/>
          <w14:ligatures w14:val="none"/>
        </w:rPr>
      </w:pPr>
    </w:p>
    <w:p w14:paraId="6746E24C"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25645EA5"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68F9C09"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E61D2A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9DBDC50"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29FBC01"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4FC757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4341175"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C8E6F46"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Executive Summary :</w:t>
      </w:r>
    </w:p>
    <w:p w14:paraId="6F4FABFD"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E8607C3"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6E4B19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E7E8B7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7B9D768" w14:textId="5349A13B"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w:t>
      </w:r>
      <w:r w:rsidR="00F306D5">
        <w:rPr>
          <w:rFonts w:ascii="Arial" w:eastAsia="Times New Roman" w:hAnsi="Arial" w:cs="Arial"/>
          <w:kern w:val="0"/>
          <w:sz w:val="24"/>
          <w:szCs w:val="24"/>
          <w:lang w:eastAsia="en-GB"/>
          <w14:ligatures w14:val="none"/>
        </w:rPr>
        <w:t>e</w:t>
      </w:r>
      <w:r>
        <w:rPr>
          <w:rFonts w:ascii="Arial" w:eastAsia="Times New Roman" w:hAnsi="Arial" w:cs="Arial"/>
          <w:kern w:val="0"/>
          <w:sz w:val="24"/>
          <w:szCs w:val="24"/>
          <w:lang w:eastAsia="en-GB"/>
          <w14:ligatures w14:val="none"/>
        </w:rPr>
        <w:t xml:space="preserve"> report is an analyse of financial performance based on evaluation of data collected for last years, also second part identify weaknesses and elaborate a list of measures ( a turnaround plan) meant to return to profit the Seacrest Hotel and Lodge. In this purpose, a comprehensive perspective is essential, considering numerous factors, historical details which conducted to underperformance. Nonetheless, with the available data, it is feasible to develop, implement, and oversee a set of financial management measures and policies at Seacrest Lodge to enhance its operations. “Strategic management accounting, performance evaluation and pricing in a competitive environment”,  that are “developing and implementing methods through which a business can outperform the competition” (Atrill, 2021, p.361). To create a comprehensive and detailed plan, more information (including numerical data) and records of activity from all departments is necessary. This will allow to assess all circumstances, understand the current challenges, follow the route to main cause/factor, to evaluate the competitive landscape and to identify potential opportunities for differentiation and growth.</w:t>
      </w:r>
    </w:p>
    <w:p w14:paraId="2F8995F0"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C49D40E"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758FBF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BC64B1B"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13C1CA1"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A2333D1"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3879EE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4E81D26"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7B2FFD0"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90CB391"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75195D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FED7274"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34CABD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F6895C5"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Content Table</w:t>
      </w:r>
    </w:p>
    <w:p w14:paraId="3A46716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B7A015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2916C66"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Introduction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3</w:t>
      </w:r>
    </w:p>
    <w:p w14:paraId="2FF85514"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 Current state analysis</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4</w:t>
      </w:r>
    </w:p>
    <w:p w14:paraId="64E4B9CE"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 Customers feedback</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5</w:t>
      </w:r>
    </w:p>
    <w:p w14:paraId="35B8F000"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 Market and competition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5</w:t>
      </w:r>
    </w:p>
    <w:p w14:paraId="12DBF383"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 Action plan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6</w:t>
      </w:r>
    </w:p>
    <w:p w14:paraId="1B19B55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 Implementing Plan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6</w:t>
      </w:r>
    </w:p>
    <w:p w14:paraId="444DBE44"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 Engagement of Stakeholders</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6</w:t>
      </w:r>
    </w:p>
    <w:p w14:paraId="7589085F"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 Turnaround Strategy</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7</w:t>
      </w:r>
    </w:p>
    <w:p w14:paraId="25132444"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 Financial Management Aspects</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8</w:t>
      </w:r>
    </w:p>
    <w:p w14:paraId="6A631300" w14:textId="29BEE3E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9 Conclusion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9</w:t>
      </w:r>
    </w:p>
    <w:p w14:paraId="358D73D9" w14:textId="0E6FB80F"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10</w:t>
      </w:r>
      <w:r w:rsidR="004E3F08">
        <w:rPr>
          <w:rFonts w:ascii="Arial" w:eastAsia="Times New Roman" w:hAnsi="Arial" w:cs="Arial"/>
          <w:kern w:val="0"/>
          <w:sz w:val="24"/>
          <w:szCs w:val="24"/>
          <w:lang w:eastAsia="en-GB"/>
          <w14:ligatures w14:val="none"/>
        </w:rPr>
        <w:t xml:space="preserve"> References</w:t>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10</w:t>
      </w:r>
    </w:p>
    <w:p w14:paraId="0EA22D2B"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EAB7C3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3C979FD"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359AC50"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23444E5" w14:textId="77777777" w:rsidR="00AA39F9" w:rsidRDefault="00AA39F9" w:rsidP="00AA39F9">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Introduction</w:t>
      </w:r>
    </w:p>
    <w:p w14:paraId="7A43B1C5"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1207D5B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 turnaround plan for an underperforming hotel is a measure to implement when regular management operative decision failed, when situation is in a continuous decline, when no other quick fixings will work, mainly have few steps as understand what happen, establish what is to do, make sure new rules are in place, evaluate the results. The plan indeed should start by stabilizing its financial health through dynamic pricing models and rigorous cost management to reduce operational expenses. Next, invest in modernizing the hotel's facilities and amenities to meet current guest expectations, enhancing the overall customer experience. Simultaneously, revamp the marketing and branding strategies to attract new customer segments, emphasizing the hotel's unique offerings. Incorporating advanced technology for operational efficiency and personalized guest services can further boost profitability. By aligning these efforts, the hotel can achieve a sustainable turnaround and re-establish itself as a profitable and competitive player in the market.</w:t>
      </w:r>
    </w:p>
    <w:p w14:paraId="519DBC5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In order to elaborate what are measures to implement to improve the activity of Seacrest hotel, should follow a procedure, an algorithm which will allow to perform a correct understanding of actual situation, the factors that influenced hotel’s activity and to elaborate what is to do, all these in few certain steps (Bhimani, 2006), as follow:</w:t>
      </w:r>
    </w:p>
    <w:p w14:paraId="2B4F5C07" w14:textId="77777777" w:rsidR="00AA39F9" w:rsidRDefault="00AA39F9" w:rsidP="00AA39F9">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1.Current state analysis and financial review:</w:t>
      </w:r>
    </w:p>
    <w:p w14:paraId="1E8A4D24" w14:textId="22F9D6F0"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An in-depth review of the financial statements f</w:t>
      </w:r>
      <w:r w:rsidR="00F51646">
        <w:rPr>
          <w:rFonts w:ascii="Arial" w:eastAsia="Times New Roman" w:hAnsi="Arial" w:cs="Arial"/>
          <w:kern w:val="0"/>
          <w:sz w:val="24"/>
          <w:szCs w:val="24"/>
          <w:lang w:eastAsia="en-GB"/>
          <w14:ligatures w14:val="none"/>
        </w:rPr>
        <w:t>or</w:t>
      </w:r>
      <w:r>
        <w:rPr>
          <w:rFonts w:ascii="Arial" w:eastAsia="Times New Roman" w:hAnsi="Arial" w:cs="Arial"/>
          <w:kern w:val="0"/>
          <w:sz w:val="24"/>
          <w:szCs w:val="24"/>
          <w:lang w:eastAsia="en-GB"/>
          <w14:ligatures w14:val="none"/>
        </w:rPr>
        <w:t xml:space="preserve"> the </w:t>
      </w:r>
      <w:r w:rsidR="00F51646">
        <w:rPr>
          <w:rFonts w:ascii="Arial" w:eastAsia="Times New Roman" w:hAnsi="Arial" w:cs="Arial"/>
          <w:kern w:val="0"/>
          <w:sz w:val="24"/>
          <w:szCs w:val="24"/>
          <w:lang w:eastAsia="en-GB"/>
          <w14:ligatures w14:val="none"/>
        </w:rPr>
        <w:t>l</w:t>
      </w:r>
      <w:r>
        <w:rPr>
          <w:rFonts w:ascii="Arial" w:eastAsia="Times New Roman" w:hAnsi="Arial" w:cs="Arial"/>
          <w:kern w:val="0"/>
          <w:sz w:val="24"/>
          <w:szCs w:val="24"/>
          <w:lang w:eastAsia="en-GB"/>
          <w14:ligatures w14:val="none"/>
        </w:rPr>
        <w:t>ast few years to identify trends in revenue, costs, and profitability is essential because will help understand the financial health of Seacrest Lodge and pinpoint areas that are draining resources or underperforming.</w:t>
      </w:r>
    </w:p>
    <w:p w14:paraId="3ABE1454"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 </w:t>
      </w:r>
      <w:r>
        <w:rPr>
          <w:rFonts w:ascii="Arial" w:eastAsia="Times New Roman" w:hAnsi="Arial" w:cs="Arial"/>
          <w:b/>
          <w:bCs/>
          <w:kern w:val="0"/>
          <w:sz w:val="24"/>
          <w:szCs w:val="24"/>
          <w:lang w:eastAsia="en-GB"/>
          <w14:ligatures w14:val="none"/>
        </w:rPr>
        <w:t>Revenue:</w:t>
      </w:r>
    </w:p>
    <w:p w14:paraId="291EA179" w14:textId="53EE3B0D"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Is  a clear decline in financial health </w:t>
      </w:r>
      <w:r w:rsidR="00C61CCF">
        <w:rPr>
          <w:rFonts w:ascii="Arial" w:eastAsia="Times New Roman" w:hAnsi="Arial" w:cs="Arial"/>
          <w:kern w:val="0"/>
          <w:sz w:val="24"/>
          <w:szCs w:val="24"/>
          <w:lang w:eastAsia="en-GB"/>
          <w14:ligatures w14:val="none"/>
        </w:rPr>
        <w:t>in</w:t>
      </w:r>
      <w:r>
        <w:rPr>
          <w:rFonts w:ascii="Arial" w:eastAsia="Times New Roman" w:hAnsi="Arial" w:cs="Arial"/>
          <w:kern w:val="0"/>
          <w:sz w:val="24"/>
          <w:szCs w:val="24"/>
          <w:lang w:eastAsia="en-GB"/>
          <w14:ligatures w14:val="none"/>
        </w:rPr>
        <w:t xml:space="preserve"> the </w:t>
      </w:r>
      <w:r w:rsidR="00C61CCF">
        <w:rPr>
          <w:rFonts w:ascii="Arial" w:eastAsia="Times New Roman" w:hAnsi="Arial" w:cs="Arial"/>
          <w:kern w:val="0"/>
          <w:sz w:val="24"/>
          <w:szCs w:val="24"/>
          <w:lang w:eastAsia="en-GB"/>
          <w14:ligatures w14:val="none"/>
        </w:rPr>
        <w:t>l</w:t>
      </w:r>
      <w:r>
        <w:rPr>
          <w:rFonts w:ascii="Arial" w:eastAsia="Times New Roman" w:hAnsi="Arial" w:cs="Arial"/>
          <w:kern w:val="0"/>
          <w:sz w:val="24"/>
          <w:szCs w:val="24"/>
          <w:lang w:eastAsia="en-GB"/>
          <w14:ligatures w14:val="none"/>
        </w:rPr>
        <w:t xml:space="preserve">ast three years. Revenue has dropped from £1,200,000 in 2021 to £950,000 in 2023. This decline can be attributed to both a decrease in the average room rate (ARR) and occupancy rate. The ARR </w:t>
      </w:r>
      <w:r w:rsidR="004B0843">
        <w:rPr>
          <w:rFonts w:ascii="Arial" w:eastAsia="Times New Roman" w:hAnsi="Arial" w:cs="Arial"/>
          <w:kern w:val="0"/>
          <w:sz w:val="24"/>
          <w:szCs w:val="24"/>
          <w:lang w:eastAsia="en-GB"/>
          <w14:ligatures w14:val="none"/>
        </w:rPr>
        <w:t>been diminuate</w:t>
      </w:r>
      <w:r>
        <w:rPr>
          <w:rFonts w:ascii="Arial" w:eastAsia="Times New Roman" w:hAnsi="Arial" w:cs="Arial"/>
          <w:kern w:val="0"/>
          <w:sz w:val="24"/>
          <w:szCs w:val="24"/>
          <w:lang w:eastAsia="en-GB"/>
          <w14:ligatures w14:val="none"/>
        </w:rPr>
        <w:t xml:space="preserve"> from £260 in 2021 to £210 in 2023, while occupancy rates decreased from 65% in 2021 to 50% in 2023. These trends suggest a reduction in demand and possibly a forced reduction in pricing to attract guests amidst increasing competition and changing preferences, aiming to keep the hotel operational despite market pressures.</w:t>
      </w:r>
    </w:p>
    <w:p w14:paraId="17257953"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b. </w:t>
      </w:r>
      <w:r>
        <w:rPr>
          <w:rFonts w:ascii="Arial" w:eastAsia="Times New Roman" w:hAnsi="Arial" w:cs="Arial"/>
          <w:b/>
          <w:bCs/>
          <w:kern w:val="0"/>
          <w:sz w:val="24"/>
          <w:szCs w:val="24"/>
          <w:lang w:eastAsia="en-GB"/>
          <w14:ligatures w14:val="none"/>
        </w:rPr>
        <w:t>Operating Expenses:</w:t>
      </w:r>
    </w:p>
    <w:p w14:paraId="13AC1AE1" w14:textId="0601D01D"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Operating expenses </w:t>
      </w:r>
      <w:r w:rsidR="003812A1">
        <w:rPr>
          <w:rFonts w:ascii="Arial" w:eastAsia="Times New Roman" w:hAnsi="Arial" w:cs="Arial"/>
          <w:kern w:val="0"/>
          <w:sz w:val="24"/>
          <w:szCs w:val="24"/>
          <w:lang w:eastAsia="en-GB"/>
          <w14:ligatures w14:val="none"/>
        </w:rPr>
        <w:t>rai</w:t>
      </w:r>
      <w:r>
        <w:rPr>
          <w:rFonts w:ascii="Arial" w:eastAsia="Times New Roman" w:hAnsi="Arial" w:cs="Arial"/>
          <w:kern w:val="0"/>
          <w:sz w:val="24"/>
          <w:szCs w:val="24"/>
          <w:lang w:eastAsia="en-GB"/>
          <w14:ligatures w14:val="none"/>
        </w:rPr>
        <w:t>sed from £900,000 in 2021 to £1,100,000 in 2023, despite falling revenue, resulting in a negative net income of -£150,000 in 2023. This indicates rising costs or inefficiencies in operations that are not being offset by revenue, which is a critical concern for the hotel's sustainability.</w:t>
      </w:r>
    </w:p>
    <w:p w14:paraId="4C8FE64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 </w:t>
      </w:r>
      <w:r>
        <w:rPr>
          <w:rFonts w:ascii="Arial" w:eastAsia="Times New Roman" w:hAnsi="Arial" w:cs="Arial"/>
          <w:b/>
          <w:bCs/>
          <w:kern w:val="0"/>
          <w:sz w:val="24"/>
          <w:szCs w:val="24"/>
          <w:lang w:eastAsia="en-GB"/>
          <w14:ligatures w14:val="none"/>
        </w:rPr>
        <w:t>Balance Sheet Analysis:</w:t>
      </w:r>
    </w:p>
    <w:p w14:paraId="47822901"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Cash and Equivalents: Cash reserves have significantly decreased from £100,000 in 2021 to £20,000 in 2023, indicating liquidity issues. This reduction limits the hotel's ability to invest in necessary improvements or cover operating costs during low-demand periods, affecting both asset value and the image perceived by guests.</w:t>
      </w:r>
    </w:p>
    <w:p w14:paraId="676BE4D3" w14:textId="2AC4F15C"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Property and Equipment: The value of </w:t>
      </w:r>
      <w:r w:rsidR="00E7416C">
        <w:rPr>
          <w:rFonts w:ascii="Arial" w:eastAsia="Times New Roman" w:hAnsi="Arial" w:cs="Arial"/>
          <w:kern w:val="0"/>
          <w:sz w:val="24"/>
          <w:szCs w:val="24"/>
          <w:lang w:eastAsia="en-GB"/>
          <w14:ligatures w14:val="none"/>
        </w:rPr>
        <w:t>assets</w:t>
      </w:r>
      <w:r>
        <w:rPr>
          <w:rFonts w:ascii="Arial" w:eastAsia="Times New Roman" w:hAnsi="Arial" w:cs="Arial"/>
          <w:kern w:val="0"/>
          <w:sz w:val="24"/>
          <w:szCs w:val="24"/>
          <w:lang w:eastAsia="en-GB"/>
          <w14:ligatures w14:val="none"/>
        </w:rPr>
        <w:t xml:space="preserve"> has decreased from £2,000,000 in 2021 to £1,800,000 in 2023, reflecting depreciation or asset disposals, likely related to attempts to manage financial distress and a lack of maintenance measures.</w:t>
      </w:r>
    </w:p>
    <w:p w14:paraId="31366E36"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Total Liabilities and Equity: Total liabilities have slightly increased, while equity has more than halved from £620,000 in 2021 to £300,000 in 2023, indicating deteriorating financial health and potential solvency issues.</w:t>
      </w:r>
    </w:p>
    <w:p w14:paraId="102ED540"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Analysing these data, seems “all the variables have moved dramatically against profitability—investment, start-up costs, cash margins, and operating costs. Can the </w:t>
      </w:r>
      <w:r>
        <w:rPr>
          <w:rFonts w:ascii="Arial" w:eastAsia="Times New Roman" w:hAnsi="Arial" w:cs="Arial"/>
          <w:kern w:val="0"/>
          <w:sz w:val="24"/>
          <w:szCs w:val="24"/>
          <w:lang w:eastAsia="en-GB"/>
          <w14:ligatures w14:val="none"/>
        </w:rPr>
        <w:lastRenderedPageBreak/>
        <w:t>business be ‘turned around’?” ( Bhimani, 2006, p.376 ). The turnover plan is a consequence of this diagnose, containing elements which will treat each disadvantage, creating condition to bring back the proficiency.</w:t>
      </w:r>
    </w:p>
    <w:p w14:paraId="42641D63" w14:textId="77777777" w:rsidR="00C30C3F" w:rsidRDefault="00C30C3F" w:rsidP="00AA39F9">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p>
    <w:p w14:paraId="77FE254E" w14:textId="6EF4DA35" w:rsidR="00AA39F9" w:rsidRDefault="00AA39F9" w:rsidP="00AA39F9">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2. Customer Feedback and Satisfaction Evaluation</w:t>
      </w:r>
    </w:p>
    <w:p w14:paraId="6BEA07C3"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Analysing customer reviews and feedback across various platforms is essential for understanding the reasons behind the decline in customer satisfaction. This analysis is critical for making informed decisions on necessary improvements.</w:t>
      </w:r>
    </w:p>
    <w:p w14:paraId="0C38A95F"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the case of Seacrest Lodge, customer preferences have shifted towards newer resorts, and reviews indicate declining service quality and outdated amenities. These factors highlight several key reasons behind the decline in profitability:</w:t>
      </w:r>
    </w:p>
    <w:p w14:paraId="74C659C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Shift in Customer Preferences</w:t>
      </w:r>
      <w:r>
        <w:rPr>
          <w:rFonts w:ascii="Arial" w:eastAsia="Times New Roman" w:hAnsi="Arial" w:cs="Arial"/>
          <w:kern w:val="0"/>
          <w:sz w:val="24"/>
          <w:szCs w:val="24"/>
          <w:lang w:eastAsia="en-GB"/>
          <w14:ligatures w14:val="none"/>
        </w:rPr>
        <w:t>: There is a noticeable preference for newer, more modern resorts, which suggests that the market values up-to-date amenities, contemporary design, and technologically integrated services (Walker, 2021). This shift results in decreased interest in older establishments that have not kept pace with these trends.</w:t>
      </w:r>
    </w:p>
    <w:p w14:paraId="786F374D"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Outdated Amenities</w:t>
      </w:r>
      <w:r>
        <w:rPr>
          <w:rFonts w:ascii="Arial" w:eastAsia="Times New Roman" w:hAnsi="Arial" w:cs="Arial"/>
          <w:kern w:val="0"/>
          <w:sz w:val="24"/>
          <w:szCs w:val="24"/>
          <w:lang w:eastAsia="en-GB"/>
          <w14:ligatures w14:val="none"/>
        </w:rPr>
        <w:t>: In the highly competitive hospitality industry, amenities are crucial for attracting and retaining guests. Outdated amenities can deter guests seeking a premium vacation experience, leading to lower occupancy rates and reduced revenue.</w:t>
      </w:r>
    </w:p>
    <w:p w14:paraId="5DA989AB"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Increased Competition</w:t>
      </w:r>
      <w:r>
        <w:rPr>
          <w:rFonts w:ascii="Arial" w:eastAsia="Times New Roman" w:hAnsi="Arial" w:cs="Arial"/>
          <w:kern w:val="0"/>
          <w:sz w:val="24"/>
          <w:szCs w:val="24"/>
          <w:lang w:eastAsia="en-GB"/>
          <w14:ligatures w14:val="none"/>
        </w:rPr>
        <w:t>: The emergence of newer, more modern resorts in the vicinity increases competitive pressure. To maintain market share, it is essential for older establishments like Seacrest Lodge to innovate and adapt, ensuring they meet contemporary guest expectations and preferences.</w:t>
      </w:r>
    </w:p>
    <w:p w14:paraId="3DAB0356" w14:textId="77777777" w:rsidR="00C30C3F" w:rsidRDefault="00C30C3F"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p>
    <w:p w14:paraId="1D570785" w14:textId="15C83BCE"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3. Market and Competition</w:t>
      </w:r>
    </w:p>
    <w:p w14:paraId="2EC83389"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our case, the competitive analysis encompasses the following aspects:</w:t>
      </w:r>
    </w:p>
    <w:p w14:paraId="516DEDC7"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Market Trends</w:t>
      </w:r>
      <w:r>
        <w:rPr>
          <w:rFonts w:ascii="Arial" w:eastAsia="Times New Roman" w:hAnsi="Arial" w:cs="Arial"/>
          <w:kern w:val="0"/>
          <w:sz w:val="24"/>
          <w:szCs w:val="24"/>
          <w:lang w:eastAsia="en-GB"/>
          <w14:ligatures w14:val="none"/>
        </w:rPr>
        <w:t>: It is crucial to understand the broader market trends affecting the coastal resort industry. This includes changes in consumer preferences, emerging travel patterns, and technological advancements. Keeping abreast of these trends will help in anticipating shifts in the market and adapting strategies accordingly.</w:t>
      </w:r>
    </w:p>
    <w:p w14:paraId="0147D16D"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Competitive Landscape</w:t>
      </w:r>
      <w:r>
        <w:rPr>
          <w:rFonts w:ascii="Arial" w:eastAsia="Times New Roman" w:hAnsi="Arial" w:cs="Arial"/>
          <w:kern w:val="0"/>
          <w:sz w:val="24"/>
          <w:szCs w:val="24"/>
          <w:lang w:eastAsia="en-GB"/>
          <w14:ligatures w14:val="none"/>
        </w:rPr>
        <w:t>: Analysing the competition, particularly the newer, more modern resorts, is essential. This involves identifying their key selling points, pricing strategies, and services offered. Understanding what these competitors excel in can provide valuable insights into potential areas for improvement or differentiation for Seacrest Lodge (Chan, 2016).</w:t>
      </w:r>
    </w:p>
    <w:p w14:paraId="011ABC10" w14:textId="77777777" w:rsidR="00D94319" w:rsidRDefault="00D9431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p>
    <w:p w14:paraId="1E8011FC"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lastRenderedPageBreak/>
        <w:t>4. Action Plan Development</w:t>
      </w:r>
    </w:p>
    <w:p w14:paraId="323EB22F"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After thoroughly considering all available data, the next step is to formulate a list of corrective measures as follows:</w:t>
      </w:r>
    </w:p>
    <w:p w14:paraId="2A469369"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 xml:space="preserve">Product and Service Improvement: </w:t>
      </w:r>
      <w:r>
        <w:rPr>
          <w:rFonts w:ascii="Arial" w:eastAsia="Times New Roman" w:hAnsi="Arial" w:cs="Arial"/>
          <w:kern w:val="0"/>
          <w:sz w:val="24"/>
          <w:szCs w:val="24"/>
          <w:lang w:eastAsia="en-GB"/>
          <w14:ligatures w14:val="none"/>
        </w:rPr>
        <w:t>Develop a plan to enhance the hotel's product and service offerings based on the analyses. This could involve modernizing facilities, introducing new services or packages, improving food and beverage options, and enhancing the overall customer experience.</w:t>
      </w:r>
    </w:p>
    <w:p w14:paraId="7091F0EB"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Marketing and Branding Strategy: </w:t>
      </w:r>
      <w:r>
        <w:rPr>
          <w:rFonts w:ascii="Arial" w:eastAsia="Times New Roman" w:hAnsi="Arial" w:cs="Arial"/>
          <w:kern w:val="0"/>
          <w:sz w:val="24"/>
          <w:szCs w:val="24"/>
          <w:lang w:eastAsia="en-GB"/>
          <w14:ligatures w14:val="none"/>
        </w:rPr>
        <w:t>Revise the marketing and branding strategy to reposition the hotel in the market. This may include targeting new customer segments, updating the brand image, and leveraging digital marketing channels to boost visibility and bookings.</w:t>
      </w:r>
    </w:p>
    <w:p w14:paraId="29D4560B"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Revenue Management Strategies: </w:t>
      </w:r>
      <w:r>
        <w:rPr>
          <w:rFonts w:ascii="Arial" w:eastAsia="Times New Roman" w:hAnsi="Arial" w:cs="Arial"/>
          <w:kern w:val="0"/>
          <w:sz w:val="24"/>
          <w:szCs w:val="24"/>
          <w:lang w:eastAsia="en-GB"/>
          <w14:ligatures w14:val="none"/>
        </w:rPr>
        <w:t>Implement advanced revenue management techniques to optimize pricing and increase occupancy rates. This includes dynamic pricing, package deals, and strategic promotions aimed at attracting guests during off-peak periods.</w:t>
      </w:r>
    </w:p>
    <w:p w14:paraId="51F5A269"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This step is most important and is the aim of actual report.</w:t>
      </w:r>
    </w:p>
    <w:p w14:paraId="2D2DCFBC" w14:textId="77777777" w:rsidR="00C30C3F" w:rsidRDefault="00C30C3F"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p>
    <w:p w14:paraId="44EC33EA" w14:textId="64ABC83E"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5. Implementation and Monitoring of the Strategic Plan in Daily Operations</w:t>
      </w:r>
    </w:p>
    <w:p w14:paraId="34907691"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Action Plan with Timelines: </w:t>
      </w:r>
      <w:r>
        <w:rPr>
          <w:rFonts w:ascii="Arial" w:eastAsia="Times New Roman" w:hAnsi="Arial" w:cs="Arial"/>
          <w:kern w:val="0"/>
          <w:sz w:val="24"/>
          <w:szCs w:val="24"/>
          <w:lang w:eastAsia="en-GB"/>
          <w14:ligatures w14:val="none"/>
        </w:rPr>
        <w:t>Create a comprehensive action plan that outlines specific timelines and assigns responsibilities for executing the turnaround strategy.</w:t>
      </w:r>
    </w:p>
    <w:p w14:paraId="25217B5C"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Monitoring and Evaluation: </w:t>
      </w:r>
      <w:r>
        <w:rPr>
          <w:rFonts w:ascii="Arial" w:eastAsia="Times New Roman" w:hAnsi="Arial" w:cs="Arial"/>
          <w:kern w:val="0"/>
          <w:sz w:val="24"/>
          <w:szCs w:val="24"/>
          <w:lang w:eastAsia="en-GB"/>
          <w14:ligatures w14:val="none"/>
        </w:rPr>
        <w:t>Define key performance indicators (KPIs) to track progress and assess the impact of the implemented changes. Regularly review these metrics and make necessary adjustments to the strategy.</w:t>
      </w:r>
    </w:p>
    <w:p w14:paraId="1086345E"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Plan elaboration is first step of profit recurrence, most important is to put in practice, to make sure its implementation will conduct, through results estimation, to desirable results </w:t>
      </w:r>
    </w:p>
    <w:p w14:paraId="4B6E47F9" w14:textId="77777777" w:rsidR="00C30C3F" w:rsidRDefault="00C30C3F"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p>
    <w:p w14:paraId="4944901B" w14:textId="518737A3"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 xml:space="preserve">6. Engage Stakeholders </w:t>
      </w:r>
      <w:r>
        <w:rPr>
          <w:rFonts w:ascii="Arial" w:eastAsia="Times New Roman" w:hAnsi="Arial" w:cs="Arial"/>
          <w:kern w:val="0"/>
          <w:sz w:val="24"/>
          <w:szCs w:val="24"/>
          <w:lang w:eastAsia="en-GB"/>
          <w14:ligatures w14:val="none"/>
        </w:rPr>
        <w:t>(Christou, 2002)</w:t>
      </w:r>
    </w:p>
    <w:p w14:paraId="66592E01"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All parts should be involved, staff, management and investors.</w:t>
      </w:r>
    </w:p>
    <w:p w14:paraId="0646C02C"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Internal Communication: </w:t>
      </w:r>
      <w:r>
        <w:rPr>
          <w:rFonts w:ascii="Arial" w:eastAsia="Times New Roman" w:hAnsi="Arial" w:cs="Arial"/>
          <w:kern w:val="0"/>
          <w:sz w:val="24"/>
          <w:szCs w:val="24"/>
          <w:lang w:eastAsia="en-GB"/>
          <w14:ligatures w14:val="none"/>
        </w:rPr>
        <w:t>Keep all staff members informed about the turnaround plan and their specific roles. Engaging employees and fostering a culture of excellence and innovation is essential for success.</w:t>
      </w:r>
    </w:p>
    <w:p w14:paraId="6347095C"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Customer Engagement: </w:t>
      </w:r>
      <w:r>
        <w:rPr>
          <w:rFonts w:ascii="Arial" w:eastAsia="Times New Roman" w:hAnsi="Arial" w:cs="Arial"/>
          <w:kern w:val="0"/>
          <w:sz w:val="24"/>
          <w:szCs w:val="24"/>
          <w:lang w:eastAsia="en-GB"/>
          <w14:ligatures w14:val="none"/>
        </w:rPr>
        <w:t>Reconnect with past customers and attract new ones through targeted communications, special offers, and enhanced service levels.</w:t>
      </w:r>
    </w:p>
    <w:p w14:paraId="373F0329"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p>
    <w:p w14:paraId="07691596" w14:textId="07D251F0"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At Seacrest Hotel, the strateg</w:t>
      </w:r>
      <w:r w:rsidR="00723950">
        <w:rPr>
          <w:rFonts w:ascii="Arial" w:eastAsia="Times New Roman" w:hAnsi="Arial" w:cs="Arial"/>
          <w:kern w:val="0"/>
          <w:sz w:val="24"/>
          <w:szCs w:val="24"/>
          <w:lang w:eastAsia="en-GB"/>
          <w14:ligatures w14:val="none"/>
        </w:rPr>
        <w:t>ic plan</w:t>
      </w:r>
      <w:r>
        <w:rPr>
          <w:rFonts w:ascii="Arial" w:eastAsia="Times New Roman" w:hAnsi="Arial" w:cs="Arial"/>
          <w:kern w:val="0"/>
          <w:sz w:val="24"/>
          <w:szCs w:val="24"/>
          <w:lang w:eastAsia="en-GB"/>
          <w14:ligatures w14:val="none"/>
        </w:rPr>
        <w:t xml:space="preserve"> to rejuvenate the </w:t>
      </w:r>
      <w:r w:rsidR="00723950">
        <w:rPr>
          <w:rFonts w:ascii="Arial" w:eastAsia="Times New Roman" w:hAnsi="Arial" w:cs="Arial"/>
          <w:kern w:val="0"/>
          <w:sz w:val="24"/>
          <w:szCs w:val="24"/>
          <w:lang w:eastAsia="en-GB"/>
          <w14:ligatures w14:val="none"/>
        </w:rPr>
        <w:t>Seacrest</w:t>
      </w:r>
      <w:r>
        <w:rPr>
          <w:rFonts w:ascii="Arial" w:eastAsia="Times New Roman" w:hAnsi="Arial" w:cs="Arial"/>
          <w:kern w:val="0"/>
          <w:sz w:val="24"/>
          <w:szCs w:val="24"/>
          <w:lang w:eastAsia="en-GB"/>
          <w14:ligatures w14:val="none"/>
        </w:rPr>
        <w:t xml:space="preserve">'s financial health and reclaim its </w:t>
      </w:r>
      <w:r w:rsidR="005A3D3D">
        <w:rPr>
          <w:rFonts w:ascii="Arial" w:eastAsia="Times New Roman" w:hAnsi="Arial" w:cs="Arial"/>
          <w:kern w:val="0"/>
          <w:sz w:val="24"/>
          <w:szCs w:val="24"/>
          <w:lang w:eastAsia="en-GB"/>
          <w14:ligatures w14:val="none"/>
        </w:rPr>
        <w:t>position on market</w:t>
      </w:r>
      <w:r>
        <w:rPr>
          <w:rFonts w:ascii="Arial" w:eastAsia="Times New Roman" w:hAnsi="Arial" w:cs="Arial"/>
          <w:kern w:val="0"/>
          <w:sz w:val="24"/>
          <w:szCs w:val="24"/>
          <w:lang w:eastAsia="en-GB"/>
          <w14:ligatures w14:val="none"/>
        </w:rPr>
        <w:t xml:space="preserve"> as pr</w:t>
      </w:r>
      <w:r w:rsidR="005A3D3D">
        <w:rPr>
          <w:rFonts w:ascii="Arial" w:eastAsia="Times New Roman" w:hAnsi="Arial" w:cs="Arial"/>
          <w:kern w:val="0"/>
          <w:sz w:val="24"/>
          <w:szCs w:val="24"/>
          <w:lang w:eastAsia="en-GB"/>
          <w14:ligatures w14:val="none"/>
        </w:rPr>
        <w:t>ime</w:t>
      </w:r>
      <w:r>
        <w:rPr>
          <w:rFonts w:ascii="Arial" w:eastAsia="Times New Roman" w:hAnsi="Arial" w:cs="Arial"/>
          <w:kern w:val="0"/>
          <w:sz w:val="24"/>
          <w:szCs w:val="24"/>
          <w:lang w:eastAsia="en-GB"/>
          <w14:ligatures w14:val="none"/>
        </w:rPr>
        <w:t xml:space="preserve"> destination can be structured in the following plan:</w:t>
      </w:r>
    </w:p>
    <w:p w14:paraId="431995B4" w14:textId="77777777" w:rsidR="00AA39F9" w:rsidRDefault="00AA39F9" w:rsidP="00AA39F9">
      <w:pPr>
        <w:shd w:val="clear" w:color="auto" w:fill="FFFFFF"/>
        <w:spacing w:after="0" w:line="360" w:lineRule="auto"/>
        <w:ind w:left="720" w:firstLine="720"/>
        <w:jc w:val="both"/>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Turnaround Strategy (plan)</w:t>
      </w:r>
    </w:p>
    <w:p w14:paraId="1D1C0272" w14:textId="32620A77" w:rsidR="00AA39F9" w:rsidRDefault="005A3D3D"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w:t>
      </w:r>
      <w:r w:rsidR="00D44DD1">
        <w:rPr>
          <w:rFonts w:ascii="Arial" w:eastAsia="Times New Roman" w:hAnsi="Arial" w:cs="Arial"/>
          <w:kern w:val="0"/>
          <w:sz w:val="24"/>
          <w:szCs w:val="24"/>
          <w:lang w:eastAsia="en-GB"/>
          <w14:ligatures w14:val="none"/>
        </w:rPr>
        <w:t>gain</w:t>
      </w:r>
      <w:r w:rsidR="00AA39F9">
        <w:rPr>
          <w:rFonts w:ascii="Arial" w:eastAsia="Times New Roman" w:hAnsi="Arial" w:cs="Arial"/>
          <w:kern w:val="0"/>
          <w:sz w:val="24"/>
          <w:szCs w:val="24"/>
          <w:lang w:eastAsia="en-GB"/>
          <w14:ligatures w14:val="none"/>
        </w:rPr>
        <w:t>ing Seacrest Hotel’s reputation as a pr</w:t>
      </w:r>
      <w:r w:rsidR="00D44DD1">
        <w:rPr>
          <w:rFonts w:ascii="Arial" w:eastAsia="Times New Roman" w:hAnsi="Arial" w:cs="Arial"/>
          <w:kern w:val="0"/>
          <w:sz w:val="24"/>
          <w:szCs w:val="24"/>
          <w:lang w:eastAsia="en-GB"/>
          <w14:ligatures w14:val="none"/>
        </w:rPr>
        <w:t>ime tourist</w:t>
      </w:r>
      <w:r w:rsidR="00AA39F9">
        <w:rPr>
          <w:rFonts w:ascii="Arial" w:eastAsia="Times New Roman" w:hAnsi="Arial" w:cs="Arial"/>
          <w:kern w:val="0"/>
          <w:sz w:val="24"/>
          <w:szCs w:val="24"/>
          <w:lang w:eastAsia="en-GB"/>
          <w14:ligatures w14:val="none"/>
        </w:rPr>
        <w:t xml:space="preserve"> destination</w:t>
      </w:r>
      <w:r w:rsidR="00D44DD1">
        <w:rPr>
          <w:rFonts w:ascii="Arial" w:eastAsia="Times New Roman" w:hAnsi="Arial" w:cs="Arial"/>
          <w:kern w:val="0"/>
          <w:sz w:val="24"/>
          <w:szCs w:val="24"/>
          <w:lang w:eastAsia="en-GB"/>
          <w14:ligatures w14:val="none"/>
        </w:rPr>
        <w:t xml:space="preserve"> ant return to profit</w:t>
      </w:r>
      <w:r w:rsidR="00AA39F9">
        <w:rPr>
          <w:rFonts w:ascii="Arial" w:eastAsia="Times New Roman" w:hAnsi="Arial" w:cs="Arial"/>
          <w:kern w:val="0"/>
          <w:sz w:val="24"/>
          <w:szCs w:val="24"/>
          <w:lang w:eastAsia="en-GB"/>
          <w14:ligatures w14:val="none"/>
        </w:rPr>
        <w:t xml:space="preserve"> will require significant investment, </w:t>
      </w:r>
      <w:r w:rsidR="00F90092">
        <w:rPr>
          <w:rFonts w:ascii="Arial" w:eastAsia="Times New Roman" w:hAnsi="Arial" w:cs="Arial"/>
          <w:kern w:val="0"/>
          <w:sz w:val="24"/>
          <w:szCs w:val="24"/>
          <w:lang w:eastAsia="en-GB"/>
          <w14:ligatures w14:val="none"/>
        </w:rPr>
        <w:t>dedication</w:t>
      </w:r>
      <w:r w:rsidR="00AA39F9">
        <w:rPr>
          <w:rFonts w:ascii="Arial" w:eastAsia="Times New Roman" w:hAnsi="Arial" w:cs="Arial"/>
          <w:kern w:val="0"/>
          <w:sz w:val="24"/>
          <w:szCs w:val="24"/>
          <w:lang w:eastAsia="en-GB"/>
          <w14:ligatures w14:val="none"/>
        </w:rPr>
        <w:t>, and a focus on both short-term gains and long-term</w:t>
      </w:r>
      <w:r w:rsidR="00F90092">
        <w:rPr>
          <w:rFonts w:ascii="Arial" w:eastAsia="Times New Roman" w:hAnsi="Arial" w:cs="Arial"/>
          <w:kern w:val="0"/>
          <w:sz w:val="24"/>
          <w:szCs w:val="24"/>
          <w:lang w:eastAsia="en-GB"/>
          <w14:ligatures w14:val="none"/>
        </w:rPr>
        <w:t xml:space="preserve"> investment in</w:t>
      </w:r>
      <w:r w:rsidR="00AA39F9">
        <w:rPr>
          <w:rFonts w:ascii="Arial" w:eastAsia="Times New Roman" w:hAnsi="Arial" w:cs="Arial"/>
          <w:kern w:val="0"/>
          <w:sz w:val="24"/>
          <w:szCs w:val="24"/>
          <w:lang w:eastAsia="en-GB"/>
          <w14:ligatures w14:val="none"/>
        </w:rPr>
        <w:t xml:space="preserve"> sustainability. This plan includes a detailed budget covering </w:t>
      </w:r>
      <w:r w:rsidR="002B1DCC">
        <w:rPr>
          <w:rFonts w:ascii="Arial" w:eastAsia="Times New Roman" w:hAnsi="Arial" w:cs="Arial"/>
          <w:kern w:val="0"/>
          <w:sz w:val="24"/>
          <w:szCs w:val="24"/>
          <w:lang w:eastAsia="en-GB"/>
          <w14:ligatures w14:val="none"/>
        </w:rPr>
        <w:t>“</w:t>
      </w:r>
      <w:r w:rsidR="00AA39F9">
        <w:rPr>
          <w:rFonts w:ascii="Arial" w:eastAsia="Times New Roman" w:hAnsi="Arial" w:cs="Arial"/>
          <w:kern w:val="0"/>
          <w:sz w:val="24"/>
          <w:szCs w:val="24"/>
          <w:lang w:eastAsia="en-GB"/>
          <w14:ligatures w14:val="none"/>
        </w:rPr>
        <w:t>a cash budget, a budgeted statement of profit or loss, and a budgeted statement of financial position</w:t>
      </w:r>
      <w:r w:rsidR="002B1DCC">
        <w:rPr>
          <w:rFonts w:ascii="Arial" w:eastAsia="Times New Roman" w:hAnsi="Arial" w:cs="Arial"/>
          <w:kern w:val="0"/>
          <w:sz w:val="24"/>
          <w:szCs w:val="24"/>
          <w:lang w:eastAsia="en-GB"/>
          <w14:ligatures w14:val="none"/>
        </w:rPr>
        <w:t>”</w:t>
      </w:r>
      <w:r w:rsidR="00AA39F9">
        <w:rPr>
          <w:rFonts w:ascii="Arial" w:eastAsia="Times New Roman" w:hAnsi="Arial" w:cs="Arial"/>
          <w:kern w:val="0"/>
          <w:sz w:val="24"/>
          <w:szCs w:val="24"/>
          <w:lang w:eastAsia="en-GB"/>
          <w14:ligatures w14:val="none"/>
        </w:rPr>
        <w:t xml:space="preserve"> (Seal, 2019, p.435).</w:t>
      </w:r>
    </w:p>
    <w:p w14:paraId="56969E3D"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Implementing next desiderates in the Plan for Seacrest Hotel:</w:t>
      </w:r>
    </w:p>
    <w:p w14:paraId="6B41674B"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Revitalize Physical Infrastructure</w:t>
      </w:r>
    </w:p>
    <w:p w14:paraId="47249FFB"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Modernize Facilities: Renovate rooms, common areas, and leisure facilities. Include technology upgrades like smart rooms, high-speed internet, and contactless check-in/out (Hassanien, 2002).</w:t>
      </w:r>
    </w:p>
    <w:p w14:paraId="631A4436" w14:textId="530A490E"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Enhance Amenities: Add wellness </w:t>
      </w:r>
      <w:r w:rsidR="00D94319">
        <w:rPr>
          <w:rFonts w:ascii="Arial" w:eastAsia="Times New Roman" w:hAnsi="Arial" w:cs="Arial"/>
          <w:kern w:val="0"/>
          <w:sz w:val="24"/>
          <w:szCs w:val="24"/>
          <w:lang w:eastAsia="en-GB"/>
          <w14:ligatures w14:val="none"/>
        </w:rPr>
        <w:t>centres</w:t>
      </w:r>
      <w:r>
        <w:rPr>
          <w:rFonts w:ascii="Arial" w:eastAsia="Times New Roman" w:hAnsi="Arial" w:cs="Arial"/>
          <w:kern w:val="0"/>
          <w:sz w:val="24"/>
          <w:szCs w:val="24"/>
          <w:lang w:eastAsia="en-GB"/>
          <w14:ligatures w14:val="none"/>
        </w:rPr>
        <w:t>, eco-friendly options, and family-friendly activities.</w:t>
      </w:r>
    </w:p>
    <w:p w14:paraId="01B7B844"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Elevate Service Quality</w:t>
      </w:r>
    </w:p>
    <w:p w14:paraId="0024CAB8"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Staff Training: Implement training programs focused on customer service, problem-solving, and personalized experiences.</w:t>
      </w:r>
    </w:p>
    <w:p w14:paraId="1E81A94C"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Customer Feedback: Establish a system to collect, analyse and act on feedback for continuous improvement.</w:t>
      </w:r>
    </w:p>
    <w:p w14:paraId="6F4898C6"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Adapt to Market Trends</w:t>
      </w:r>
    </w:p>
    <w:p w14:paraId="4F19E182"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Flexible Pricing: Use dynamic pricing to adjust rates based on demand and competition (Han, 2022).</w:t>
      </w:r>
    </w:p>
    <w:p w14:paraId="2EED228D"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Diversify Revenue: Explore new revenue streams such as events, cooking classes, and wellness retreats.</w:t>
      </w:r>
    </w:p>
    <w:p w14:paraId="5A534B65"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Market Analysis: Conduct research to identify and target emerging traveller segments (Harrington, 2011).</w:t>
      </w:r>
    </w:p>
    <w:p w14:paraId="4880492B"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Marketing and Brand Refresh</w:t>
      </w:r>
    </w:p>
    <w:p w14:paraId="7C83CA8A"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Rebranding Campaign: Highlight renovations and new amenities through traditional and digital marketing.</w:t>
      </w:r>
    </w:p>
    <w:p w14:paraId="66FDFAC1"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Digital Presence: Enhance online presence with an updated website, social media engagement, and targeted advertising.</w:t>
      </w:r>
    </w:p>
    <w:p w14:paraId="3889AA3C"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Partnerships: Collaborate with travel agencies, event planners, and local businesses to boost visibility (Harison, 2003).</w:t>
      </w:r>
    </w:p>
    <w:p w14:paraId="14549DC3"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Cost Management</w:t>
      </w:r>
    </w:p>
    <w:p w14:paraId="0D34ECC7"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Cost Management: Optimize operational costs through energy-saving measures and efficient resource management.</w:t>
      </w:r>
    </w:p>
    <w:p w14:paraId="426C44D7"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Technology Investment: Implement PMS, CRM, and automated inventory control for operational efficiency.</w:t>
      </w:r>
    </w:p>
    <w:p w14:paraId="4E99CEEF"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Monitoring and Continuous Improvement</w:t>
      </w:r>
    </w:p>
    <w:p w14:paraId="7DA49710"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Performance Metrics: Track metrics like occupancy rates, ADR, RevPAR, guest satisfaction, and online reviews.</w:t>
      </w:r>
    </w:p>
    <w:p w14:paraId="2E4444C3"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Continuous Improvement: Foster a culture of innovation and regularly review progress to adjust strategies as needed.</w:t>
      </w:r>
    </w:p>
    <w:p w14:paraId="0C0EC1BD"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This concise plan focuses on key areas to drive Seacrest Hotel’s turnaround and long-term success</w:t>
      </w:r>
    </w:p>
    <w:p w14:paraId="2D2B1B6B" w14:textId="77777777" w:rsidR="00AA39F9"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p>
    <w:p w14:paraId="69C7B4B4"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Financial Management Aspects</w:t>
      </w:r>
    </w:p>
    <w:p w14:paraId="2D6C5F9E"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Results are satisfactory considering several criteria as follow:</w:t>
      </w:r>
    </w:p>
    <w:p w14:paraId="319CFE66"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Revenue Enhancement and Cost Control</w:t>
      </w:r>
    </w:p>
    <w:p w14:paraId="6ED86C43"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Review Pricing Strategy: Implement dynamic pricing to balance competitiveness and profitability. Use special packages and promotions to boost occupancy rates (Haris, 2013).</w:t>
      </w:r>
    </w:p>
    <w:p w14:paraId="7FBE450A"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Cost Management: Rigorously review operating expenses to find cost reduction opportunities without sacrificing service quality. Implement energy-efficient solutions, increase productivity, optimize operations, renegotiate supplier contracts, and streamline processes (Drury, 2021).</w:t>
      </w:r>
    </w:p>
    <w:p w14:paraId="416B96D4"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Invest in Key Areas</w:t>
      </w:r>
    </w:p>
    <w:p w14:paraId="57862924"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Renovations and Modernization: Invest in updating rooms and facilities, focusing on high-impact areas that enhance guest satisfaction (Hassanien, 2002).</w:t>
      </w:r>
    </w:p>
    <w:p w14:paraId="50E53A05"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Technology Adoption: Implement technology to improve operational efficiency and guest experience, such as property management systems, online booking platforms, and digital marketing.</w:t>
      </w:r>
    </w:p>
    <w:p w14:paraId="04EFB9E5"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Market Repositioning</w:t>
      </w:r>
    </w:p>
    <w:p w14:paraId="7BBB4521" w14:textId="2DAB3B22"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Branding and Marketing: Revamp marketing to emphasize the hotel's unique selling points, targeting growth segments like domestic </w:t>
      </w:r>
      <w:r w:rsidR="00BB345D">
        <w:rPr>
          <w:rFonts w:ascii="Arial" w:eastAsia="Times New Roman" w:hAnsi="Arial" w:cs="Arial"/>
          <w:kern w:val="0"/>
          <w:sz w:val="24"/>
          <w:szCs w:val="24"/>
          <w:lang w:eastAsia="en-GB"/>
          <w14:ligatures w14:val="none"/>
        </w:rPr>
        <w:t>travellers</w:t>
      </w:r>
      <w:r>
        <w:rPr>
          <w:rFonts w:ascii="Arial" w:eastAsia="Times New Roman" w:hAnsi="Arial" w:cs="Arial"/>
          <w:kern w:val="0"/>
          <w:sz w:val="24"/>
          <w:szCs w:val="24"/>
          <w:lang w:eastAsia="en-GB"/>
          <w14:ligatures w14:val="none"/>
        </w:rPr>
        <w:t>, wellness tourism, and eco-conscious guests (Atkinson, 2008).</w:t>
      </w:r>
    </w:p>
    <w:p w14:paraId="5A57F301"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Customer Experience Focus: Enhance customer experience with personalized services, loyalty programs, and proactive online review management (Karantza, 2021).</w:t>
      </w:r>
    </w:p>
    <w:p w14:paraId="7B125C7B" w14:textId="4BEB8F88"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 xml:space="preserve">Money Flow </w:t>
      </w:r>
      <w:r w:rsidR="007B0DDE">
        <w:rPr>
          <w:rFonts w:ascii="Arial" w:eastAsia="Times New Roman" w:hAnsi="Arial" w:cs="Arial"/>
          <w:b/>
          <w:bCs/>
          <w:kern w:val="0"/>
          <w:sz w:val="24"/>
          <w:szCs w:val="24"/>
          <w:lang w:eastAsia="en-GB"/>
          <w14:ligatures w14:val="none"/>
        </w:rPr>
        <w:t>Control</w:t>
      </w:r>
    </w:p>
    <w:p w14:paraId="0A72C2D6" w14:textId="4EC64D48"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Cash Flow Management: Implement strict</w:t>
      </w:r>
      <w:r w:rsidR="007B0DDE">
        <w:rPr>
          <w:rFonts w:ascii="Arial" w:eastAsia="Times New Roman" w:hAnsi="Arial" w:cs="Arial"/>
          <w:kern w:val="0"/>
          <w:sz w:val="24"/>
          <w:szCs w:val="24"/>
          <w:lang w:eastAsia="en-GB"/>
          <w14:ligatures w14:val="none"/>
        </w:rPr>
        <w:t xml:space="preserve"> rules for</w:t>
      </w:r>
      <w:r>
        <w:rPr>
          <w:rFonts w:ascii="Arial" w:eastAsia="Times New Roman" w:hAnsi="Arial" w:cs="Arial"/>
          <w:kern w:val="0"/>
          <w:sz w:val="24"/>
          <w:szCs w:val="24"/>
          <w:lang w:eastAsia="en-GB"/>
          <w14:ligatures w14:val="none"/>
        </w:rPr>
        <w:t xml:space="preserve"> cash flow m</w:t>
      </w:r>
      <w:r w:rsidR="007B0DDE">
        <w:rPr>
          <w:rFonts w:ascii="Arial" w:eastAsia="Times New Roman" w:hAnsi="Arial" w:cs="Arial"/>
          <w:kern w:val="0"/>
          <w:sz w:val="24"/>
          <w:szCs w:val="24"/>
          <w:lang w:eastAsia="en-GB"/>
          <w14:ligatures w14:val="none"/>
        </w:rPr>
        <w:t>ov</w:t>
      </w:r>
      <w:r>
        <w:rPr>
          <w:rFonts w:ascii="Arial" w:eastAsia="Times New Roman" w:hAnsi="Arial" w:cs="Arial"/>
          <w:kern w:val="0"/>
          <w:sz w:val="24"/>
          <w:szCs w:val="24"/>
          <w:lang w:eastAsia="en-GB"/>
          <w14:ligatures w14:val="none"/>
        </w:rPr>
        <w:t>ement to improve liquidity, adjust payment terms, manage inventory efficiently, and focus on cash-generating activities (Sikveland, 2022).</w:t>
      </w:r>
    </w:p>
    <w:p w14:paraId="6FA951CC"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Debt Restructuring: Negotiate better terms with creditors to reduce financial strain and improve cash flow.</w:t>
      </w:r>
    </w:p>
    <w:p w14:paraId="4DB3F8F1"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Specific Recommendations:</w:t>
      </w:r>
    </w:p>
    <w:p w14:paraId="0C621CE1"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Improve Cash Management: Enhance liquidity through tighter cash flow control, optimized inventory management, and renegotiated payment terms (Nunes, 2017).</w:t>
      </w:r>
    </w:p>
    <w:p w14:paraId="2AFAA9B9"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Debt Restructuring: Seek favourable debt terms, reduce interest burdens, extend repayment periods, and consider converting some debt to equity (Wild, 2018).</w:t>
      </w:r>
    </w:p>
    <w:p w14:paraId="6D4DEAB5"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Revenue Enhancement: Increase revenue with improved marketing, dynamic pricing, and unique selling propositions that set the hotel apart.</w:t>
      </w:r>
    </w:p>
    <w:p w14:paraId="61320D0D"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Asset Utilization: Repurpose underused assets to generate additional revenue by hosting events, offering new services, or partnering with local businesses (Tranter, 2014).</w:t>
      </w:r>
    </w:p>
    <w:p w14:paraId="582B89C2"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Implementing this strategy requires regular financial reviews and adjustments based on market conditions and performance metrics. Balancing immediate financial stabilization with long-term growth investments is key to success (Lugosi, 2009).</w:t>
      </w:r>
    </w:p>
    <w:p w14:paraId="1950AFBF"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p>
    <w:p w14:paraId="4772E4D0"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Conclusion</w:t>
      </w:r>
    </w:p>
    <w:p w14:paraId="1DC0E2C5" w14:textId="77777777" w:rsidR="00AA39F9" w:rsidRDefault="00AA39F9" w:rsidP="00AA39F9">
      <w:pPr>
        <w:shd w:val="clear" w:color="auto" w:fill="FFFFFF"/>
        <w:spacing w:after="0" w:line="360" w:lineRule="auto"/>
        <w:ind w:firstLine="360"/>
        <w:jc w:val="both"/>
        <w:rPr>
          <w:rFonts w:ascii="Arial" w:eastAsia="Times New Roman" w:hAnsi="Arial" w:cs="Arial"/>
          <w:b/>
          <w:bCs/>
          <w:kern w:val="0"/>
          <w:sz w:val="24"/>
          <w:szCs w:val="24"/>
          <w:lang w:eastAsia="en-GB"/>
          <w14:ligatures w14:val="none"/>
        </w:rPr>
      </w:pPr>
    </w:p>
    <w:p w14:paraId="0BC865ED" w14:textId="77777777"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By concentrating on these areas, the hotel can work towards stabilizing its financial position, gradually reducing its dependence on debt financing, and enhancing operational efficiency and revenue generation. These combined efforts can lead to a sustainable turnaround and position the hotel for future growth.</w:t>
      </w:r>
    </w:p>
    <w:p w14:paraId="21FAFE14" w14:textId="623C3E76" w:rsidR="00AA39F9" w:rsidRDefault="00AA39F9" w:rsidP="00AA39F9">
      <w:pPr>
        <w:shd w:val="clear" w:color="auto" w:fill="FFFFFF"/>
        <w:spacing w:after="0" w:line="360" w:lineRule="auto"/>
        <w:ind w:firstLine="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This structured approach necessitates a thorough understanding of the business, market, and competitive environment. The objective is to identify the hotel's unique strengths and leverage them to create a sustainable competitive advantage (Ryan, 2015). Additionally, it is crucial to be prepared for a long-term commitment, as turnaround efforts may take time to produce visible results. A turnaround plan for an underperforming hotel should focus on stabilizing financial health by implementing dynamic pricing and reducing operational costs. Investing in modernizing facilities</w:t>
      </w:r>
      <w:r w:rsidR="00BB345D">
        <w:rPr>
          <w:rFonts w:ascii="Arial" w:eastAsia="Times New Roman" w:hAnsi="Arial" w:cs="Arial"/>
          <w:kern w:val="0"/>
          <w:sz w:val="24"/>
          <w:szCs w:val="24"/>
          <w:lang w:eastAsia="en-GB"/>
          <w14:ligatures w14:val="none"/>
        </w:rPr>
        <w:t xml:space="preserve"> (Hassanien, 2002)</w:t>
      </w:r>
      <w:r>
        <w:rPr>
          <w:rFonts w:ascii="Arial" w:eastAsia="Times New Roman" w:hAnsi="Arial" w:cs="Arial"/>
          <w:kern w:val="0"/>
          <w:sz w:val="24"/>
          <w:szCs w:val="24"/>
          <w:lang w:eastAsia="en-GB"/>
          <w14:ligatures w14:val="none"/>
        </w:rPr>
        <w:t xml:space="preserve"> and enhancing guest services can attract more customers. Additionally, revamping marketing strategies to target new customer segments and leveraging technology for efficiency will position the hotel for a profitable comeback.</w:t>
      </w:r>
    </w:p>
    <w:p w14:paraId="34F21BF5"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472765E9"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4D7D88AA"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63F0C69C" w14:textId="77777777" w:rsidR="00AA39F9" w:rsidRPr="00715294" w:rsidRDefault="00AA39F9" w:rsidP="00AA39F9">
      <w:pPr>
        <w:shd w:val="clear" w:color="auto" w:fill="FFFFFF"/>
        <w:spacing w:after="0" w:line="360" w:lineRule="auto"/>
        <w:jc w:val="both"/>
        <w:rPr>
          <w:rFonts w:ascii="Arial" w:eastAsia="Times New Roman" w:hAnsi="Arial" w:cs="Arial"/>
          <w:b/>
          <w:bCs/>
          <w:kern w:val="0"/>
          <w:sz w:val="24"/>
          <w:szCs w:val="24"/>
          <w:lang w:eastAsia="en-GB"/>
          <w14:ligatures w14:val="none"/>
        </w:rPr>
      </w:pPr>
      <w:r w:rsidRPr="00715294">
        <w:rPr>
          <w:rFonts w:ascii="Arial" w:eastAsia="Times New Roman" w:hAnsi="Arial" w:cs="Arial"/>
          <w:b/>
          <w:bCs/>
          <w:kern w:val="0"/>
          <w:sz w:val="24"/>
          <w:szCs w:val="24"/>
          <w:lang w:eastAsia="en-GB"/>
          <w14:ligatures w14:val="none"/>
        </w:rPr>
        <w:t>References</w:t>
      </w:r>
    </w:p>
    <w:p w14:paraId="27003B3F"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4EED9AEE"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Atkinson, H., &amp; Jones, T. (2008). Financial management in the hospitality industry: Themes and issues. </w:t>
      </w:r>
      <w:r>
        <w:rPr>
          <w:rFonts w:ascii="Arial" w:hAnsi="Arial" w:cs="Arial"/>
          <w:i/>
          <w:iCs/>
          <w:sz w:val="24"/>
          <w:szCs w:val="24"/>
          <w:shd w:val="clear" w:color="auto" w:fill="FFFFFF"/>
        </w:rPr>
        <w:t>The Sage handbook of hospitality management</w:t>
      </w:r>
      <w:r>
        <w:rPr>
          <w:rFonts w:ascii="Arial" w:hAnsi="Arial" w:cs="Arial"/>
          <w:sz w:val="24"/>
          <w:szCs w:val="24"/>
          <w:shd w:val="clear" w:color="auto" w:fill="FFFFFF"/>
        </w:rPr>
        <w:t>, 228-257.</w:t>
      </w:r>
    </w:p>
    <w:p w14:paraId="0C5D7B66" w14:textId="77777777" w:rsidR="00AA39F9" w:rsidRDefault="00AA39F9" w:rsidP="00AA39F9">
      <w:pPr>
        <w:spacing w:line="360" w:lineRule="auto"/>
        <w:jc w:val="both"/>
        <w:rPr>
          <w:rFonts w:ascii="Arial" w:hAnsi="Arial" w:cs="Arial"/>
          <w:sz w:val="24"/>
          <w:szCs w:val="24"/>
        </w:rPr>
      </w:pPr>
      <w:r>
        <w:rPr>
          <w:rFonts w:ascii="Arial" w:hAnsi="Arial" w:cs="Arial"/>
          <w:sz w:val="24"/>
          <w:szCs w:val="24"/>
          <w:shd w:val="clear" w:color="auto" w:fill="FFFFFF"/>
        </w:rPr>
        <w:t>Atrill, P. and McLaney, E.J. (2021) </w:t>
      </w:r>
      <w:r>
        <w:rPr>
          <w:rFonts w:ascii="Arial" w:hAnsi="Arial" w:cs="Arial"/>
          <w:i/>
          <w:iCs/>
          <w:sz w:val="24"/>
          <w:szCs w:val="24"/>
          <w:shd w:val="clear" w:color="auto" w:fill="FFFFFF"/>
        </w:rPr>
        <w:t>Management accounting for decision makers</w:t>
      </w:r>
      <w:r>
        <w:rPr>
          <w:rFonts w:ascii="Arial" w:hAnsi="Arial" w:cs="Arial"/>
          <w:sz w:val="24"/>
          <w:szCs w:val="24"/>
          <w:shd w:val="clear" w:color="auto" w:fill="FFFFFF"/>
        </w:rPr>
        <w:t>. Tenth edition. Harlow, England: Pearson.</w:t>
      </w:r>
    </w:p>
    <w:p w14:paraId="7953B0D9"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Bhimani, A. (ed.) (2006) </w:t>
      </w:r>
      <w:r>
        <w:rPr>
          <w:rFonts w:ascii="Arial" w:hAnsi="Arial" w:cs="Arial"/>
          <w:i/>
          <w:iCs/>
          <w:sz w:val="24"/>
          <w:szCs w:val="24"/>
          <w:shd w:val="clear" w:color="auto" w:fill="FFFFFF"/>
        </w:rPr>
        <w:t>Contemporary issues in management accounting</w:t>
      </w:r>
      <w:r>
        <w:rPr>
          <w:rFonts w:ascii="Arial" w:hAnsi="Arial" w:cs="Arial"/>
          <w:sz w:val="24"/>
          <w:szCs w:val="24"/>
          <w:shd w:val="clear" w:color="auto" w:fill="FFFFFF"/>
        </w:rPr>
        <w:t>. Oxford ; Oxford University Press.</w:t>
      </w:r>
    </w:p>
    <w:p w14:paraId="1AB468E6"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Chan, E. S., &amp; Hsu, C. H. (2016). Environmental management research in hospitality. </w:t>
      </w:r>
      <w:r>
        <w:rPr>
          <w:rFonts w:ascii="Arial" w:eastAsia="Times New Roman" w:hAnsi="Arial" w:cs="Arial"/>
          <w:i/>
          <w:iCs/>
          <w:kern w:val="0"/>
          <w:sz w:val="24"/>
          <w:szCs w:val="24"/>
          <w:lang w:eastAsia="en-GB"/>
          <w14:ligatures w14:val="none"/>
        </w:rPr>
        <w:t>International Journal of Contemporary Hospitality Management</w:t>
      </w:r>
      <w:r>
        <w:rPr>
          <w:rFonts w:ascii="Arial" w:eastAsia="Times New Roman" w:hAnsi="Arial" w:cs="Arial"/>
          <w:kern w:val="0"/>
          <w:sz w:val="24"/>
          <w:szCs w:val="24"/>
          <w:lang w:eastAsia="en-GB"/>
          <w14:ligatures w14:val="none"/>
        </w:rPr>
        <w:t>, 28(5), 886-923.</w:t>
      </w:r>
    </w:p>
    <w:p w14:paraId="162900F8"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Christou, E. (2002). Revisiting competencies for hospitality management: Contemporary views of the stakeholders</w:t>
      </w:r>
      <w:r>
        <w:rPr>
          <w:rFonts w:ascii="Arial" w:hAnsi="Arial" w:cs="Arial"/>
          <w:i/>
          <w:iCs/>
          <w:sz w:val="24"/>
          <w:szCs w:val="24"/>
          <w:shd w:val="clear" w:color="auto" w:fill="FFFFFF"/>
        </w:rPr>
        <w:t>. Journal of Hospitality &amp; Tourism Education</w:t>
      </w:r>
      <w:r>
        <w:rPr>
          <w:rFonts w:ascii="Arial" w:hAnsi="Arial" w:cs="Arial"/>
          <w:sz w:val="24"/>
          <w:szCs w:val="24"/>
          <w:shd w:val="clear" w:color="auto" w:fill="FFFFFF"/>
        </w:rPr>
        <w:t>, 14(1), 25-32.</w:t>
      </w:r>
    </w:p>
    <w:p w14:paraId="3E16F386" w14:textId="77777777" w:rsidR="00AA39F9" w:rsidRDefault="00AA39F9" w:rsidP="00AA39F9">
      <w:pPr>
        <w:spacing w:line="360" w:lineRule="auto"/>
        <w:jc w:val="both"/>
        <w:rPr>
          <w:rFonts w:ascii="Arial" w:hAnsi="Arial" w:cs="Arial"/>
          <w:sz w:val="24"/>
          <w:szCs w:val="24"/>
        </w:rPr>
      </w:pPr>
      <w:r>
        <w:rPr>
          <w:rFonts w:ascii="Arial" w:hAnsi="Arial" w:cs="Arial"/>
          <w:sz w:val="24"/>
          <w:szCs w:val="24"/>
          <w:shd w:val="clear" w:color="auto" w:fill="FFFFFF"/>
        </w:rPr>
        <w:t>Drury, C. (2021) </w:t>
      </w:r>
      <w:r>
        <w:rPr>
          <w:rFonts w:ascii="Arial" w:hAnsi="Arial" w:cs="Arial"/>
          <w:i/>
          <w:iCs/>
          <w:sz w:val="24"/>
          <w:szCs w:val="24"/>
          <w:shd w:val="clear" w:color="auto" w:fill="FFFFFF"/>
        </w:rPr>
        <w:t>Management and cost accounting</w:t>
      </w:r>
      <w:r>
        <w:rPr>
          <w:rFonts w:ascii="Arial" w:hAnsi="Arial" w:cs="Arial"/>
          <w:sz w:val="24"/>
          <w:szCs w:val="24"/>
          <w:shd w:val="clear" w:color="auto" w:fill="FFFFFF"/>
        </w:rPr>
        <w:t>. Eleventh edition. Australia: Cengage.</w:t>
      </w:r>
    </w:p>
    <w:p w14:paraId="118935D2"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Guilding, C. (2014) (3rd Edition) </w:t>
      </w:r>
      <w:r>
        <w:rPr>
          <w:rFonts w:ascii="Arial" w:hAnsi="Arial" w:cs="Arial"/>
          <w:i/>
          <w:iCs/>
          <w:sz w:val="24"/>
          <w:szCs w:val="24"/>
        </w:rPr>
        <w:t>Accounting Essentials for Hospitality Managers</w:t>
      </w:r>
      <w:r>
        <w:rPr>
          <w:rFonts w:ascii="Arial" w:hAnsi="Arial" w:cs="Arial"/>
          <w:sz w:val="24"/>
          <w:szCs w:val="24"/>
        </w:rPr>
        <w:t>, London, Routledge</w:t>
      </w:r>
    </w:p>
    <w:p w14:paraId="57E28078"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Han, W., &amp; Bai, B. (2022). Pricing research in hospitality and tourism and marketing literature: a systematic review and research agenda. </w:t>
      </w:r>
      <w:r>
        <w:rPr>
          <w:rFonts w:ascii="Arial" w:hAnsi="Arial" w:cs="Arial"/>
          <w:i/>
          <w:iCs/>
          <w:sz w:val="24"/>
          <w:szCs w:val="24"/>
        </w:rPr>
        <w:t>International Journal of Contemporary Hospitality Management,</w:t>
      </w:r>
      <w:r>
        <w:rPr>
          <w:rFonts w:ascii="Arial" w:hAnsi="Arial" w:cs="Arial"/>
          <w:sz w:val="24"/>
          <w:szCs w:val="24"/>
        </w:rPr>
        <w:t xml:space="preserve"> 34(5), 1717-1738.</w:t>
      </w:r>
    </w:p>
    <w:p w14:paraId="27676ADD"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Harrington, R. J., &amp; Ottenbacher, M. C. (2011). Strategic management: An analysis of its representation and focus in recent hospitality research. </w:t>
      </w:r>
      <w:r>
        <w:rPr>
          <w:rFonts w:ascii="Arial" w:hAnsi="Arial" w:cs="Arial"/>
          <w:i/>
          <w:iCs/>
          <w:sz w:val="24"/>
          <w:szCs w:val="24"/>
        </w:rPr>
        <w:t>International Journal of Contemporary Hospitality Management</w:t>
      </w:r>
      <w:r>
        <w:rPr>
          <w:rFonts w:ascii="Arial" w:hAnsi="Arial" w:cs="Arial"/>
          <w:sz w:val="24"/>
          <w:szCs w:val="24"/>
        </w:rPr>
        <w:t>, 23(4), 439-462.</w:t>
      </w:r>
    </w:p>
    <w:p w14:paraId="457B7002"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Harrison, J. S. (2003). Strategic analysis for the hospitality industry. </w:t>
      </w:r>
      <w:r>
        <w:rPr>
          <w:rFonts w:ascii="Arial" w:hAnsi="Arial" w:cs="Arial"/>
          <w:i/>
          <w:iCs/>
          <w:sz w:val="24"/>
          <w:szCs w:val="24"/>
        </w:rPr>
        <w:t>Cornell Hotel and Restaurant Administration Quarterly,</w:t>
      </w:r>
      <w:r>
        <w:rPr>
          <w:rFonts w:ascii="Arial" w:hAnsi="Arial" w:cs="Arial"/>
          <w:sz w:val="24"/>
          <w:szCs w:val="24"/>
        </w:rPr>
        <w:t xml:space="preserve"> 44(2), 139-152.</w:t>
      </w:r>
    </w:p>
    <w:p w14:paraId="2B84E0C2"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Hassanien, A., &amp; Baum, T. (2002). Hotel repositioning through property renovation</w:t>
      </w:r>
      <w:r>
        <w:rPr>
          <w:rFonts w:ascii="Arial" w:hAnsi="Arial" w:cs="Arial"/>
          <w:i/>
          <w:iCs/>
          <w:sz w:val="24"/>
          <w:szCs w:val="24"/>
        </w:rPr>
        <w:t>. Tourism and Hospitality Research</w:t>
      </w:r>
      <w:r>
        <w:rPr>
          <w:rFonts w:ascii="Arial" w:hAnsi="Arial" w:cs="Arial"/>
          <w:sz w:val="24"/>
          <w:szCs w:val="24"/>
        </w:rPr>
        <w:t>, 4(2), 144-157.</w:t>
      </w:r>
    </w:p>
    <w:p w14:paraId="23AF38C3"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Jagels, M. (2007) </w:t>
      </w:r>
      <w:r>
        <w:rPr>
          <w:rFonts w:ascii="Arial" w:hAnsi="Arial" w:cs="Arial"/>
          <w:i/>
          <w:iCs/>
          <w:sz w:val="24"/>
          <w:szCs w:val="24"/>
        </w:rPr>
        <w:t>Hospitality Management Accounting</w:t>
      </w:r>
      <w:r>
        <w:rPr>
          <w:rFonts w:ascii="Arial" w:hAnsi="Arial" w:cs="Arial"/>
          <w:sz w:val="24"/>
          <w:szCs w:val="24"/>
        </w:rPr>
        <w:t>, London, Wiley.</w:t>
      </w:r>
    </w:p>
    <w:p w14:paraId="142152DB"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Karantza, I., &amp; Vlachakis, S. (2021). The Repositioning Process Associated with Positioning and Life Cycle: Case Studies in Tourism Sector. </w:t>
      </w:r>
      <w:r>
        <w:rPr>
          <w:rFonts w:ascii="Arial" w:hAnsi="Arial" w:cs="Arial"/>
          <w:i/>
          <w:iCs/>
          <w:sz w:val="24"/>
          <w:szCs w:val="24"/>
        </w:rPr>
        <w:t>Tourism Today</w:t>
      </w:r>
      <w:r>
        <w:rPr>
          <w:rFonts w:ascii="Arial" w:hAnsi="Arial" w:cs="Arial"/>
          <w:sz w:val="24"/>
          <w:szCs w:val="24"/>
        </w:rPr>
        <w:t>, 2021, 37-56.</w:t>
      </w:r>
    </w:p>
    <w:p w14:paraId="5D745002"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lastRenderedPageBreak/>
        <w:t xml:space="preserve">Lugosi, P., Lynch, P., &amp; Morrison, A. (2009). Critical hospitality management research. </w:t>
      </w:r>
      <w:r>
        <w:rPr>
          <w:rFonts w:ascii="Arial" w:hAnsi="Arial" w:cs="Arial"/>
          <w:i/>
          <w:iCs/>
          <w:sz w:val="24"/>
          <w:szCs w:val="24"/>
        </w:rPr>
        <w:t>The Service Industries Journal</w:t>
      </w:r>
      <w:r>
        <w:rPr>
          <w:rFonts w:ascii="Arial" w:hAnsi="Arial" w:cs="Arial"/>
          <w:sz w:val="24"/>
          <w:szCs w:val="24"/>
        </w:rPr>
        <w:t>, 29(10), 1465-1478.</w:t>
      </w:r>
    </w:p>
    <w:p w14:paraId="522E3C42"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Nunes, P. M., &amp; Serrasqueiro, Z. (2017). Short-term debt and long-term debt determinants in small and medium-sized hospitality firms. </w:t>
      </w:r>
      <w:r>
        <w:rPr>
          <w:rFonts w:ascii="Arial" w:hAnsi="Arial" w:cs="Arial"/>
          <w:i/>
          <w:iCs/>
          <w:sz w:val="24"/>
          <w:szCs w:val="24"/>
          <w:shd w:val="clear" w:color="auto" w:fill="FFFFFF"/>
        </w:rPr>
        <w:t>Tourism Economics</w:t>
      </w:r>
      <w:r>
        <w:rPr>
          <w:rFonts w:ascii="Arial" w:hAnsi="Arial" w:cs="Arial"/>
          <w:sz w:val="24"/>
          <w:szCs w:val="24"/>
          <w:shd w:val="clear" w:color="auto" w:fill="FFFFFF"/>
        </w:rPr>
        <w:t>, 23(3), 543-560.</w:t>
      </w:r>
    </w:p>
    <w:p w14:paraId="52CAA085"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Phillips, P., &amp; Moutinho, L. (2014). Critical review of strategic planning research in hospitality and tourism</w:t>
      </w:r>
      <w:r>
        <w:rPr>
          <w:rFonts w:ascii="Arial" w:hAnsi="Arial" w:cs="Arial"/>
          <w:i/>
          <w:iCs/>
          <w:sz w:val="24"/>
          <w:szCs w:val="24"/>
          <w:shd w:val="clear" w:color="auto" w:fill="FFFFFF"/>
        </w:rPr>
        <w:t>. Annals of Tourism Research</w:t>
      </w:r>
      <w:r>
        <w:rPr>
          <w:rFonts w:ascii="Arial" w:hAnsi="Arial" w:cs="Arial"/>
          <w:sz w:val="24"/>
          <w:szCs w:val="24"/>
          <w:shd w:val="clear" w:color="auto" w:fill="FFFFFF"/>
        </w:rPr>
        <w:t>, 48, 96-120.</w:t>
      </w:r>
    </w:p>
    <w:p w14:paraId="427CE169"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Ryan, C. (2015). Trends in hospitality management research: a personal reflection. </w:t>
      </w:r>
      <w:r>
        <w:rPr>
          <w:rFonts w:ascii="Arial" w:hAnsi="Arial" w:cs="Arial"/>
          <w:i/>
          <w:iCs/>
          <w:sz w:val="24"/>
          <w:szCs w:val="24"/>
          <w:shd w:val="clear" w:color="auto" w:fill="FFFFFF"/>
        </w:rPr>
        <w:t>International Journal of Contemporary Hospitality Management</w:t>
      </w:r>
      <w:r>
        <w:rPr>
          <w:rFonts w:ascii="Arial" w:hAnsi="Arial" w:cs="Arial"/>
          <w:sz w:val="24"/>
          <w:szCs w:val="24"/>
          <w:shd w:val="clear" w:color="auto" w:fill="FFFFFF"/>
        </w:rPr>
        <w:t>, 27(3), 340-361.</w:t>
      </w:r>
    </w:p>
    <w:p w14:paraId="4BE063D8" w14:textId="77777777" w:rsidR="00AA39F9" w:rsidRDefault="00AA39F9" w:rsidP="00AA39F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Seal, W.B. </w:t>
      </w:r>
      <w:r>
        <w:rPr>
          <w:rFonts w:ascii="Arial" w:hAnsi="Arial" w:cs="Arial"/>
          <w:i/>
          <w:iCs/>
          <w:sz w:val="24"/>
          <w:szCs w:val="24"/>
          <w:shd w:val="clear" w:color="auto" w:fill="FFFFFF"/>
        </w:rPr>
        <w:t>et al.</w:t>
      </w:r>
      <w:r>
        <w:rPr>
          <w:rFonts w:ascii="Arial" w:hAnsi="Arial" w:cs="Arial"/>
          <w:sz w:val="24"/>
          <w:szCs w:val="24"/>
          <w:shd w:val="clear" w:color="auto" w:fill="FFFFFF"/>
        </w:rPr>
        <w:t> (2019) </w:t>
      </w:r>
      <w:r>
        <w:rPr>
          <w:rFonts w:ascii="Arial" w:hAnsi="Arial" w:cs="Arial"/>
          <w:i/>
          <w:iCs/>
          <w:sz w:val="24"/>
          <w:szCs w:val="24"/>
          <w:shd w:val="clear" w:color="auto" w:fill="FFFFFF"/>
        </w:rPr>
        <w:t>Management accounting</w:t>
      </w:r>
      <w:r>
        <w:rPr>
          <w:rFonts w:ascii="Arial" w:hAnsi="Arial" w:cs="Arial"/>
          <w:sz w:val="24"/>
          <w:szCs w:val="24"/>
          <w:shd w:val="clear" w:color="auto" w:fill="FFFFFF"/>
        </w:rPr>
        <w:t>. Sixth edition. London: McGraw-Hill Education.</w:t>
      </w:r>
    </w:p>
    <w:p w14:paraId="7A63221E"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Sikveland, M., Xie, J., &amp; Zhang, D. (2022). Determinants of capital structure in the hospitality industry: Impact of clustering and seasonality on debt and liquidity. </w:t>
      </w:r>
      <w:r>
        <w:rPr>
          <w:rFonts w:ascii="Arial" w:hAnsi="Arial" w:cs="Arial"/>
          <w:i/>
          <w:iCs/>
          <w:sz w:val="24"/>
          <w:szCs w:val="24"/>
        </w:rPr>
        <w:t xml:space="preserve">International Journal of Hospitality Management, </w:t>
      </w:r>
      <w:r>
        <w:rPr>
          <w:rFonts w:ascii="Arial" w:hAnsi="Arial" w:cs="Arial"/>
          <w:sz w:val="24"/>
          <w:szCs w:val="24"/>
        </w:rPr>
        <w:t>102, 103172.</w:t>
      </w:r>
    </w:p>
    <w:p w14:paraId="4820D222"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Tranter, K., Stuart-Hill, T., Parker, J. (2014</w:t>
      </w:r>
      <w:r>
        <w:rPr>
          <w:rFonts w:ascii="Arial" w:hAnsi="Arial" w:cs="Arial"/>
          <w:i/>
          <w:iCs/>
          <w:sz w:val="24"/>
          <w:szCs w:val="24"/>
        </w:rPr>
        <w:t>) Introduction to Revenue Management for the Hospitality Industry</w:t>
      </w:r>
      <w:r>
        <w:rPr>
          <w:rFonts w:ascii="Arial" w:hAnsi="Arial" w:cs="Arial"/>
          <w:sz w:val="24"/>
          <w:szCs w:val="24"/>
        </w:rPr>
        <w:t>, London, Pearson</w:t>
      </w:r>
    </w:p>
    <w:p w14:paraId="2E2A384C"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Walker, J 2021, </w:t>
      </w:r>
      <w:r>
        <w:rPr>
          <w:rFonts w:ascii="Arial" w:hAnsi="Arial" w:cs="Arial"/>
          <w:i/>
          <w:iCs/>
          <w:sz w:val="24"/>
          <w:szCs w:val="24"/>
        </w:rPr>
        <w:t>Introduction to Hospitality</w:t>
      </w:r>
      <w:r>
        <w:rPr>
          <w:rFonts w:ascii="Arial" w:hAnsi="Arial" w:cs="Arial"/>
          <w:sz w:val="24"/>
          <w:szCs w:val="24"/>
        </w:rPr>
        <w:t>, Global Edition, Pearson Education, Limited, Harlow</w:t>
      </w:r>
    </w:p>
    <w:p w14:paraId="24BE7C33" w14:textId="77777777" w:rsidR="00AA39F9" w:rsidRDefault="00AA39F9" w:rsidP="00AA39F9">
      <w:pPr>
        <w:spacing w:line="360" w:lineRule="auto"/>
        <w:jc w:val="both"/>
        <w:rPr>
          <w:rFonts w:ascii="Arial" w:hAnsi="Arial" w:cs="Arial"/>
          <w:sz w:val="24"/>
          <w:szCs w:val="24"/>
        </w:rPr>
      </w:pPr>
      <w:r>
        <w:rPr>
          <w:rFonts w:ascii="Arial" w:hAnsi="Arial" w:cs="Arial"/>
          <w:sz w:val="24"/>
          <w:szCs w:val="24"/>
        </w:rPr>
        <w:t xml:space="preserve">Wild J (2018) </w:t>
      </w:r>
      <w:r>
        <w:rPr>
          <w:rFonts w:ascii="Arial" w:hAnsi="Arial" w:cs="Arial"/>
          <w:i/>
          <w:iCs/>
          <w:sz w:val="24"/>
          <w:szCs w:val="24"/>
        </w:rPr>
        <w:t>Fundamental Accounting Principles</w:t>
      </w:r>
      <w:r>
        <w:rPr>
          <w:rFonts w:ascii="Arial" w:hAnsi="Arial" w:cs="Arial"/>
          <w:sz w:val="24"/>
          <w:szCs w:val="24"/>
        </w:rPr>
        <w:t>, New York, McGraw Hill</w:t>
      </w:r>
    </w:p>
    <w:p w14:paraId="29C4C160" w14:textId="77777777" w:rsidR="00E478DC" w:rsidRPr="00F557BB" w:rsidRDefault="00E478DC" w:rsidP="00F557BB"/>
    <w:sectPr w:rsidR="00E478DC" w:rsidRPr="00F557BB" w:rsidSect="00BD12F5">
      <w:footerReference w:type="default" r:id="rId6"/>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3133A" w14:textId="77777777" w:rsidR="002F185F" w:rsidRDefault="002F185F">
      <w:pPr>
        <w:spacing w:after="0" w:line="240" w:lineRule="auto"/>
      </w:pPr>
      <w:r>
        <w:separator/>
      </w:r>
    </w:p>
  </w:endnote>
  <w:endnote w:type="continuationSeparator" w:id="0">
    <w:p w14:paraId="37EB1BE6" w14:textId="77777777" w:rsidR="002F185F" w:rsidRDefault="002F1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6112498"/>
      <w:docPartObj>
        <w:docPartGallery w:val="Page Numbers (Bottom of Page)"/>
        <w:docPartUnique/>
      </w:docPartObj>
    </w:sdtPr>
    <w:sdtEndPr>
      <w:rPr>
        <w:noProof/>
      </w:rPr>
    </w:sdtEndPr>
    <w:sdtContent>
      <w:p w14:paraId="4D3022CF" w14:textId="77777777" w:rsidR="002432C9" w:rsidRDefault="002F18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B44733" w14:textId="77777777" w:rsidR="002432C9" w:rsidRDefault="00243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C8362" w14:textId="77777777" w:rsidR="002F185F" w:rsidRDefault="002F185F">
      <w:pPr>
        <w:spacing w:after="0" w:line="240" w:lineRule="auto"/>
      </w:pPr>
      <w:r>
        <w:separator/>
      </w:r>
    </w:p>
  </w:footnote>
  <w:footnote w:type="continuationSeparator" w:id="0">
    <w:p w14:paraId="06D1EB90" w14:textId="77777777" w:rsidR="002F185F" w:rsidRDefault="002F18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09CB"/>
    <w:rsid w:val="002432C9"/>
    <w:rsid w:val="002B1DCC"/>
    <w:rsid w:val="002D3BC4"/>
    <w:rsid w:val="002F185F"/>
    <w:rsid w:val="003812A1"/>
    <w:rsid w:val="003A09CB"/>
    <w:rsid w:val="004A00FD"/>
    <w:rsid w:val="004B0843"/>
    <w:rsid w:val="004E3F08"/>
    <w:rsid w:val="005158D3"/>
    <w:rsid w:val="0059443B"/>
    <w:rsid w:val="005A3D3D"/>
    <w:rsid w:val="0064136F"/>
    <w:rsid w:val="00715294"/>
    <w:rsid w:val="00723950"/>
    <w:rsid w:val="007B0DDE"/>
    <w:rsid w:val="007E730E"/>
    <w:rsid w:val="00957CA6"/>
    <w:rsid w:val="009872AC"/>
    <w:rsid w:val="00A66880"/>
    <w:rsid w:val="00AA39F9"/>
    <w:rsid w:val="00BB345D"/>
    <w:rsid w:val="00BD12F5"/>
    <w:rsid w:val="00C30C3F"/>
    <w:rsid w:val="00C61CCF"/>
    <w:rsid w:val="00D208EA"/>
    <w:rsid w:val="00D44DD1"/>
    <w:rsid w:val="00D94319"/>
    <w:rsid w:val="00DB4A21"/>
    <w:rsid w:val="00E478DC"/>
    <w:rsid w:val="00E508EB"/>
    <w:rsid w:val="00E7416C"/>
    <w:rsid w:val="00EF349E"/>
    <w:rsid w:val="00F306D5"/>
    <w:rsid w:val="00F51646"/>
    <w:rsid w:val="00F557BB"/>
    <w:rsid w:val="00F90092"/>
    <w:rsid w:val="00FD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155FE"/>
  <w15:chartTrackingRefBased/>
  <w15:docId w15:val="{FF0034D8-4E9B-46A7-A713-8322ACF1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9F9"/>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3A0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9CB"/>
    <w:rPr>
      <w:rFonts w:eastAsiaTheme="majorEastAsia" w:cstheme="majorBidi"/>
      <w:color w:val="272727" w:themeColor="text1" w:themeTint="D8"/>
    </w:rPr>
  </w:style>
  <w:style w:type="paragraph" w:styleId="Title">
    <w:name w:val="Title"/>
    <w:basedOn w:val="Normal"/>
    <w:next w:val="Normal"/>
    <w:link w:val="TitleChar"/>
    <w:uiPriority w:val="10"/>
    <w:qFormat/>
    <w:rsid w:val="003A0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9CB"/>
    <w:pPr>
      <w:spacing w:before="160"/>
      <w:jc w:val="center"/>
    </w:pPr>
    <w:rPr>
      <w:i/>
      <w:iCs/>
      <w:color w:val="404040" w:themeColor="text1" w:themeTint="BF"/>
    </w:rPr>
  </w:style>
  <w:style w:type="character" w:customStyle="1" w:styleId="QuoteChar">
    <w:name w:val="Quote Char"/>
    <w:basedOn w:val="DefaultParagraphFont"/>
    <w:link w:val="Quote"/>
    <w:uiPriority w:val="29"/>
    <w:rsid w:val="003A09CB"/>
    <w:rPr>
      <w:i/>
      <w:iCs/>
      <w:color w:val="404040" w:themeColor="text1" w:themeTint="BF"/>
    </w:rPr>
  </w:style>
  <w:style w:type="paragraph" w:styleId="ListParagraph">
    <w:name w:val="List Paragraph"/>
    <w:basedOn w:val="Normal"/>
    <w:uiPriority w:val="34"/>
    <w:qFormat/>
    <w:rsid w:val="003A09CB"/>
    <w:pPr>
      <w:ind w:left="720"/>
      <w:contextualSpacing/>
    </w:pPr>
  </w:style>
  <w:style w:type="character" w:styleId="IntenseEmphasis">
    <w:name w:val="Intense Emphasis"/>
    <w:basedOn w:val="DefaultParagraphFont"/>
    <w:uiPriority w:val="21"/>
    <w:qFormat/>
    <w:rsid w:val="003A09CB"/>
    <w:rPr>
      <w:i/>
      <w:iCs/>
      <w:color w:val="0F4761" w:themeColor="accent1" w:themeShade="BF"/>
    </w:rPr>
  </w:style>
  <w:style w:type="paragraph" w:styleId="IntenseQuote">
    <w:name w:val="Intense Quote"/>
    <w:basedOn w:val="Normal"/>
    <w:next w:val="Normal"/>
    <w:link w:val="IntenseQuoteChar"/>
    <w:uiPriority w:val="30"/>
    <w:qFormat/>
    <w:rsid w:val="003A0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9CB"/>
    <w:rPr>
      <w:i/>
      <w:iCs/>
      <w:color w:val="0F4761" w:themeColor="accent1" w:themeShade="BF"/>
    </w:rPr>
  </w:style>
  <w:style w:type="character" w:styleId="IntenseReference">
    <w:name w:val="Intense Reference"/>
    <w:basedOn w:val="DefaultParagraphFont"/>
    <w:uiPriority w:val="32"/>
    <w:qFormat/>
    <w:rsid w:val="003A09CB"/>
    <w:rPr>
      <w:b/>
      <w:bCs/>
      <w:smallCaps/>
      <w:color w:val="0F4761" w:themeColor="accent1" w:themeShade="BF"/>
      <w:spacing w:val="5"/>
    </w:rPr>
  </w:style>
  <w:style w:type="paragraph" w:styleId="Footer">
    <w:name w:val="footer"/>
    <w:basedOn w:val="Normal"/>
    <w:link w:val="FooterChar"/>
    <w:uiPriority w:val="99"/>
    <w:unhideWhenUsed/>
    <w:rsid w:val="00EF349E"/>
    <w:pPr>
      <w:tabs>
        <w:tab w:val="center" w:pos="4513"/>
        <w:tab w:val="right" w:pos="9026"/>
      </w:tabs>
      <w:spacing w:after="0" w:line="240" w:lineRule="auto"/>
    </w:pPr>
    <w:rPr>
      <w:kern w:val="0"/>
    </w:rPr>
  </w:style>
  <w:style w:type="character" w:customStyle="1" w:styleId="FooterChar">
    <w:name w:val="Footer Char"/>
    <w:basedOn w:val="DefaultParagraphFont"/>
    <w:link w:val="Footer"/>
    <w:uiPriority w:val="99"/>
    <w:rsid w:val="00EF349E"/>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32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2893</Words>
  <Characters>16491</Characters>
  <Application>Microsoft Office Word</Application>
  <DocSecurity>0</DocSecurity>
  <Lines>137</Lines>
  <Paragraphs>38</Paragraphs>
  <ScaleCrop>false</ScaleCrop>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15</cp:revision>
  <dcterms:created xsi:type="dcterms:W3CDTF">2024-05-26T20:47:00Z</dcterms:created>
  <dcterms:modified xsi:type="dcterms:W3CDTF">2024-05-26T21:11:00Z</dcterms:modified>
</cp:coreProperties>
</file>