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61F6A9" w14:textId="61AC956A" w:rsidR="00FF7F50" w:rsidRPr="00490789" w:rsidRDefault="00490789" w:rsidP="00490789">
      <w:pPr>
        <w:jc w:val="center"/>
        <w:rPr>
          <w:rFonts w:ascii="Arial" w:hAnsi="Arial" w:cs="Arial"/>
          <w:b/>
          <w:bCs/>
          <w:sz w:val="24"/>
          <w:szCs w:val="24"/>
        </w:rPr>
      </w:pPr>
      <w:r w:rsidRPr="00490789">
        <w:rPr>
          <w:rFonts w:ascii="Arial" w:hAnsi="Arial" w:cs="Arial"/>
          <w:b/>
          <w:bCs/>
          <w:sz w:val="24"/>
          <w:szCs w:val="24"/>
        </w:rPr>
        <w:t>MOLLY BAKER – 2134331</w:t>
      </w:r>
    </w:p>
    <w:p w14:paraId="7DE331C7" w14:textId="77777777" w:rsidR="00490789" w:rsidRPr="00490789" w:rsidRDefault="00490789" w:rsidP="00490789">
      <w:pPr>
        <w:jc w:val="center"/>
        <w:rPr>
          <w:rFonts w:ascii="Arial" w:hAnsi="Arial" w:cs="Arial"/>
          <w:b/>
          <w:bCs/>
          <w:sz w:val="24"/>
          <w:szCs w:val="24"/>
        </w:rPr>
      </w:pPr>
    </w:p>
    <w:p w14:paraId="744C3532" w14:textId="20613705" w:rsidR="00490789" w:rsidRPr="00490789" w:rsidRDefault="00490789" w:rsidP="00490789">
      <w:pPr>
        <w:jc w:val="both"/>
        <w:rPr>
          <w:rFonts w:ascii="Arial" w:hAnsi="Arial" w:cs="Arial"/>
          <w:b/>
          <w:bCs/>
          <w:sz w:val="24"/>
          <w:szCs w:val="24"/>
          <w:u w:val="single"/>
        </w:rPr>
      </w:pPr>
      <w:r w:rsidRPr="00490789">
        <w:rPr>
          <w:rFonts w:ascii="Arial" w:hAnsi="Arial" w:cs="Arial"/>
          <w:b/>
          <w:bCs/>
          <w:sz w:val="24"/>
          <w:szCs w:val="24"/>
          <w:u w:val="single"/>
        </w:rPr>
        <w:t xml:space="preserve">Essay Two </w:t>
      </w:r>
      <w:r w:rsidR="009C7822">
        <w:rPr>
          <w:rFonts w:ascii="Arial" w:hAnsi="Arial" w:cs="Arial"/>
          <w:b/>
          <w:bCs/>
          <w:sz w:val="24"/>
          <w:szCs w:val="24"/>
          <w:u w:val="single"/>
        </w:rPr>
        <w:t xml:space="preserve"> **INCOMPLETE**</w:t>
      </w:r>
    </w:p>
    <w:p w14:paraId="1C0B122B" w14:textId="0A516B13" w:rsidR="00490789" w:rsidRPr="00EA1C72" w:rsidRDefault="00490789" w:rsidP="00490789">
      <w:pPr>
        <w:pStyle w:val="Default"/>
        <w:jc w:val="both"/>
        <w:rPr>
          <w:b/>
          <w:bCs/>
          <w:sz w:val="22"/>
          <w:szCs w:val="22"/>
        </w:rPr>
      </w:pPr>
      <w:r w:rsidRPr="00EA1C72">
        <w:rPr>
          <w:b/>
          <w:bCs/>
          <w:sz w:val="22"/>
          <w:szCs w:val="22"/>
        </w:rPr>
        <w:t xml:space="preserve">Community policing – Why are partnership approaches the most effective means of improving community engagement? </w:t>
      </w:r>
    </w:p>
    <w:p w14:paraId="49559B55" w14:textId="77777777" w:rsidR="00490789" w:rsidRPr="00490789" w:rsidRDefault="00490789" w:rsidP="00490789">
      <w:pPr>
        <w:pStyle w:val="Default"/>
        <w:jc w:val="both"/>
        <w:rPr>
          <w:sz w:val="22"/>
          <w:szCs w:val="22"/>
        </w:rPr>
      </w:pPr>
    </w:p>
    <w:p w14:paraId="2D5A8A23" w14:textId="77777777" w:rsidR="00490789" w:rsidRPr="00490789" w:rsidRDefault="00490789" w:rsidP="00490789">
      <w:pPr>
        <w:pStyle w:val="Default"/>
        <w:jc w:val="both"/>
        <w:rPr>
          <w:sz w:val="22"/>
          <w:szCs w:val="22"/>
        </w:rPr>
      </w:pPr>
    </w:p>
    <w:p w14:paraId="0796C9C8" w14:textId="77777777" w:rsidR="00490789" w:rsidRPr="00490789" w:rsidRDefault="00490789" w:rsidP="00490789">
      <w:pPr>
        <w:pStyle w:val="Default"/>
        <w:jc w:val="both"/>
        <w:rPr>
          <w:sz w:val="22"/>
          <w:szCs w:val="22"/>
        </w:rPr>
      </w:pPr>
    </w:p>
    <w:p w14:paraId="0FD76086" w14:textId="77777777" w:rsidR="00490789" w:rsidRPr="00490789" w:rsidRDefault="00490789" w:rsidP="00490789">
      <w:pPr>
        <w:pStyle w:val="Default"/>
        <w:jc w:val="both"/>
        <w:rPr>
          <w:sz w:val="22"/>
          <w:szCs w:val="22"/>
        </w:rPr>
      </w:pPr>
    </w:p>
    <w:p w14:paraId="2DE82B07" w14:textId="5F30DFC6" w:rsidR="00490789" w:rsidRPr="00490789" w:rsidRDefault="00490789" w:rsidP="00490789">
      <w:pPr>
        <w:jc w:val="both"/>
        <w:rPr>
          <w:rFonts w:ascii="Arial" w:hAnsi="Arial" w:cs="Arial"/>
          <w:b/>
          <w:bCs/>
          <w:sz w:val="24"/>
          <w:szCs w:val="24"/>
          <w:u w:val="single"/>
        </w:rPr>
      </w:pPr>
      <w:r w:rsidRPr="00490789">
        <w:rPr>
          <w:rFonts w:ascii="Arial" w:hAnsi="Arial" w:cs="Arial"/>
          <w:b/>
          <w:bCs/>
          <w:sz w:val="24"/>
          <w:szCs w:val="24"/>
          <w:u w:val="single"/>
        </w:rPr>
        <w:t>Essay Three</w:t>
      </w:r>
    </w:p>
    <w:p w14:paraId="0288B972" w14:textId="523EEAEF" w:rsidR="00490789" w:rsidRPr="009D7C21" w:rsidRDefault="00490789" w:rsidP="009C7822">
      <w:pPr>
        <w:jc w:val="both"/>
        <w:rPr>
          <w:rFonts w:ascii="Arial" w:hAnsi="Arial" w:cs="Arial"/>
          <w:b/>
          <w:bCs/>
        </w:rPr>
      </w:pPr>
      <w:r w:rsidRPr="009D7C21">
        <w:rPr>
          <w:rFonts w:ascii="Arial" w:hAnsi="Arial" w:cs="Arial"/>
          <w:b/>
          <w:bCs/>
        </w:rPr>
        <w:t xml:space="preserve">Evaluate the effectiveness of cognitive interviews as a strategy for obtaining initial accounts from victims and witnesses. </w:t>
      </w:r>
    </w:p>
    <w:p w14:paraId="00CF55B9" w14:textId="77777777" w:rsidR="009C7822" w:rsidRPr="009C7822" w:rsidRDefault="009C7822" w:rsidP="009C7822">
      <w:pPr>
        <w:pStyle w:val="Default"/>
        <w:jc w:val="both"/>
        <w:rPr>
          <w:sz w:val="22"/>
          <w:szCs w:val="22"/>
          <w:u w:val="single"/>
        </w:rPr>
      </w:pPr>
      <w:r w:rsidRPr="009C7822">
        <w:rPr>
          <w:sz w:val="22"/>
          <w:szCs w:val="22"/>
          <w:u w:val="single"/>
        </w:rPr>
        <w:t xml:space="preserve">Introduction </w:t>
      </w:r>
    </w:p>
    <w:p w14:paraId="2D1848D0" w14:textId="77777777" w:rsidR="009C7822" w:rsidRPr="009C7822" w:rsidRDefault="009C7822" w:rsidP="009C7822">
      <w:pPr>
        <w:pStyle w:val="Default"/>
        <w:jc w:val="both"/>
        <w:rPr>
          <w:sz w:val="22"/>
          <w:szCs w:val="22"/>
          <w:u w:val="single"/>
        </w:rPr>
      </w:pPr>
    </w:p>
    <w:p w14:paraId="17AE2CA8" w14:textId="77777777" w:rsidR="009C7822" w:rsidRPr="009C7822" w:rsidRDefault="009C7822" w:rsidP="009C7822">
      <w:pPr>
        <w:pStyle w:val="Default"/>
        <w:jc w:val="both"/>
        <w:rPr>
          <w:sz w:val="22"/>
          <w:szCs w:val="22"/>
        </w:rPr>
      </w:pPr>
      <w:r w:rsidRPr="009C7822">
        <w:rPr>
          <w:sz w:val="22"/>
          <w:szCs w:val="22"/>
        </w:rPr>
        <w:t xml:space="preserve">This essay will be a discussion on cognitive interviews and how they are used to obtain initial accounts from victims and witnesses. Within the essay, will also be an evaluation on the effectiveness of this as a strategy. The essay will be structured through the use of The Borton Model. </w:t>
      </w:r>
    </w:p>
    <w:p w14:paraId="0FF3E6E3" w14:textId="77777777" w:rsidR="009C7822" w:rsidRPr="009C7822" w:rsidRDefault="009C7822" w:rsidP="009C7822">
      <w:pPr>
        <w:pStyle w:val="Default"/>
        <w:jc w:val="both"/>
        <w:rPr>
          <w:sz w:val="22"/>
          <w:szCs w:val="22"/>
        </w:rPr>
      </w:pPr>
    </w:p>
    <w:p w14:paraId="1AED56FD" w14:textId="77777777" w:rsidR="009C7822" w:rsidRPr="009C7822" w:rsidRDefault="009C7822" w:rsidP="009C7822">
      <w:pPr>
        <w:pStyle w:val="Default"/>
        <w:jc w:val="both"/>
        <w:rPr>
          <w:sz w:val="22"/>
          <w:szCs w:val="22"/>
        </w:rPr>
      </w:pPr>
      <w:r w:rsidRPr="009C7822">
        <w:rPr>
          <w:sz w:val="22"/>
          <w:szCs w:val="22"/>
        </w:rPr>
        <w:t>The model is a framework for reflection, which was developed in the 1970s by Terry Borton. It asks 3 basic questions, what, so what and now what? (</w:t>
      </w:r>
      <w:proofErr w:type="spellStart"/>
      <w:r w:rsidRPr="009C7822">
        <w:rPr>
          <w:sz w:val="22"/>
          <w:szCs w:val="22"/>
        </w:rPr>
        <w:t>Physiopedia</w:t>
      </w:r>
      <w:proofErr w:type="spellEnd"/>
      <w:r w:rsidRPr="009C7822">
        <w:rPr>
          <w:sz w:val="22"/>
          <w:szCs w:val="22"/>
        </w:rPr>
        <w:t xml:space="preserve">, 2021). </w:t>
      </w:r>
    </w:p>
    <w:p w14:paraId="1E2EF2CE" w14:textId="77777777" w:rsidR="009C7822" w:rsidRPr="009C7822" w:rsidRDefault="009C7822" w:rsidP="009C7822">
      <w:pPr>
        <w:pStyle w:val="Default"/>
        <w:jc w:val="both"/>
        <w:rPr>
          <w:sz w:val="22"/>
          <w:szCs w:val="22"/>
          <w:u w:val="single"/>
        </w:rPr>
      </w:pPr>
    </w:p>
    <w:p w14:paraId="5B68276F" w14:textId="77777777" w:rsidR="009C7822" w:rsidRPr="009C7822" w:rsidRDefault="009C7822" w:rsidP="009C7822">
      <w:pPr>
        <w:pStyle w:val="Default"/>
        <w:jc w:val="both"/>
        <w:rPr>
          <w:sz w:val="22"/>
          <w:szCs w:val="22"/>
          <w:u w:val="single"/>
        </w:rPr>
      </w:pPr>
      <w:r w:rsidRPr="009C7822">
        <w:rPr>
          <w:sz w:val="22"/>
          <w:szCs w:val="22"/>
          <w:u w:val="single"/>
        </w:rPr>
        <w:t xml:space="preserve">What? </w:t>
      </w:r>
    </w:p>
    <w:p w14:paraId="45BDC3E6" w14:textId="77777777" w:rsidR="009C7822" w:rsidRPr="009C7822" w:rsidRDefault="009C7822" w:rsidP="009C7822">
      <w:pPr>
        <w:pStyle w:val="Default"/>
        <w:jc w:val="both"/>
        <w:rPr>
          <w:sz w:val="22"/>
          <w:szCs w:val="22"/>
          <w:u w:val="single"/>
        </w:rPr>
      </w:pPr>
    </w:p>
    <w:p w14:paraId="1C112660" w14:textId="77777777" w:rsidR="009C7822" w:rsidRPr="009C7822" w:rsidRDefault="009C7822" w:rsidP="009C7822">
      <w:pPr>
        <w:pStyle w:val="Default"/>
        <w:jc w:val="both"/>
        <w:rPr>
          <w:sz w:val="22"/>
          <w:szCs w:val="22"/>
        </w:rPr>
      </w:pPr>
      <w:r w:rsidRPr="009C7822">
        <w:rPr>
          <w:sz w:val="22"/>
          <w:szCs w:val="22"/>
        </w:rPr>
        <w:t xml:space="preserve">Interviewing both victims and witnesses are evidentially crucial to every investigation. The College of Policing (2024) state that by conducting good quality interviews, an investigation can be directed and increase the likelihood of a prosecution. This in turn, increases public confidence in the police service. </w:t>
      </w:r>
    </w:p>
    <w:p w14:paraId="58F9DFDB" w14:textId="77777777" w:rsidR="009C7822" w:rsidRPr="009C7822" w:rsidRDefault="009C7822" w:rsidP="009C7822">
      <w:pPr>
        <w:pStyle w:val="Default"/>
        <w:jc w:val="both"/>
        <w:rPr>
          <w:sz w:val="22"/>
          <w:szCs w:val="22"/>
        </w:rPr>
      </w:pPr>
    </w:p>
    <w:p w14:paraId="050DAA21" w14:textId="77777777" w:rsidR="009C7822" w:rsidRPr="009C7822" w:rsidRDefault="009C7822" w:rsidP="009C7822">
      <w:pPr>
        <w:pStyle w:val="Default"/>
        <w:jc w:val="both"/>
        <w:rPr>
          <w:sz w:val="22"/>
          <w:szCs w:val="22"/>
        </w:rPr>
      </w:pPr>
      <w:r w:rsidRPr="009C7822">
        <w:rPr>
          <w:sz w:val="22"/>
          <w:szCs w:val="22"/>
        </w:rPr>
        <w:t>Investigations can be directed, by firstly obtaining an initial account. The initial account has many purposes to the incident or allegation, including; protecting life and property, identifying offenders and securing evidence. It also allows for the risk assessment of victims and witnesses (COP, 2020).</w:t>
      </w:r>
    </w:p>
    <w:p w14:paraId="78447818" w14:textId="77777777" w:rsidR="009C7822" w:rsidRPr="009C7822" w:rsidRDefault="009C7822" w:rsidP="009C7822">
      <w:pPr>
        <w:pStyle w:val="Default"/>
        <w:jc w:val="both"/>
        <w:rPr>
          <w:sz w:val="22"/>
          <w:szCs w:val="22"/>
        </w:rPr>
      </w:pPr>
    </w:p>
    <w:p w14:paraId="75C03530" w14:textId="77777777" w:rsidR="009C7822" w:rsidRPr="009C7822" w:rsidRDefault="009C7822" w:rsidP="009C7822">
      <w:pPr>
        <w:pStyle w:val="Default"/>
        <w:jc w:val="both"/>
        <w:rPr>
          <w:sz w:val="22"/>
          <w:szCs w:val="22"/>
        </w:rPr>
      </w:pPr>
      <w:r w:rsidRPr="009C7822">
        <w:rPr>
          <w:sz w:val="22"/>
          <w:szCs w:val="22"/>
        </w:rPr>
        <w:t>The Cognitive Interview is a technique that was developed to enhance witness memory. It was developed by Geiselman et al in 1985 with the considerations of factors that can have a negative effect on an interview. These factors include; victims and witnesses having poor memory and verbal skills, and sometimes being traumatised by the incident (Geiselman and Fisher, 2010).</w:t>
      </w:r>
    </w:p>
    <w:p w14:paraId="69C57808" w14:textId="77777777" w:rsidR="009C7822" w:rsidRPr="009C7822" w:rsidRDefault="009C7822" w:rsidP="009C7822">
      <w:pPr>
        <w:pStyle w:val="Default"/>
        <w:jc w:val="both"/>
        <w:rPr>
          <w:sz w:val="22"/>
          <w:szCs w:val="22"/>
        </w:rPr>
      </w:pPr>
    </w:p>
    <w:p w14:paraId="579AC603" w14:textId="77777777" w:rsidR="009C7822" w:rsidRPr="009C7822" w:rsidRDefault="009C7822" w:rsidP="009C7822">
      <w:pPr>
        <w:pStyle w:val="Default"/>
        <w:jc w:val="both"/>
        <w:rPr>
          <w:sz w:val="22"/>
          <w:szCs w:val="22"/>
        </w:rPr>
      </w:pPr>
      <w:r w:rsidRPr="009C7822">
        <w:rPr>
          <w:sz w:val="22"/>
          <w:szCs w:val="22"/>
        </w:rPr>
        <w:t>The interview focuses on cue-dependent forgetting and has four stages for the stimulation of these cues, in order to maximise the retrieval of information. These stages include; reinstating context, recalling the events in reverse order, reporting everything they can remember and describing the events from another point of view (</w:t>
      </w:r>
      <w:proofErr w:type="spellStart"/>
      <w:r w:rsidRPr="009C7822">
        <w:rPr>
          <w:sz w:val="22"/>
          <w:szCs w:val="22"/>
        </w:rPr>
        <w:t>Mcleod</w:t>
      </w:r>
      <w:proofErr w:type="spellEnd"/>
      <w:r w:rsidRPr="009C7822">
        <w:rPr>
          <w:sz w:val="22"/>
          <w:szCs w:val="22"/>
        </w:rPr>
        <w:t xml:space="preserve">, 2023). </w:t>
      </w:r>
    </w:p>
    <w:p w14:paraId="67AB4BA3" w14:textId="77777777" w:rsidR="009C7822" w:rsidRPr="009C7822" w:rsidRDefault="009C7822" w:rsidP="009C7822">
      <w:pPr>
        <w:pStyle w:val="Default"/>
        <w:jc w:val="both"/>
        <w:rPr>
          <w:sz w:val="22"/>
          <w:szCs w:val="22"/>
        </w:rPr>
      </w:pPr>
    </w:p>
    <w:p w14:paraId="3181914B" w14:textId="77777777" w:rsidR="009C7822" w:rsidRPr="009C7822" w:rsidRDefault="009C7822" w:rsidP="009C7822">
      <w:pPr>
        <w:pStyle w:val="Default"/>
        <w:jc w:val="both"/>
        <w:rPr>
          <w:sz w:val="22"/>
          <w:szCs w:val="22"/>
        </w:rPr>
      </w:pPr>
      <w:r w:rsidRPr="009C7822">
        <w:rPr>
          <w:sz w:val="22"/>
          <w:szCs w:val="22"/>
        </w:rPr>
        <w:t xml:space="preserve">The interview begins by asking the witness to describe the general surroundings and context of the incident. This is used to help them return to the environment in which the incident took place. The witness is then asked to describe every detail they can recall, no matter its significance. </w:t>
      </w:r>
    </w:p>
    <w:p w14:paraId="52AFC55C" w14:textId="77777777" w:rsidR="009C7822" w:rsidRPr="009C7822" w:rsidRDefault="009C7822" w:rsidP="009C7822">
      <w:pPr>
        <w:pStyle w:val="Default"/>
        <w:jc w:val="both"/>
        <w:rPr>
          <w:sz w:val="22"/>
          <w:szCs w:val="22"/>
        </w:rPr>
      </w:pPr>
    </w:p>
    <w:p w14:paraId="3C332F77" w14:textId="77777777" w:rsidR="009C7822" w:rsidRPr="009C7822" w:rsidRDefault="009C7822" w:rsidP="009C7822">
      <w:pPr>
        <w:pStyle w:val="Default"/>
        <w:jc w:val="both"/>
        <w:rPr>
          <w:sz w:val="22"/>
          <w:szCs w:val="22"/>
        </w:rPr>
      </w:pPr>
      <w:r w:rsidRPr="009C7822">
        <w:rPr>
          <w:sz w:val="22"/>
          <w:szCs w:val="22"/>
        </w:rPr>
        <w:lastRenderedPageBreak/>
        <w:t>The witness is asked to then consider recalling their account of the incident in a different order, this decreases the likelihood of the witness using schema. Schema is a psychological concept surrounding the way in which the brain structures and stores information differently from others (Nickerson, 2024).</w:t>
      </w:r>
    </w:p>
    <w:p w14:paraId="12B0C84B" w14:textId="77777777" w:rsidR="009C7822" w:rsidRPr="009C7822" w:rsidRDefault="009C7822" w:rsidP="009C7822">
      <w:pPr>
        <w:pStyle w:val="Default"/>
        <w:jc w:val="both"/>
        <w:rPr>
          <w:sz w:val="22"/>
          <w:szCs w:val="22"/>
        </w:rPr>
      </w:pPr>
    </w:p>
    <w:p w14:paraId="2300937B" w14:textId="77777777" w:rsidR="009C7822" w:rsidRPr="009C7822" w:rsidRDefault="009C7822" w:rsidP="009C7822">
      <w:pPr>
        <w:pStyle w:val="Default"/>
        <w:jc w:val="both"/>
        <w:rPr>
          <w:sz w:val="22"/>
          <w:szCs w:val="22"/>
        </w:rPr>
      </w:pPr>
      <w:r w:rsidRPr="009C7822">
        <w:rPr>
          <w:sz w:val="22"/>
          <w:szCs w:val="22"/>
        </w:rPr>
        <w:t>Lastly, the witness is asked to recall the incident from the perspective of another person, such as an additional witness (</w:t>
      </w:r>
      <w:proofErr w:type="spellStart"/>
      <w:r w:rsidRPr="009C7822">
        <w:rPr>
          <w:sz w:val="22"/>
          <w:szCs w:val="22"/>
        </w:rPr>
        <w:t>Studysmarter</w:t>
      </w:r>
      <w:proofErr w:type="spellEnd"/>
      <w:r w:rsidRPr="009C7822">
        <w:rPr>
          <w:sz w:val="22"/>
          <w:szCs w:val="22"/>
        </w:rPr>
        <w:t xml:space="preserve">, 2024). </w:t>
      </w:r>
    </w:p>
    <w:p w14:paraId="68268BEE" w14:textId="77777777" w:rsidR="009C7822" w:rsidRPr="009C7822" w:rsidRDefault="009C7822" w:rsidP="009C7822">
      <w:pPr>
        <w:pStyle w:val="Default"/>
        <w:jc w:val="both"/>
        <w:rPr>
          <w:sz w:val="22"/>
          <w:szCs w:val="22"/>
          <w:u w:val="single"/>
        </w:rPr>
      </w:pPr>
    </w:p>
    <w:p w14:paraId="6CE888E7" w14:textId="77777777" w:rsidR="009C7822" w:rsidRPr="009C7822" w:rsidRDefault="009C7822" w:rsidP="009C7822">
      <w:pPr>
        <w:pStyle w:val="Default"/>
        <w:jc w:val="both"/>
        <w:rPr>
          <w:sz w:val="22"/>
          <w:szCs w:val="22"/>
          <w:u w:val="single"/>
        </w:rPr>
      </w:pPr>
      <w:r w:rsidRPr="009C7822">
        <w:rPr>
          <w:sz w:val="22"/>
          <w:szCs w:val="22"/>
          <w:u w:val="single"/>
        </w:rPr>
        <w:t xml:space="preserve">So what? </w:t>
      </w:r>
    </w:p>
    <w:p w14:paraId="2FD8E8D3" w14:textId="77777777" w:rsidR="009C7822" w:rsidRPr="009C7822" w:rsidRDefault="009C7822" w:rsidP="009C7822">
      <w:pPr>
        <w:pStyle w:val="Default"/>
        <w:jc w:val="both"/>
        <w:rPr>
          <w:sz w:val="22"/>
          <w:szCs w:val="22"/>
          <w:u w:val="single"/>
        </w:rPr>
      </w:pPr>
    </w:p>
    <w:p w14:paraId="2F68B780" w14:textId="77777777" w:rsidR="009C7822" w:rsidRPr="009C7822" w:rsidRDefault="009C7822" w:rsidP="009C7822">
      <w:pPr>
        <w:pStyle w:val="Default"/>
        <w:jc w:val="both"/>
        <w:rPr>
          <w:sz w:val="22"/>
          <w:szCs w:val="22"/>
        </w:rPr>
      </w:pPr>
      <w:r w:rsidRPr="009C7822">
        <w:rPr>
          <w:sz w:val="22"/>
          <w:szCs w:val="22"/>
        </w:rPr>
        <w:t xml:space="preserve">It has been stated that, around 65 studies have been conducted on the use of cognitive interviews and the overall perception is that it is the most successful method that has been developed in the last 25 years (Memon et al, 2010). </w:t>
      </w:r>
    </w:p>
    <w:p w14:paraId="5F5482F6" w14:textId="77777777" w:rsidR="009C7822" w:rsidRPr="009C7822" w:rsidRDefault="009C7822" w:rsidP="009C7822">
      <w:pPr>
        <w:pStyle w:val="Default"/>
        <w:jc w:val="both"/>
        <w:rPr>
          <w:sz w:val="22"/>
          <w:szCs w:val="22"/>
          <w:u w:val="single"/>
        </w:rPr>
      </w:pPr>
    </w:p>
    <w:p w14:paraId="483112EC" w14:textId="77777777" w:rsidR="009C7822" w:rsidRPr="009C7822" w:rsidRDefault="009C7822" w:rsidP="009C7822">
      <w:pPr>
        <w:pStyle w:val="Default"/>
        <w:jc w:val="both"/>
        <w:rPr>
          <w:sz w:val="22"/>
          <w:szCs w:val="22"/>
        </w:rPr>
      </w:pPr>
      <w:r w:rsidRPr="009C7822">
        <w:rPr>
          <w:sz w:val="22"/>
          <w:szCs w:val="22"/>
        </w:rPr>
        <w:t xml:space="preserve">In a field test of the cognitive interview, it was compared with a standard police interview technique. Overall, it was found that the cognitive interview elicited more information than the standard police interview, by approximately 35% (Fisher et al, 1989). The use of mnemonics had also been successful in field tests, with the number of correct information was higher than the number of incorrect or confabulated information (Geiselman et al 1986). It was concluded that cognitive interview techniques could be incorporated into police investigations, and that the use of mnemonics required little training by investigators, therefore was timesaving towards the overall demand of an investigation. </w:t>
      </w:r>
    </w:p>
    <w:p w14:paraId="1DAFD5BB" w14:textId="77777777" w:rsidR="009C7822" w:rsidRPr="009C7822" w:rsidRDefault="009C7822" w:rsidP="009C7822">
      <w:pPr>
        <w:pStyle w:val="Default"/>
        <w:jc w:val="both"/>
        <w:rPr>
          <w:sz w:val="22"/>
          <w:szCs w:val="22"/>
          <w:u w:val="single"/>
        </w:rPr>
      </w:pPr>
    </w:p>
    <w:p w14:paraId="7DA73348" w14:textId="77777777" w:rsidR="009C7822" w:rsidRPr="009C7822" w:rsidRDefault="009C7822" w:rsidP="009C7822">
      <w:pPr>
        <w:pStyle w:val="Default"/>
        <w:jc w:val="both"/>
        <w:rPr>
          <w:sz w:val="22"/>
          <w:szCs w:val="22"/>
        </w:rPr>
      </w:pPr>
      <w:r w:rsidRPr="009C7822">
        <w:rPr>
          <w:sz w:val="22"/>
          <w:szCs w:val="22"/>
        </w:rPr>
        <w:t>Additionally, the studies also found benefits to increased recall. Whilst the original goal was to increase victim and witness recall, not to promote well-being, the field study shows that victims’ greater recall with the cognitive interview may contribute to their better psychological functioning. As a result of recalling extensively, victims feel overall more positively. This allows victims to feel more committed to the investigative process, which in turn increases the likelihood of their willingness to participate in further interviews and/or appear in court (Fisher et al, 2010).</w:t>
      </w:r>
    </w:p>
    <w:p w14:paraId="126754E2" w14:textId="77777777" w:rsidR="009C7822" w:rsidRPr="009C7822" w:rsidRDefault="009C7822" w:rsidP="009C7822">
      <w:pPr>
        <w:pStyle w:val="Default"/>
        <w:jc w:val="both"/>
        <w:rPr>
          <w:sz w:val="22"/>
          <w:szCs w:val="22"/>
        </w:rPr>
      </w:pPr>
    </w:p>
    <w:p w14:paraId="2130222B" w14:textId="77777777" w:rsidR="009C7822" w:rsidRPr="009C7822" w:rsidRDefault="009C7822" w:rsidP="009C7822">
      <w:pPr>
        <w:pStyle w:val="Default"/>
        <w:jc w:val="both"/>
        <w:rPr>
          <w:sz w:val="22"/>
          <w:szCs w:val="22"/>
        </w:rPr>
      </w:pPr>
      <w:r w:rsidRPr="009C7822">
        <w:rPr>
          <w:sz w:val="22"/>
          <w:szCs w:val="22"/>
        </w:rPr>
        <w:t xml:space="preserve">Whilst overall the cognitive interview appears to be the most effective method for obtaining initial accounts from both victims and witnesses, researchers also identified a number of limitations to the method. </w:t>
      </w:r>
    </w:p>
    <w:p w14:paraId="4E9B8AB6" w14:textId="77777777" w:rsidR="009C7822" w:rsidRPr="009C7822" w:rsidRDefault="009C7822" w:rsidP="009C7822">
      <w:pPr>
        <w:pStyle w:val="Default"/>
        <w:jc w:val="both"/>
        <w:rPr>
          <w:sz w:val="22"/>
          <w:szCs w:val="22"/>
        </w:rPr>
      </w:pPr>
    </w:p>
    <w:p w14:paraId="40253FB5" w14:textId="77777777" w:rsidR="009C7822" w:rsidRPr="009C7822" w:rsidRDefault="009C7822" w:rsidP="009C7822">
      <w:pPr>
        <w:pStyle w:val="Default"/>
        <w:jc w:val="both"/>
        <w:rPr>
          <w:sz w:val="22"/>
          <w:szCs w:val="22"/>
        </w:rPr>
      </w:pPr>
      <w:r w:rsidRPr="009C7822">
        <w:rPr>
          <w:sz w:val="22"/>
          <w:szCs w:val="22"/>
        </w:rPr>
        <w:t xml:space="preserve">Cognitive interviews can only be successful with witnesses with are cooperative to the investigation. Witnesses cannot be ‘broken’ by those who choose to withhold information. The method is also only beneficial to certain crimes, it is not as useful for crimes that rely heavily on physical evidence. Additionally, the interviewing technique is more time-consuming than a standard police interview and the interviewer requires considerable mental concentration. This may not necessarily be beneficial to investigations that need initial accounts from victims and witnesses rapidly, in order to progress the investigation (Fisher et al, 1989).  </w:t>
      </w:r>
    </w:p>
    <w:p w14:paraId="7009E98E" w14:textId="77777777" w:rsidR="009C7822" w:rsidRPr="009C7822" w:rsidRDefault="009C7822" w:rsidP="009C7822">
      <w:pPr>
        <w:pStyle w:val="Default"/>
        <w:jc w:val="both"/>
        <w:rPr>
          <w:sz w:val="22"/>
          <w:szCs w:val="22"/>
          <w:u w:val="single"/>
        </w:rPr>
      </w:pPr>
    </w:p>
    <w:p w14:paraId="4751CE84" w14:textId="77777777" w:rsidR="009C7822" w:rsidRPr="009C7822" w:rsidRDefault="009C7822" w:rsidP="009C7822">
      <w:pPr>
        <w:pStyle w:val="Default"/>
        <w:jc w:val="both"/>
        <w:rPr>
          <w:sz w:val="22"/>
          <w:szCs w:val="22"/>
          <w:u w:val="single"/>
        </w:rPr>
      </w:pPr>
    </w:p>
    <w:p w14:paraId="286C8761" w14:textId="77777777" w:rsidR="009C7822" w:rsidRPr="009C7822" w:rsidRDefault="009C7822" w:rsidP="009C7822">
      <w:pPr>
        <w:pStyle w:val="Default"/>
        <w:jc w:val="both"/>
        <w:rPr>
          <w:sz w:val="22"/>
          <w:szCs w:val="22"/>
          <w:u w:val="single"/>
        </w:rPr>
      </w:pPr>
      <w:r w:rsidRPr="009C7822">
        <w:rPr>
          <w:sz w:val="22"/>
          <w:szCs w:val="22"/>
          <w:u w:val="single"/>
        </w:rPr>
        <w:t xml:space="preserve">Now what? </w:t>
      </w:r>
    </w:p>
    <w:p w14:paraId="66925D84" w14:textId="77777777" w:rsidR="009C7822" w:rsidRPr="009C7822" w:rsidRDefault="009C7822" w:rsidP="009C7822">
      <w:pPr>
        <w:pStyle w:val="Default"/>
        <w:jc w:val="both"/>
        <w:rPr>
          <w:sz w:val="22"/>
          <w:szCs w:val="22"/>
          <w:u w:val="single"/>
        </w:rPr>
      </w:pPr>
    </w:p>
    <w:p w14:paraId="181A8385" w14:textId="77777777" w:rsidR="009C7822" w:rsidRPr="009C7822" w:rsidRDefault="009C7822" w:rsidP="009C7822">
      <w:pPr>
        <w:pStyle w:val="Default"/>
        <w:jc w:val="both"/>
        <w:rPr>
          <w:sz w:val="22"/>
          <w:szCs w:val="22"/>
        </w:rPr>
      </w:pPr>
      <w:r w:rsidRPr="009C7822">
        <w:rPr>
          <w:sz w:val="22"/>
          <w:szCs w:val="22"/>
        </w:rPr>
        <w:t xml:space="preserve">There appears to be a vast amount of research that has been carried out in the last 25 years on the effectiveness of the cognitive interviews compared to the standardised police interview. Overall, the general consensus is that it is the most successful method of retrieving information and in turn initial account from both victims and witnesses. </w:t>
      </w:r>
    </w:p>
    <w:p w14:paraId="4C3454BD" w14:textId="77777777" w:rsidR="009C7822" w:rsidRPr="009C7822" w:rsidRDefault="009C7822" w:rsidP="009C7822">
      <w:pPr>
        <w:pStyle w:val="Default"/>
        <w:jc w:val="both"/>
        <w:rPr>
          <w:sz w:val="22"/>
          <w:szCs w:val="22"/>
        </w:rPr>
      </w:pPr>
    </w:p>
    <w:p w14:paraId="0EA3C52F" w14:textId="77777777" w:rsidR="009C7822" w:rsidRPr="009C7822" w:rsidRDefault="009C7822" w:rsidP="009C7822">
      <w:pPr>
        <w:pStyle w:val="Default"/>
        <w:jc w:val="both"/>
        <w:rPr>
          <w:sz w:val="22"/>
          <w:szCs w:val="22"/>
        </w:rPr>
      </w:pPr>
      <w:r w:rsidRPr="009C7822">
        <w:rPr>
          <w:sz w:val="22"/>
          <w:szCs w:val="22"/>
        </w:rPr>
        <w:t>However, there is also ample research that highlights the limitations of the cognitive interview. Whilst overall the method works well, it appears it is subjective to the incident and/or crime and therefore cannot be used with every victim/witness.</w:t>
      </w:r>
    </w:p>
    <w:p w14:paraId="3BD04C7A" w14:textId="77777777" w:rsidR="009C7822" w:rsidRPr="009C7822" w:rsidRDefault="009C7822" w:rsidP="009C7822">
      <w:pPr>
        <w:pStyle w:val="Default"/>
        <w:jc w:val="both"/>
        <w:rPr>
          <w:sz w:val="22"/>
          <w:szCs w:val="22"/>
        </w:rPr>
      </w:pPr>
    </w:p>
    <w:p w14:paraId="4112CB32" w14:textId="77777777" w:rsidR="009C7822" w:rsidRPr="009C7822" w:rsidRDefault="009C7822" w:rsidP="009C7822">
      <w:pPr>
        <w:pStyle w:val="Default"/>
        <w:jc w:val="both"/>
        <w:rPr>
          <w:sz w:val="22"/>
          <w:szCs w:val="22"/>
        </w:rPr>
      </w:pPr>
      <w:r w:rsidRPr="009C7822">
        <w:rPr>
          <w:sz w:val="22"/>
          <w:szCs w:val="22"/>
        </w:rPr>
        <w:lastRenderedPageBreak/>
        <w:t xml:space="preserve">Additionally it is time consuming and requires a lot psychologically from both the interviewer and the witness, so in turn again is subjective to the incident as some investigations rely on sources of information to rapidly progress an investigation. </w:t>
      </w:r>
    </w:p>
    <w:p w14:paraId="090A2611" w14:textId="77777777" w:rsidR="009C7822" w:rsidRPr="009C7822" w:rsidRDefault="009C7822" w:rsidP="009C7822">
      <w:pPr>
        <w:pStyle w:val="Default"/>
        <w:jc w:val="both"/>
        <w:rPr>
          <w:sz w:val="22"/>
          <w:szCs w:val="22"/>
        </w:rPr>
      </w:pPr>
    </w:p>
    <w:p w14:paraId="54754984" w14:textId="6563190A" w:rsidR="00490789" w:rsidRPr="009C7822" w:rsidRDefault="009C7822" w:rsidP="009C7822">
      <w:pPr>
        <w:jc w:val="both"/>
        <w:rPr>
          <w:rFonts w:ascii="Arial" w:hAnsi="Arial" w:cs="Arial"/>
        </w:rPr>
      </w:pPr>
      <w:r w:rsidRPr="009C7822">
        <w:rPr>
          <w:rFonts w:ascii="Arial" w:hAnsi="Arial" w:cs="Arial"/>
        </w:rPr>
        <w:t>In conclusion, the cognitive interview is an extremely successful and useful method for retracting information from memory, however it may not be the most useful method when applied to obtaining initial accounts from witnesses.</w:t>
      </w:r>
    </w:p>
    <w:p w14:paraId="2A3276F4" w14:textId="77777777" w:rsidR="009C7822" w:rsidRDefault="009C7822" w:rsidP="00490789">
      <w:pPr>
        <w:jc w:val="both"/>
        <w:rPr>
          <w:rFonts w:ascii="Arial" w:hAnsi="Arial" w:cs="Arial"/>
        </w:rPr>
      </w:pPr>
    </w:p>
    <w:p w14:paraId="3B04D0F7" w14:textId="77777777" w:rsidR="009C7822" w:rsidRDefault="009C7822" w:rsidP="00490789">
      <w:pPr>
        <w:jc w:val="both"/>
        <w:rPr>
          <w:rFonts w:ascii="Arial" w:hAnsi="Arial" w:cs="Arial"/>
        </w:rPr>
      </w:pPr>
    </w:p>
    <w:p w14:paraId="5DE475EA" w14:textId="4C5FD83E" w:rsidR="00490789" w:rsidRPr="00490789" w:rsidRDefault="00490789" w:rsidP="00490789">
      <w:pPr>
        <w:jc w:val="both"/>
        <w:rPr>
          <w:rFonts w:ascii="Arial" w:hAnsi="Arial" w:cs="Arial"/>
          <w:b/>
          <w:bCs/>
          <w:u w:val="single"/>
        </w:rPr>
      </w:pPr>
      <w:r w:rsidRPr="00490789">
        <w:rPr>
          <w:rFonts w:ascii="Arial" w:hAnsi="Arial" w:cs="Arial"/>
          <w:b/>
          <w:bCs/>
          <w:u w:val="single"/>
        </w:rPr>
        <w:t>Essay Four</w:t>
      </w:r>
      <w:r w:rsidR="009C7822">
        <w:rPr>
          <w:rFonts w:ascii="Arial" w:hAnsi="Arial" w:cs="Arial"/>
          <w:b/>
          <w:bCs/>
          <w:u w:val="single"/>
        </w:rPr>
        <w:t xml:space="preserve"> **INCOMPLETE**</w:t>
      </w:r>
    </w:p>
    <w:p w14:paraId="556C7898" w14:textId="77777777" w:rsidR="00490789" w:rsidRPr="00EA1C72" w:rsidRDefault="00490789" w:rsidP="00490789">
      <w:pPr>
        <w:pStyle w:val="Default"/>
        <w:jc w:val="both"/>
        <w:rPr>
          <w:b/>
          <w:bCs/>
          <w:sz w:val="22"/>
          <w:szCs w:val="22"/>
        </w:rPr>
      </w:pPr>
      <w:r w:rsidRPr="00EA1C72">
        <w:rPr>
          <w:b/>
          <w:bCs/>
          <w:sz w:val="22"/>
          <w:szCs w:val="22"/>
        </w:rPr>
        <w:t xml:space="preserve">Examine the positive and negative aspects of media attention when dealing with public protection incidents. </w:t>
      </w:r>
    </w:p>
    <w:p w14:paraId="716166D8" w14:textId="32922D9D" w:rsidR="00490789" w:rsidRDefault="00490789" w:rsidP="00490789">
      <w:pPr>
        <w:jc w:val="both"/>
      </w:pPr>
      <w:r>
        <w:t xml:space="preserve"> </w:t>
      </w:r>
    </w:p>
    <w:p w14:paraId="0CB58550" w14:textId="77777777" w:rsidR="00490789" w:rsidRDefault="00490789" w:rsidP="00490789">
      <w:pPr>
        <w:jc w:val="both"/>
      </w:pPr>
    </w:p>
    <w:p w14:paraId="594E3601" w14:textId="07D5A72B" w:rsidR="00490789" w:rsidRDefault="00490789" w:rsidP="00490789">
      <w:pPr>
        <w:jc w:val="both"/>
        <w:rPr>
          <w:rFonts w:ascii="Arial" w:hAnsi="Arial" w:cs="Arial"/>
          <w:b/>
          <w:bCs/>
          <w:u w:val="single"/>
        </w:rPr>
      </w:pPr>
      <w:r w:rsidRPr="00490789">
        <w:rPr>
          <w:rFonts w:ascii="Arial" w:hAnsi="Arial" w:cs="Arial"/>
          <w:b/>
          <w:bCs/>
          <w:u w:val="single"/>
        </w:rPr>
        <w:t>Essay Five</w:t>
      </w:r>
    </w:p>
    <w:p w14:paraId="439E93BC" w14:textId="77777777" w:rsidR="00490789" w:rsidRPr="00EA1C72" w:rsidRDefault="00490789" w:rsidP="00490789">
      <w:pPr>
        <w:pStyle w:val="Default"/>
        <w:jc w:val="both"/>
        <w:rPr>
          <w:b/>
          <w:bCs/>
          <w:sz w:val="22"/>
          <w:szCs w:val="22"/>
        </w:rPr>
      </w:pPr>
      <w:r w:rsidRPr="00EA1C72">
        <w:rPr>
          <w:b/>
          <w:bCs/>
          <w:sz w:val="22"/>
          <w:szCs w:val="22"/>
        </w:rPr>
        <w:t xml:space="preserve">“Despite some progress, the system of juvenile justice in the United Kingdom remains excessively punitive. The state's response to juvenile crime should focus more on rehabilitation” (Hammarberg, 2012). Examine the effectiveness of rehabilitation and/or restorative justice as a means of reducing re-offending among young offenders. </w:t>
      </w:r>
    </w:p>
    <w:p w14:paraId="58FBD0B9" w14:textId="77777777" w:rsidR="000E72D2" w:rsidRDefault="000E72D2" w:rsidP="000E72D2">
      <w:pPr>
        <w:pStyle w:val="Default"/>
        <w:jc w:val="both"/>
        <w:rPr>
          <w:sz w:val="22"/>
          <w:szCs w:val="22"/>
        </w:rPr>
      </w:pPr>
    </w:p>
    <w:p w14:paraId="4F832F42" w14:textId="77777777" w:rsidR="000E72D2" w:rsidRDefault="000E72D2" w:rsidP="000E72D2">
      <w:pPr>
        <w:pStyle w:val="Default"/>
        <w:jc w:val="both"/>
        <w:rPr>
          <w:sz w:val="22"/>
          <w:szCs w:val="22"/>
        </w:rPr>
      </w:pPr>
    </w:p>
    <w:p w14:paraId="76B8DFF3" w14:textId="77777777" w:rsidR="000E72D2" w:rsidRPr="000E72D2" w:rsidRDefault="000E72D2" w:rsidP="000E72D2">
      <w:pPr>
        <w:pStyle w:val="Default"/>
        <w:jc w:val="both"/>
        <w:rPr>
          <w:sz w:val="22"/>
          <w:szCs w:val="22"/>
          <w:u w:val="single"/>
        </w:rPr>
      </w:pPr>
      <w:r w:rsidRPr="000E72D2">
        <w:rPr>
          <w:sz w:val="22"/>
          <w:szCs w:val="22"/>
          <w:u w:val="single"/>
        </w:rPr>
        <w:t xml:space="preserve">Introduction </w:t>
      </w:r>
    </w:p>
    <w:p w14:paraId="2D74597A" w14:textId="77777777" w:rsidR="000E72D2" w:rsidRPr="000E72D2" w:rsidRDefault="000E72D2" w:rsidP="000E72D2">
      <w:pPr>
        <w:pStyle w:val="Default"/>
        <w:jc w:val="both"/>
        <w:rPr>
          <w:sz w:val="22"/>
          <w:szCs w:val="22"/>
        </w:rPr>
      </w:pPr>
    </w:p>
    <w:p w14:paraId="63995BE2" w14:textId="77777777" w:rsidR="000E72D2" w:rsidRPr="000E72D2" w:rsidRDefault="000E72D2" w:rsidP="000E72D2">
      <w:pPr>
        <w:pStyle w:val="Default"/>
        <w:jc w:val="both"/>
        <w:rPr>
          <w:sz w:val="22"/>
          <w:szCs w:val="22"/>
        </w:rPr>
      </w:pPr>
      <w:r w:rsidRPr="000E72D2">
        <w:rPr>
          <w:sz w:val="22"/>
          <w:szCs w:val="22"/>
        </w:rPr>
        <w:t xml:space="preserve">This essay is a discussion on the reoffending rates among young offenders in the United Kingdom, and the effectiveness of rehabilitation and restorative justice as a means of reduction. The essay will also be structured using The Borton Model (2021). </w:t>
      </w:r>
    </w:p>
    <w:p w14:paraId="0D66E0A5" w14:textId="77777777" w:rsidR="000E72D2" w:rsidRPr="000E72D2" w:rsidRDefault="000E72D2" w:rsidP="000E72D2">
      <w:pPr>
        <w:pStyle w:val="Default"/>
        <w:jc w:val="both"/>
        <w:rPr>
          <w:sz w:val="22"/>
          <w:szCs w:val="22"/>
        </w:rPr>
      </w:pPr>
    </w:p>
    <w:p w14:paraId="3EC4D0DD" w14:textId="77777777" w:rsidR="000E72D2" w:rsidRPr="000E72D2" w:rsidRDefault="000E72D2" w:rsidP="000E72D2">
      <w:pPr>
        <w:pStyle w:val="Default"/>
        <w:jc w:val="both"/>
        <w:rPr>
          <w:sz w:val="22"/>
          <w:szCs w:val="22"/>
        </w:rPr>
      </w:pPr>
      <w:r w:rsidRPr="000E72D2">
        <w:rPr>
          <w:sz w:val="22"/>
          <w:szCs w:val="22"/>
        </w:rPr>
        <w:t xml:space="preserve">Offending rates among young people has previously been an increasing problem within England and Wales. Research has found that in recent years however, the number of reoffending juveniles has actually been decreasing. Statistics for March 2021 show that the number of juvenile offenders reported had actually decreased by 3 percent compared to the previous year (MoJ, 2023). </w:t>
      </w:r>
    </w:p>
    <w:p w14:paraId="1F8D8D99" w14:textId="77777777" w:rsidR="000E72D2" w:rsidRPr="000E72D2" w:rsidRDefault="000E72D2" w:rsidP="000E72D2">
      <w:pPr>
        <w:pStyle w:val="Default"/>
        <w:jc w:val="both"/>
        <w:rPr>
          <w:sz w:val="22"/>
          <w:szCs w:val="22"/>
        </w:rPr>
      </w:pPr>
    </w:p>
    <w:p w14:paraId="147DDBDC" w14:textId="77777777" w:rsidR="000E72D2" w:rsidRPr="000E72D2" w:rsidRDefault="000E72D2" w:rsidP="000E72D2">
      <w:pPr>
        <w:pStyle w:val="Default"/>
        <w:jc w:val="both"/>
        <w:rPr>
          <w:sz w:val="22"/>
          <w:szCs w:val="22"/>
        </w:rPr>
      </w:pPr>
      <w:r w:rsidRPr="000E72D2">
        <w:rPr>
          <w:sz w:val="22"/>
          <w:szCs w:val="22"/>
        </w:rPr>
        <w:t xml:space="preserve">However, despite the decrease in the overall record of juvenile offenders, they still remain the highest reoffenders, compared to adults. The Youth Justice Board (2021) published in their annual report that the reoffending rate for children was 34.2% compared to adults over the age of twenty-one, of whom the reoffending rate was 25.2%. </w:t>
      </w:r>
    </w:p>
    <w:p w14:paraId="3B684005" w14:textId="77777777" w:rsidR="000E72D2" w:rsidRPr="000E72D2" w:rsidRDefault="000E72D2" w:rsidP="000E72D2">
      <w:pPr>
        <w:pStyle w:val="Default"/>
        <w:jc w:val="both"/>
        <w:rPr>
          <w:sz w:val="22"/>
          <w:szCs w:val="22"/>
        </w:rPr>
      </w:pPr>
    </w:p>
    <w:p w14:paraId="296CC307" w14:textId="77777777" w:rsidR="000E72D2" w:rsidRPr="000E72D2" w:rsidRDefault="000E72D2" w:rsidP="000E72D2">
      <w:pPr>
        <w:pStyle w:val="Default"/>
        <w:jc w:val="both"/>
        <w:rPr>
          <w:sz w:val="22"/>
          <w:szCs w:val="22"/>
        </w:rPr>
      </w:pPr>
      <w:r w:rsidRPr="000E72D2">
        <w:rPr>
          <w:sz w:val="22"/>
          <w:szCs w:val="22"/>
        </w:rPr>
        <w:t xml:space="preserve">The Youth Justice Board (2024) stated for the year ending in March 2023, sentencing for children in court had increased by eight percent, for the first time in ten years. </w:t>
      </w:r>
    </w:p>
    <w:p w14:paraId="4C82BAC2" w14:textId="77777777" w:rsidR="000E72D2" w:rsidRPr="000E72D2" w:rsidRDefault="000E72D2" w:rsidP="000E72D2">
      <w:pPr>
        <w:pStyle w:val="Default"/>
        <w:jc w:val="both"/>
        <w:rPr>
          <w:sz w:val="22"/>
          <w:szCs w:val="22"/>
        </w:rPr>
      </w:pPr>
    </w:p>
    <w:p w14:paraId="10CA1EA6" w14:textId="77777777" w:rsidR="000E72D2" w:rsidRPr="000E72D2" w:rsidRDefault="000E72D2" w:rsidP="000E72D2">
      <w:pPr>
        <w:pStyle w:val="Default"/>
        <w:jc w:val="both"/>
        <w:rPr>
          <w:sz w:val="22"/>
          <w:szCs w:val="22"/>
          <w:u w:val="single"/>
        </w:rPr>
      </w:pPr>
      <w:r w:rsidRPr="000E72D2">
        <w:rPr>
          <w:sz w:val="22"/>
          <w:szCs w:val="22"/>
          <w:u w:val="single"/>
        </w:rPr>
        <w:t xml:space="preserve">What? </w:t>
      </w:r>
    </w:p>
    <w:p w14:paraId="3506876B" w14:textId="77777777" w:rsidR="000E72D2" w:rsidRPr="000E72D2" w:rsidRDefault="000E72D2" w:rsidP="000E72D2">
      <w:pPr>
        <w:pStyle w:val="Default"/>
        <w:jc w:val="both"/>
        <w:rPr>
          <w:sz w:val="22"/>
          <w:szCs w:val="22"/>
          <w:u w:val="single"/>
        </w:rPr>
      </w:pPr>
    </w:p>
    <w:p w14:paraId="5685E7CA" w14:textId="77777777" w:rsidR="000E72D2" w:rsidRPr="000E72D2" w:rsidRDefault="000E72D2" w:rsidP="000E72D2">
      <w:pPr>
        <w:pStyle w:val="Default"/>
        <w:jc w:val="both"/>
        <w:rPr>
          <w:sz w:val="22"/>
          <w:szCs w:val="22"/>
        </w:rPr>
      </w:pPr>
      <w:r w:rsidRPr="000E72D2">
        <w:rPr>
          <w:sz w:val="22"/>
          <w:szCs w:val="22"/>
        </w:rPr>
        <w:t xml:space="preserve">The reasoning behind Juvenile crime has long been studied and theorised. One of the most world-wide recognised reason is the Adverse Childhood Experience. </w:t>
      </w:r>
    </w:p>
    <w:p w14:paraId="6A1A1B01" w14:textId="77777777" w:rsidR="000E72D2" w:rsidRPr="000E72D2" w:rsidRDefault="000E72D2" w:rsidP="000E72D2">
      <w:pPr>
        <w:pStyle w:val="Default"/>
        <w:jc w:val="both"/>
        <w:rPr>
          <w:sz w:val="22"/>
          <w:szCs w:val="22"/>
        </w:rPr>
      </w:pPr>
    </w:p>
    <w:p w14:paraId="068AE16A" w14:textId="77777777" w:rsidR="000E72D2" w:rsidRPr="000E72D2" w:rsidRDefault="000E72D2" w:rsidP="000E72D2">
      <w:pPr>
        <w:pStyle w:val="Default"/>
        <w:jc w:val="both"/>
        <w:rPr>
          <w:sz w:val="22"/>
          <w:szCs w:val="22"/>
        </w:rPr>
      </w:pPr>
      <w:r w:rsidRPr="000E72D2">
        <w:rPr>
          <w:sz w:val="22"/>
          <w:szCs w:val="22"/>
        </w:rPr>
        <w:t xml:space="preserve">ACEs are understood as traumatic events experienced by a child that have a detrimental impact on their later life. These experiences have been categorised into ten events which </w:t>
      </w:r>
      <w:r w:rsidRPr="000E72D2">
        <w:rPr>
          <w:sz w:val="22"/>
          <w:szCs w:val="22"/>
        </w:rPr>
        <w:lastRenderedPageBreak/>
        <w:t xml:space="preserve">include but are not limited to; physical and sexual abuse, neglect, witnessing domestic abuse or having a parent with mental health and/or drug misuse problems (Asmussen et al, 2020). </w:t>
      </w:r>
    </w:p>
    <w:p w14:paraId="18F65024" w14:textId="77777777" w:rsidR="000E72D2" w:rsidRPr="000E72D2" w:rsidRDefault="000E72D2" w:rsidP="000E72D2">
      <w:pPr>
        <w:pStyle w:val="Default"/>
        <w:jc w:val="both"/>
        <w:rPr>
          <w:sz w:val="22"/>
          <w:szCs w:val="22"/>
        </w:rPr>
      </w:pPr>
    </w:p>
    <w:p w14:paraId="3C6D2422" w14:textId="77777777" w:rsidR="000E72D2" w:rsidRPr="000E72D2" w:rsidRDefault="000E72D2" w:rsidP="000E72D2">
      <w:pPr>
        <w:pStyle w:val="Default"/>
        <w:jc w:val="both"/>
        <w:rPr>
          <w:sz w:val="22"/>
          <w:szCs w:val="22"/>
        </w:rPr>
      </w:pPr>
      <w:r w:rsidRPr="000E72D2">
        <w:rPr>
          <w:sz w:val="22"/>
          <w:szCs w:val="22"/>
        </w:rPr>
        <w:t xml:space="preserve">Research has found a consistency between justice involved children, and those characterised by ACEs (Gray et al, 2021). In Gray et al’s 2010 report, it was found that of the 200 children assessed in the report having committed serious youth violence, two thirds had experienced one or more ACEs. </w:t>
      </w:r>
    </w:p>
    <w:p w14:paraId="421008E3" w14:textId="77777777" w:rsidR="000E72D2" w:rsidRPr="000E72D2" w:rsidRDefault="000E72D2" w:rsidP="000E72D2">
      <w:pPr>
        <w:pStyle w:val="Default"/>
        <w:jc w:val="both"/>
        <w:rPr>
          <w:sz w:val="22"/>
          <w:szCs w:val="22"/>
        </w:rPr>
      </w:pPr>
    </w:p>
    <w:p w14:paraId="7C31D2D0" w14:textId="77777777" w:rsidR="000E72D2" w:rsidRPr="000E72D2" w:rsidRDefault="000E72D2" w:rsidP="000E72D2">
      <w:pPr>
        <w:pStyle w:val="Default"/>
        <w:jc w:val="both"/>
        <w:rPr>
          <w:sz w:val="22"/>
          <w:szCs w:val="22"/>
        </w:rPr>
      </w:pPr>
      <w:r w:rsidRPr="000E72D2">
        <w:rPr>
          <w:sz w:val="22"/>
          <w:szCs w:val="22"/>
        </w:rPr>
        <w:t xml:space="preserve">Additionally to this, Sadiq Khan in an analysis in 2021 suggested the pandemic played a crucial role in the increase of young people participating in crime (London Assembly, 2021). </w:t>
      </w:r>
    </w:p>
    <w:p w14:paraId="1E717A6A" w14:textId="77777777" w:rsidR="000E72D2" w:rsidRPr="000E72D2" w:rsidRDefault="000E72D2" w:rsidP="000E72D2">
      <w:pPr>
        <w:pStyle w:val="Default"/>
        <w:jc w:val="both"/>
        <w:rPr>
          <w:sz w:val="22"/>
          <w:szCs w:val="22"/>
        </w:rPr>
      </w:pPr>
    </w:p>
    <w:p w14:paraId="0271E9F0" w14:textId="77777777" w:rsidR="000E72D2" w:rsidRPr="000E72D2" w:rsidRDefault="000E72D2" w:rsidP="000E72D2">
      <w:pPr>
        <w:pStyle w:val="Default"/>
        <w:jc w:val="both"/>
        <w:rPr>
          <w:sz w:val="22"/>
          <w:szCs w:val="22"/>
        </w:rPr>
      </w:pPr>
      <w:r w:rsidRPr="000E72D2">
        <w:rPr>
          <w:sz w:val="22"/>
          <w:szCs w:val="22"/>
        </w:rPr>
        <w:t xml:space="preserve">Currently, there is an independent body in place for supporting children involved within the criminal justice system. This is the Youth Offending Service. This service help in a number of ways by; running crime prevention programmes, supporting young people and their families at the arrest and court process. They also work in partnership with the police and probation service if a young offender has received a custodial sentence (Gov.uk, 2024). The aim of the YOS, is to prevent anti-social behaviour and reoffending of young people aged between ten and seventeen. </w:t>
      </w:r>
    </w:p>
    <w:p w14:paraId="39F06639" w14:textId="77777777" w:rsidR="000E72D2" w:rsidRPr="000E72D2" w:rsidRDefault="000E72D2" w:rsidP="000E72D2">
      <w:pPr>
        <w:pStyle w:val="Default"/>
        <w:jc w:val="both"/>
        <w:rPr>
          <w:sz w:val="22"/>
          <w:szCs w:val="22"/>
        </w:rPr>
      </w:pPr>
    </w:p>
    <w:p w14:paraId="67283CDB" w14:textId="77777777" w:rsidR="000E72D2" w:rsidRPr="000E72D2" w:rsidRDefault="000E72D2" w:rsidP="000E72D2">
      <w:pPr>
        <w:pStyle w:val="Default"/>
        <w:jc w:val="both"/>
        <w:rPr>
          <w:sz w:val="22"/>
          <w:szCs w:val="22"/>
        </w:rPr>
      </w:pPr>
      <w:r w:rsidRPr="000E72D2">
        <w:rPr>
          <w:sz w:val="22"/>
          <w:szCs w:val="22"/>
          <w:u w:val="single"/>
        </w:rPr>
        <w:t xml:space="preserve">So what? </w:t>
      </w:r>
    </w:p>
    <w:p w14:paraId="0DB37EE5" w14:textId="77777777" w:rsidR="000E72D2" w:rsidRPr="000E72D2" w:rsidRDefault="000E72D2" w:rsidP="000E72D2">
      <w:pPr>
        <w:pStyle w:val="Default"/>
        <w:jc w:val="both"/>
        <w:rPr>
          <w:sz w:val="22"/>
          <w:szCs w:val="22"/>
          <w:u w:val="single"/>
        </w:rPr>
      </w:pPr>
    </w:p>
    <w:p w14:paraId="3A17DFCC" w14:textId="77777777" w:rsidR="000E72D2" w:rsidRPr="000E72D2" w:rsidRDefault="000E72D2" w:rsidP="000E72D2">
      <w:pPr>
        <w:pStyle w:val="Default"/>
        <w:jc w:val="both"/>
        <w:rPr>
          <w:sz w:val="22"/>
          <w:szCs w:val="22"/>
        </w:rPr>
      </w:pPr>
      <w:r w:rsidRPr="000E72D2">
        <w:rPr>
          <w:sz w:val="22"/>
          <w:szCs w:val="22"/>
        </w:rPr>
        <w:t xml:space="preserve">The way in which the local Youth Offending Teams carry out these aims of reduction, is through the use of restorative justice and rehabilitation. Restorative justice is the process in which both the victim and offender collectively resolve the outcome of an incident. This can be done face to face or through a third party (CPS, 2023). </w:t>
      </w:r>
    </w:p>
    <w:p w14:paraId="40F16F53" w14:textId="77777777" w:rsidR="000E72D2" w:rsidRPr="000E72D2" w:rsidRDefault="000E72D2" w:rsidP="000E72D2">
      <w:pPr>
        <w:pStyle w:val="Default"/>
        <w:jc w:val="both"/>
        <w:rPr>
          <w:sz w:val="22"/>
          <w:szCs w:val="22"/>
        </w:rPr>
      </w:pPr>
    </w:p>
    <w:p w14:paraId="0948914E" w14:textId="77777777" w:rsidR="000E72D2" w:rsidRPr="000E72D2" w:rsidRDefault="000E72D2" w:rsidP="000E72D2">
      <w:pPr>
        <w:pStyle w:val="Default"/>
        <w:jc w:val="both"/>
        <w:rPr>
          <w:sz w:val="22"/>
          <w:szCs w:val="22"/>
        </w:rPr>
      </w:pPr>
      <w:r w:rsidRPr="000E72D2">
        <w:rPr>
          <w:sz w:val="22"/>
          <w:szCs w:val="22"/>
        </w:rPr>
        <w:t xml:space="preserve">Research has found that restorative justice has an overall positive effective outcome for both offenders and victims. In 2015, it was found that 75% of victims who participated in the restorative justice process were overall satisfied and would recommend the process to other people (RJC, 2015). In addition, face to face meetings with the victim reduced the rate of reoffending by 14%. </w:t>
      </w:r>
    </w:p>
    <w:p w14:paraId="3FFB221F" w14:textId="77777777" w:rsidR="000E72D2" w:rsidRPr="000E72D2" w:rsidRDefault="000E72D2" w:rsidP="000E72D2">
      <w:pPr>
        <w:pStyle w:val="Default"/>
        <w:jc w:val="both"/>
        <w:rPr>
          <w:sz w:val="22"/>
          <w:szCs w:val="22"/>
        </w:rPr>
      </w:pPr>
    </w:p>
    <w:p w14:paraId="2058CF5D" w14:textId="77777777" w:rsidR="000E72D2" w:rsidRPr="000E72D2" w:rsidRDefault="000E72D2" w:rsidP="000E72D2">
      <w:pPr>
        <w:pStyle w:val="Default"/>
        <w:jc w:val="both"/>
        <w:rPr>
          <w:sz w:val="22"/>
          <w:szCs w:val="22"/>
        </w:rPr>
      </w:pPr>
      <w:r w:rsidRPr="000E72D2">
        <w:rPr>
          <w:sz w:val="22"/>
          <w:szCs w:val="22"/>
        </w:rPr>
        <w:t>In addition to this is the use of rehabilitation. Youth Rehabilitation Orders are court issued orders designed to punish, protect the public and reduce reoffending. Orders can be issued in the form of; unpaid work, curfews, attendance to specific programmes relating to the offence committed and/or mental health and drug and alcohol treatment (MoJ, 2021).</w:t>
      </w:r>
    </w:p>
    <w:p w14:paraId="0A17DCEF" w14:textId="77777777" w:rsidR="000E72D2" w:rsidRPr="000E72D2" w:rsidRDefault="000E72D2" w:rsidP="000E72D2">
      <w:pPr>
        <w:pStyle w:val="Default"/>
        <w:jc w:val="both"/>
        <w:rPr>
          <w:sz w:val="22"/>
          <w:szCs w:val="22"/>
        </w:rPr>
      </w:pPr>
    </w:p>
    <w:p w14:paraId="50836E80" w14:textId="77777777" w:rsidR="000E72D2" w:rsidRPr="000E72D2" w:rsidRDefault="000E72D2" w:rsidP="000E72D2">
      <w:pPr>
        <w:pStyle w:val="Default"/>
        <w:jc w:val="both"/>
        <w:rPr>
          <w:sz w:val="22"/>
          <w:szCs w:val="22"/>
        </w:rPr>
      </w:pPr>
      <w:r w:rsidRPr="000E72D2">
        <w:rPr>
          <w:sz w:val="22"/>
          <w:szCs w:val="22"/>
        </w:rPr>
        <w:t>In a study conducted on the effectiveness of young offenders’ participation in the above named programmes, it was found that within the control group, those who received the programme were less likely to reoffend later on by 33% (CoP, 2017).</w:t>
      </w:r>
    </w:p>
    <w:p w14:paraId="5D330EBF" w14:textId="77777777" w:rsidR="000E72D2" w:rsidRPr="000E72D2" w:rsidRDefault="000E72D2" w:rsidP="000E72D2">
      <w:pPr>
        <w:pStyle w:val="Default"/>
        <w:jc w:val="both"/>
        <w:rPr>
          <w:sz w:val="22"/>
          <w:szCs w:val="22"/>
        </w:rPr>
      </w:pPr>
    </w:p>
    <w:p w14:paraId="0AC9A4F5" w14:textId="77777777" w:rsidR="000E72D2" w:rsidRPr="000E72D2" w:rsidRDefault="000E72D2" w:rsidP="000E72D2">
      <w:pPr>
        <w:pStyle w:val="Default"/>
        <w:jc w:val="both"/>
        <w:rPr>
          <w:sz w:val="22"/>
          <w:szCs w:val="22"/>
        </w:rPr>
      </w:pPr>
      <w:r w:rsidRPr="000E72D2">
        <w:rPr>
          <w:sz w:val="22"/>
          <w:szCs w:val="22"/>
        </w:rPr>
        <w:t>However, there may be some limitations to the use of this process. Manica (2022) found that whilst face to face meetings with the victim’s families appeared to have more of a positive effect towards reoffending rates in young offenders compared to meetings with just the victim and offender, this effect in turn vanished over time.</w:t>
      </w:r>
    </w:p>
    <w:p w14:paraId="74CA103C" w14:textId="77777777" w:rsidR="000E72D2" w:rsidRPr="000E72D2" w:rsidRDefault="000E72D2" w:rsidP="000E72D2">
      <w:pPr>
        <w:pStyle w:val="Default"/>
        <w:jc w:val="both"/>
        <w:rPr>
          <w:sz w:val="22"/>
          <w:szCs w:val="22"/>
        </w:rPr>
      </w:pPr>
    </w:p>
    <w:p w14:paraId="0543329D" w14:textId="77777777" w:rsidR="000E72D2" w:rsidRPr="000E72D2" w:rsidRDefault="000E72D2" w:rsidP="000E72D2">
      <w:pPr>
        <w:pStyle w:val="Default"/>
        <w:jc w:val="both"/>
        <w:rPr>
          <w:sz w:val="22"/>
          <w:szCs w:val="22"/>
          <w:u w:val="single"/>
        </w:rPr>
      </w:pPr>
      <w:r w:rsidRPr="000E72D2">
        <w:rPr>
          <w:sz w:val="22"/>
          <w:szCs w:val="22"/>
          <w:u w:val="single"/>
        </w:rPr>
        <w:t xml:space="preserve">Now what? </w:t>
      </w:r>
    </w:p>
    <w:p w14:paraId="7DF96BED" w14:textId="77777777" w:rsidR="000E72D2" w:rsidRPr="000E72D2" w:rsidRDefault="000E72D2" w:rsidP="000E72D2">
      <w:pPr>
        <w:pStyle w:val="Default"/>
        <w:jc w:val="both"/>
        <w:rPr>
          <w:sz w:val="22"/>
          <w:szCs w:val="22"/>
          <w:u w:val="single"/>
        </w:rPr>
      </w:pPr>
    </w:p>
    <w:p w14:paraId="64AE5A75" w14:textId="77777777" w:rsidR="000E72D2" w:rsidRPr="000E72D2" w:rsidRDefault="000E72D2" w:rsidP="000E72D2">
      <w:pPr>
        <w:jc w:val="both"/>
        <w:rPr>
          <w:rFonts w:ascii="Arial" w:hAnsi="Arial" w:cs="Arial"/>
        </w:rPr>
      </w:pPr>
      <w:r w:rsidRPr="000E72D2">
        <w:rPr>
          <w:rFonts w:ascii="Arial" w:hAnsi="Arial" w:cs="Arial"/>
        </w:rPr>
        <w:t xml:space="preserve">Since the identification of factors that contribute towards youth offending, there has been ample research and support developed in order to reduce the likelihood of reoffending. Youth Offending Teams do a lot to support offenders throughout the criminal justice system, as well as support victims of crime, by ensuring they are satisfied with the outcome of an offence. </w:t>
      </w:r>
    </w:p>
    <w:p w14:paraId="0FD121FC" w14:textId="77777777" w:rsidR="000E72D2" w:rsidRPr="000E72D2" w:rsidRDefault="000E72D2" w:rsidP="000E72D2">
      <w:pPr>
        <w:jc w:val="both"/>
        <w:rPr>
          <w:rFonts w:ascii="Arial" w:hAnsi="Arial" w:cs="Arial"/>
        </w:rPr>
      </w:pPr>
      <w:r w:rsidRPr="000E72D2">
        <w:rPr>
          <w:rFonts w:ascii="Arial" w:hAnsi="Arial" w:cs="Arial"/>
        </w:rPr>
        <w:t xml:space="preserve">There is sufficient evidence to suggest that the uses of restorative justice and rehabilitation methods do have a positive impact on the current reoffending rate within England and Wales. </w:t>
      </w:r>
    </w:p>
    <w:p w14:paraId="1ACB137D" w14:textId="65116E1A" w:rsidR="000E72D2" w:rsidRPr="000E72D2" w:rsidRDefault="000E72D2" w:rsidP="000E72D2">
      <w:pPr>
        <w:pStyle w:val="Default"/>
        <w:jc w:val="both"/>
        <w:rPr>
          <w:sz w:val="22"/>
          <w:szCs w:val="22"/>
        </w:rPr>
      </w:pPr>
      <w:r w:rsidRPr="000E72D2">
        <w:rPr>
          <w:sz w:val="22"/>
          <w:szCs w:val="22"/>
        </w:rPr>
        <w:lastRenderedPageBreak/>
        <w:t>However there is also evidence to suggest the impact is short lived. Whilst having physical contact with the victim’s families may have a significant impact on the offender at the time, it may not be that impactful as to have a long lasting effect on the offender when they commit a further crime involving a new victim. Additionally, there is still a high and steadily increasing rate of reoffending in young people within England and Wales, suggesting improvements need to be made on the use of rehabilitation as a form of effective recidivism.</w:t>
      </w:r>
    </w:p>
    <w:p w14:paraId="44F3654A" w14:textId="77777777" w:rsidR="000E72D2" w:rsidRDefault="000E72D2" w:rsidP="00490789">
      <w:pPr>
        <w:pStyle w:val="Default"/>
        <w:jc w:val="both"/>
        <w:rPr>
          <w:sz w:val="22"/>
          <w:szCs w:val="22"/>
        </w:rPr>
      </w:pPr>
    </w:p>
    <w:p w14:paraId="31177D04" w14:textId="77777777" w:rsidR="000E72D2" w:rsidRDefault="000E72D2" w:rsidP="00490789">
      <w:pPr>
        <w:pStyle w:val="Default"/>
        <w:jc w:val="both"/>
        <w:rPr>
          <w:sz w:val="22"/>
          <w:szCs w:val="22"/>
        </w:rPr>
      </w:pPr>
    </w:p>
    <w:p w14:paraId="13933D40" w14:textId="77777777" w:rsidR="000E72D2" w:rsidRDefault="000E72D2" w:rsidP="00490789">
      <w:pPr>
        <w:pStyle w:val="Default"/>
        <w:jc w:val="both"/>
        <w:rPr>
          <w:sz w:val="22"/>
          <w:szCs w:val="22"/>
        </w:rPr>
      </w:pPr>
    </w:p>
    <w:p w14:paraId="04015AD5" w14:textId="06F84B18" w:rsidR="00FF7F50" w:rsidRPr="00FF7F50" w:rsidRDefault="00FF7F50" w:rsidP="00490789">
      <w:pPr>
        <w:jc w:val="both"/>
        <w:rPr>
          <w:rFonts w:ascii="Arial" w:hAnsi="Arial" w:cs="Arial"/>
          <w:b/>
          <w:bCs/>
          <w:u w:val="single"/>
        </w:rPr>
      </w:pPr>
      <w:r w:rsidRPr="00FF7F50">
        <w:rPr>
          <w:rFonts w:ascii="Arial" w:hAnsi="Arial" w:cs="Arial"/>
          <w:b/>
          <w:bCs/>
          <w:u w:val="single"/>
        </w:rPr>
        <w:t>Bibliography</w:t>
      </w:r>
    </w:p>
    <w:p w14:paraId="1353ECB8" w14:textId="77777777" w:rsidR="00EA1C72" w:rsidRPr="00DF304F" w:rsidRDefault="00EA1C72" w:rsidP="00EA1C72">
      <w:pPr>
        <w:jc w:val="both"/>
        <w:rPr>
          <w:rFonts w:ascii="Arial" w:hAnsi="Arial" w:cs="Arial"/>
          <w:color w:val="3A3A3A"/>
          <w:shd w:val="clear" w:color="auto" w:fill="FFFFFF"/>
        </w:rPr>
      </w:pPr>
      <w:r w:rsidRPr="00DF304F">
        <w:rPr>
          <w:rFonts w:ascii="Arial" w:hAnsi="Arial" w:cs="Arial"/>
          <w:color w:val="3A3A3A"/>
          <w:shd w:val="clear" w:color="auto" w:fill="FFFFFF"/>
        </w:rPr>
        <w:t xml:space="preserve">Asmussen, K., Fischer, F., Drayton, E., McBride, T. (2020) ‘Adverse childhood experiences: What we know, what we don’t know, and what should happen next’ Available at: </w:t>
      </w:r>
      <w:hyperlink r:id="rId4" w:history="1">
        <w:r w:rsidRPr="00DF304F">
          <w:rPr>
            <w:rStyle w:val="Hyperlink"/>
            <w:rFonts w:ascii="Arial" w:hAnsi="Arial" w:cs="Arial"/>
            <w:shd w:val="clear" w:color="auto" w:fill="FFFFFF"/>
          </w:rPr>
          <w:t>https://www.eif.org.uk/report/adverse-childhood-experiences-what-we-know-what-we-dont-know-and-what-should-happen-next</w:t>
        </w:r>
      </w:hyperlink>
      <w:r w:rsidRPr="00DF304F">
        <w:rPr>
          <w:rFonts w:ascii="Arial" w:hAnsi="Arial" w:cs="Arial"/>
          <w:color w:val="3A3A3A"/>
          <w:shd w:val="clear" w:color="auto" w:fill="FFFFFF"/>
        </w:rPr>
        <w:t xml:space="preserve"> (Accessed: 21</w:t>
      </w:r>
      <w:r w:rsidRPr="00DF304F">
        <w:rPr>
          <w:rFonts w:ascii="Arial" w:hAnsi="Arial" w:cs="Arial"/>
          <w:color w:val="3A3A3A"/>
          <w:shd w:val="clear" w:color="auto" w:fill="FFFFFF"/>
          <w:vertAlign w:val="superscript"/>
        </w:rPr>
        <w:t>st</w:t>
      </w:r>
      <w:r w:rsidRPr="00DF304F">
        <w:rPr>
          <w:rFonts w:ascii="Arial" w:hAnsi="Arial" w:cs="Arial"/>
          <w:color w:val="3A3A3A"/>
          <w:shd w:val="clear" w:color="auto" w:fill="FFFFFF"/>
        </w:rPr>
        <w:t xml:space="preserve"> January 2024). </w:t>
      </w:r>
    </w:p>
    <w:p w14:paraId="15AD0D90" w14:textId="77777777" w:rsidR="00EA1C72" w:rsidRPr="00DF304F" w:rsidRDefault="00EA1C72" w:rsidP="00EA1C72">
      <w:pPr>
        <w:jc w:val="both"/>
        <w:rPr>
          <w:rFonts w:ascii="Arial" w:hAnsi="Arial" w:cs="Arial"/>
          <w:color w:val="3A3A3A"/>
          <w:shd w:val="clear" w:color="auto" w:fill="FFFFFF"/>
        </w:rPr>
      </w:pPr>
    </w:p>
    <w:p w14:paraId="2AEE0210" w14:textId="77777777" w:rsidR="00EA1C72" w:rsidRPr="00DF304F" w:rsidRDefault="00EA1C72" w:rsidP="00EA1C72">
      <w:pPr>
        <w:jc w:val="both"/>
        <w:rPr>
          <w:rFonts w:ascii="Arial" w:hAnsi="Arial" w:cs="Arial"/>
          <w:color w:val="3A3A3A"/>
          <w:shd w:val="clear" w:color="auto" w:fill="FFFFFF"/>
        </w:rPr>
      </w:pPr>
      <w:r w:rsidRPr="00DF304F">
        <w:rPr>
          <w:rFonts w:ascii="Arial" w:hAnsi="Arial" w:cs="Arial"/>
          <w:color w:val="3A3A3A"/>
          <w:shd w:val="clear" w:color="auto" w:fill="FFFFFF"/>
        </w:rPr>
        <w:t xml:space="preserve">College of Policing (2017) Youth offending aftercare  Available at: </w:t>
      </w:r>
      <w:hyperlink r:id="rId5" w:history="1">
        <w:r w:rsidRPr="00DF304F">
          <w:rPr>
            <w:rStyle w:val="Hyperlink"/>
            <w:rFonts w:ascii="Arial" w:hAnsi="Arial" w:cs="Arial"/>
            <w:shd w:val="clear" w:color="auto" w:fill="FFFFFF"/>
          </w:rPr>
          <w:t>https://www.college.police.uk/research/crime-reduction-toolkit/young-offender-aftercare#:~:text=In%20studies%20with%20a%20large,not%20receive%20an%20aftercare%20programme</w:t>
        </w:r>
      </w:hyperlink>
      <w:r w:rsidRPr="00DF304F">
        <w:rPr>
          <w:rFonts w:ascii="Arial" w:hAnsi="Arial" w:cs="Arial"/>
          <w:color w:val="3A3A3A"/>
          <w:shd w:val="clear" w:color="auto" w:fill="FFFFFF"/>
        </w:rPr>
        <w:t>. (Accessed: 27</w:t>
      </w:r>
      <w:r w:rsidRPr="00DF304F">
        <w:rPr>
          <w:rFonts w:ascii="Arial" w:hAnsi="Arial" w:cs="Arial"/>
          <w:color w:val="3A3A3A"/>
          <w:shd w:val="clear" w:color="auto" w:fill="FFFFFF"/>
          <w:vertAlign w:val="superscript"/>
        </w:rPr>
        <w:t>th</w:t>
      </w:r>
      <w:r w:rsidRPr="00DF304F">
        <w:rPr>
          <w:rFonts w:ascii="Arial" w:hAnsi="Arial" w:cs="Arial"/>
          <w:color w:val="3A3A3A"/>
          <w:shd w:val="clear" w:color="auto" w:fill="FFFFFF"/>
        </w:rPr>
        <w:t xml:space="preserve"> January 2024). </w:t>
      </w:r>
    </w:p>
    <w:p w14:paraId="07D1F4DC" w14:textId="77777777" w:rsidR="00EA1C72" w:rsidRPr="00DF304F" w:rsidRDefault="00EA1C72" w:rsidP="00EA1C72">
      <w:pPr>
        <w:jc w:val="both"/>
        <w:rPr>
          <w:rFonts w:ascii="Arial" w:hAnsi="Arial" w:cs="Arial"/>
          <w:color w:val="3A3A3A"/>
          <w:shd w:val="clear" w:color="auto" w:fill="FFFFFF"/>
        </w:rPr>
      </w:pPr>
    </w:p>
    <w:p w14:paraId="1CAB559F" w14:textId="77777777" w:rsidR="00EA1C72" w:rsidRPr="00DF304F" w:rsidRDefault="00EA1C72" w:rsidP="00EA1C72">
      <w:pPr>
        <w:jc w:val="both"/>
        <w:rPr>
          <w:rFonts w:ascii="Arial" w:hAnsi="Arial" w:cs="Arial"/>
        </w:rPr>
      </w:pPr>
      <w:r w:rsidRPr="00DF304F">
        <w:rPr>
          <w:rFonts w:ascii="Arial" w:hAnsi="Arial" w:cs="Arial"/>
        </w:rPr>
        <w:t xml:space="preserve">College of Policing (2020) Introduction to Initial Accounts   Available at: </w:t>
      </w:r>
      <w:hyperlink r:id="rId6" w:history="1">
        <w:r w:rsidRPr="00DF304F">
          <w:rPr>
            <w:rStyle w:val="Hyperlink"/>
            <w:rFonts w:ascii="Arial" w:hAnsi="Arial" w:cs="Arial"/>
          </w:rPr>
          <w:t>https://www.college.police.uk/guidance/obtaining-initial-accounts/introduction-initial-accounts</w:t>
        </w:r>
      </w:hyperlink>
      <w:r w:rsidRPr="00DF304F">
        <w:rPr>
          <w:rFonts w:ascii="Arial" w:hAnsi="Arial" w:cs="Arial"/>
        </w:rPr>
        <w:t xml:space="preserve"> (Accessed: 18</w:t>
      </w:r>
      <w:r w:rsidRPr="00DF304F">
        <w:rPr>
          <w:rFonts w:ascii="Arial" w:hAnsi="Arial" w:cs="Arial"/>
          <w:vertAlign w:val="superscript"/>
        </w:rPr>
        <w:t>th</w:t>
      </w:r>
      <w:r w:rsidRPr="00DF304F">
        <w:rPr>
          <w:rFonts w:ascii="Arial" w:hAnsi="Arial" w:cs="Arial"/>
        </w:rPr>
        <w:t xml:space="preserve"> January 2024).</w:t>
      </w:r>
    </w:p>
    <w:p w14:paraId="740062FD" w14:textId="77777777" w:rsidR="00EA1C72" w:rsidRPr="00DF304F" w:rsidRDefault="00EA1C72" w:rsidP="00EA1C72">
      <w:pPr>
        <w:jc w:val="both"/>
        <w:rPr>
          <w:rFonts w:ascii="Arial" w:hAnsi="Arial" w:cs="Arial"/>
        </w:rPr>
      </w:pPr>
    </w:p>
    <w:p w14:paraId="4DE286E2" w14:textId="77777777" w:rsidR="00EA1C72" w:rsidRPr="00DF304F" w:rsidRDefault="00EA1C72" w:rsidP="00EA1C72">
      <w:pPr>
        <w:jc w:val="both"/>
        <w:rPr>
          <w:rFonts w:ascii="Arial" w:hAnsi="Arial" w:cs="Arial"/>
        </w:rPr>
      </w:pPr>
      <w:r w:rsidRPr="00DF304F">
        <w:rPr>
          <w:rFonts w:ascii="Arial" w:hAnsi="Arial" w:cs="Arial"/>
        </w:rPr>
        <w:t xml:space="preserve">College of Policing (2024) Investigative Interviewing   Available at: </w:t>
      </w:r>
      <w:hyperlink r:id="rId7" w:history="1">
        <w:r w:rsidRPr="00DF304F">
          <w:rPr>
            <w:rStyle w:val="Hyperlink"/>
            <w:rFonts w:ascii="Arial" w:hAnsi="Arial" w:cs="Arial"/>
          </w:rPr>
          <w:t>https://www.college.police.uk/app/investigation/investigative-interviewing</w:t>
        </w:r>
      </w:hyperlink>
      <w:r w:rsidRPr="00DF304F">
        <w:rPr>
          <w:rFonts w:ascii="Arial" w:hAnsi="Arial" w:cs="Arial"/>
        </w:rPr>
        <w:t xml:space="preserve"> (Accessed: 18</w:t>
      </w:r>
      <w:r w:rsidRPr="00DF304F">
        <w:rPr>
          <w:rFonts w:ascii="Arial" w:hAnsi="Arial" w:cs="Arial"/>
          <w:vertAlign w:val="superscript"/>
        </w:rPr>
        <w:t>th</w:t>
      </w:r>
      <w:r w:rsidRPr="00DF304F">
        <w:rPr>
          <w:rFonts w:ascii="Arial" w:hAnsi="Arial" w:cs="Arial"/>
        </w:rPr>
        <w:t xml:space="preserve"> January 2024). </w:t>
      </w:r>
    </w:p>
    <w:p w14:paraId="065D796D" w14:textId="77777777" w:rsidR="00EA1C72" w:rsidRPr="00DF304F" w:rsidRDefault="00EA1C72" w:rsidP="00EA1C72">
      <w:pPr>
        <w:jc w:val="both"/>
        <w:rPr>
          <w:rFonts w:ascii="Arial" w:hAnsi="Arial" w:cs="Arial"/>
        </w:rPr>
      </w:pPr>
    </w:p>
    <w:p w14:paraId="4B07FE99" w14:textId="77777777" w:rsidR="00EA1C72" w:rsidRPr="00DF304F" w:rsidRDefault="00EA1C72" w:rsidP="00EA1C72">
      <w:pPr>
        <w:jc w:val="both"/>
        <w:rPr>
          <w:rFonts w:ascii="Arial" w:hAnsi="Arial" w:cs="Arial"/>
          <w:color w:val="3A3A3A"/>
          <w:shd w:val="clear" w:color="auto" w:fill="FFFFFF"/>
        </w:rPr>
      </w:pPr>
      <w:r w:rsidRPr="00DF304F">
        <w:rPr>
          <w:rFonts w:ascii="Arial" w:hAnsi="Arial" w:cs="Arial"/>
          <w:color w:val="3A3A3A"/>
          <w:shd w:val="clear" w:color="auto" w:fill="FFFFFF"/>
        </w:rPr>
        <w:t xml:space="preserve">CPS (2023) Restorative Justice  Available at: </w:t>
      </w:r>
      <w:hyperlink r:id="rId8" w:history="1">
        <w:r w:rsidRPr="00DF304F">
          <w:rPr>
            <w:rStyle w:val="Hyperlink"/>
            <w:rFonts w:ascii="Arial" w:hAnsi="Arial" w:cs="Arial"/>
            <w:shd w:val="clear" w:color="auto" w:fill="FFFFFF"/>
          </w:rPr>
          <w:t>https://www.cps.gov.uk/legal-guidance/restorative-justice</w:t>
        </w:r>
      </w:hyperlink>
      <w:r w:rsidRPr="00DF304F">
        <w:rPr>
          <w:rFonts w:ascii="Arial" w:hAnsi="Arial" w:cs="Arial"/>
          <w:color w:val="3A3A3A"/>
          <w:shd w:val="clear" w:color="auto" w:fill="FFFFFF"/>
        </w:rPr>
        <w:t xml:space="preserve"> (Accessed: 26</w:t>
      </w:r>
      <w:r w:rsidRPr="00DF304F">
        <w:rPr>
          <w:rFonts w:ascii="Arial" w:hAnsi="Arial" w:cs="Arial"/>
          <w:color w:val="3A3A3A"/>
          <w:shd w:val="clear" w:color="auto" w:fill="FFFFFF"/>
          <w:vertAlign w:val="superscript"/>
        </w:rPr>
        <w:t>th</w:t>
      </w:r>
      <w:r w:rsidRPr="00DF304F">
        <w:rPr>
          <w:rFonts w:ascii="Arial" w:hAnsi="Arial" w:cs="Arial"/>
          <w:color w:val="3A3A3A"/>
          <w:shd w:val="clear" w:color="auto" w:fill="FFFFFF"/>
        </w:rPr>
        <w:t xml:space="preserve"> January 2024). </w:t>
      </w:r>
    </w:p>
    <w:p w14:paraId="0CBF0FAC" w14:textId="77777777" w:rsidR="00EA1C72" w:rsidRPr="00DF304F" w:rsidRDefault="00EA1C72" w:rsidP="00EA1C72">
      <w:pPr>
        <w:jc w:val="both"/>
        <w:rPr>
          <w:rFonts w:ascii="Arial" w:hAnsi="Arial" w:cs="Arial"/>
          <w:color w:val="3A3A3A"/>
          <w:shd w:val="clear" w:color="auto" w:fill="FFFFFF"/>
        </w:rPr>
      </w:pPr>
    </w:p>
    <w:p w14:paraId="18C8F607" w14:textId="77777777" w:rsidR="00EA1C72" w:rsidRPr="00DF304F" w:rsidRDefault="00EA1C72" w:rsidP="00EA1C72">
      <w:pPr>
        <w:jc w:val="both"/>
        <w:rPr>
          <w:rFonts w:ascii="Arial" w:hAnsi="Arial" w:cs="Arial"/>
          <w:color w:val="3A3A3A"/>
          <w:shd w:val="clear" w:color="auto" w:fill="FFFFFF"/>
        </w:rPr>
      </w:pPr>
      <w:r w:rsidRPr="00DF304F">
        <w:rPr>
          <w:rFonts w:ascii="Arial" w:hAnsi="Arial" w:cs="Arial"/>
          <w:color w:val="3A3A3A"/>
          <w:shd w:val="clear" w:color="auto" w:fill="FFFFFF"/>
        </w:rPr>
        <w:t>Fisher, R. P., &amp; Geiselman, R. E. (2010). The Cognitive Interview method of conducting police interviews: Eliciting extensive information and promoting Therapeutic Jurisprudence. </w:t>
      </w:r>
      <w:r w:rsidRPr="00DF304F">
        <w:rPr>
          <w:rFonts w:ascii="Arial" w:hAnsi="Arial" w:cs="Arial"/>
          <w:i/>
          <w:iCs/>
          <w:color w:val="3A3A3A"/>
          <w:shd w:val="clear" w:color="auto" w:fill="FFFFFF"/>
        </w:rPr>
        <w:t>International Journal of Law and Psychiatry</w:t>
      </w:r>
      <w:r w:rsidRPr="00DF304F">
        <w:rPr>
          <w:rFonts w:ascii="Arial" w:hAnsi="Arial" w:cs="Arial"/>
          <w:color w:val="3A3A3A"/>
          <w:shd w:val="clear" w:color="auto" w:fill="FFFFFF"/>
        </w:rPr>
        <w:t>, </w:t>
      </w:r>
      <w:r w:rsidRPr="00DF304F">
        <w:rPr>
          <w:rFonts w:ascii="Arial" w:hAnsi="Arial" w:cs="Arial"/>
          <w:i/>
          <w:iCs/>
          <w:color w:val="3A3A3A"/>
          <w:shd w:val="clear" w:color="auto" w:fill="FFFFFF"/>
        </w:rPr>
        <w:t>33</w:t>
      </w:r>
      <w:r w:rsidRPr="00DF304F">
        <w:rPr>
          <w:rFonts w:ascii="Arial" w:hAnsi="Arial" w:cs="Arial"/>
          <w:color w:val="3A3A3A"/>
          <w:shd w:val="clear" w:color="auto" w:fill="FFFFFF"/>
        </w:rPr>
        <w:t xml:space="preserve">(5), 321–328. Available at: </w:t>
      </w:r>
      <w:hyperlink r:id="rId9" w:history="1">
        <w:r w:rsidRPr="00DF304F">
          <w:rPr>
            <w:rStyle w:val="Hyperlink"/>
            <w:rFonts w:ascii="Arial" w:hAnsi="Arial" w:cs="Arial"/>
            <w:shd w:val="clear" w:color="auto" w:fill="FFFFFF"/>
          </w:rPr>
          <w:t>https://doi.org/10.1016/j.ijlp.2010.09.004</w:t>
        </w:r>
      </w:hyperlink>
      <w:r w:rsidRPr="00DF304F">
        <w:rPr>
          <w:rFonts w:ascii="Arial" w:hAnsi="Arial" w:cs="Arial"/>
          <w:color w:val="3A3A3A"/>
          <w:shd w:val="clear" w:color="auto" w:fill="FFFFFF"/>
        </w:rPr>
        <w:t xml:space="preserve">  (Accessed: 27</w:t>
      </w:r>
      <w:r w:rsidRPr="00DF304F">
        <w:rPr>
          <w:rFonts w:ascii="Arial" w:hAnsi="Arial" w:cs="Arial"/>
          <w:color w:val="3A3A3A"/>
          <w:shd w:val="clear" w:color="auto" w:fill="FFFFFF"/>
          <w:vertAlign w:val="superscript"/>
        </w:rPr>
        <w:t>th</w:t>
      </w:r>
      <w:r w:rsidRPr="00DF304F">
        <w:rPr>
          <w:rFonts w:ascii="Arial" w:hAnsi="Arial" w:cs="Arial"/>
          <w:color w:val="3A3A3A"/>
          <w:shd w:val="clear" w:color="auto" w:fill="FFFFFF"/>
        </w:rPr>
        <w:t xml:space="preserve"> January 2024).</w:t>
      </w:r>
    </w:p>
    <w:p w14:paraId="70933B63" w14:textId="77777777" w:rsidR="00EA1C72" w:rsidRPr="00DF304F" w:rsidRDefault="00EA1C72" w:rsidP="00EA1C72">
      <w:pPr>
        <w:jc w:val="both"/>
        <w:rPr>
          <w:rFonts w:ascii="Arial" w:hAnsi="Arial" w:cs="Arial"/>
          <w:color w:val="3A3A3A"/>
          <w:shd w:val="clear" w:color="auto" w:fill="FFFFFF"/>
        </w:rPr>
      </w:pPr>
    </w:p>
    <w:p w14:paraId="5B5A44CB" w14:textId="77777777" w:rsidR="00EA1C72" w:rsidRPr="00DF304F" w:rsidRDefault="00EA1C72" w:rsidP="00EA1C72">
      <w:pPr>
        <w:jc w:val="both"/>
        <w:rPr>
          <w:rFonts w:ascii="Arial" w:hAnsi="Arial" w:cs="Arial"/>
          <w:color w:val="3A3A3A"/>
          <w:shd w:val="clear" w:color="auto" w:fill="FFFFFF"/>
        </w:rPr>
      </w:pPr>
      <w:r w:rsidRPr="00DF304F">
        <w:rPr>
          <w:rFonts w:ascii="Arial" w:hAnsi="Arial" w:cs="Arial"/>
          <w:color w:val="3A3A3A"/>
          <w:shd w:val="clear" w:color="auto" w:fill="FFFFFF"/>
        </w:rPr>
        <w:t>Fisher, R. P., Geiselman, R. E., &amp; Amador, M. (1989). Field Test of the Cognitive Interview: Enhancing the Recollection of Actual Victims and Witnesses of Crime. </w:t>
      </w:r>
      <w:r w:rsidRPr="00DF304F">
        <w:rPr>
          <w:rFonts w:ascii="Arial" w:hAnsi="Arial" w:cs="Arial"/>
          <w:i/>
          <w:iCs/>
          <w:color w:val="3A3A3A"/>
          <w:shd w:val="clear" w:color="auto" w:fill="FFFFFF"/>
        </w:rPr>
        <w:t>Journal of Applied Psychology</w:t>
      </w:r>
      <w:r w:rsidRPr="00DF304F">
        <w:rPr>
          <w:rFonts w:ascii="Arial" w:hAnsi="Arial" w:cs="Arial"/>
          <w:color w:val="3A3A3A"/>
          <w:shd w:val="clear" w:color="auto" w:fill="FFFFFF"/>
        </w:rPr>
        <w:t>, </w:t>
      </w:r>
      <w:r w:rsidRPr="00DF304F">
        <w:rPr>
          <w:rFonts w:ascii="Arial" w:hAnsi="Arial" w:cs="Arial"/>
          <w:i/>
          <w:iCs/>
          <w:color w:val="3A3A3A"/>
          <w:shd w:val="clear" w:color="auto" w:fill="FFFFFF"/>
        </w:rPr>
        <w:t>74</w:t>
      </w:r>
      <w:r w:rsidRPr="00DF304F">
        <w:rPr>
          <w:rFonts w:ascii="Arial" w:hAnsi="Arial" w:cs="Arial"/>
          <w:color w:val="3A3A3A"/>
          <w:shd w:val="clear" w:color="auto" w:fill="FFFFFF"/>
        </w:rPr>
        <w:t xml:space="preserve">(5), 722–727. Available at: </w:t>
      </w:r>
      <w:hyperlink r:id="rId10" w:history="1">
        <w:r w:rsidRPr="00DF304F">
          <w:rPr>
            <w:rStyle w:val="Hyperlink"/>
            <w:rFonts w:ascii="Arial" w:hAnsi="Arial" w:cs="Arial"/>
            <w:shd w:val="clear" w:color="auto" w:fill="FFFFFF"/>
          </w:rPr>
          <w:t>https://doi.org/10.1037/0021-9010.74.5.722</w:t>
        </w:r>
      </w:hyperlink>
      <w:r w:rsidRPr="00DF304F">
        <w:rPr>
          <w:rFonts w:ascii="Arial" w:hAnsi="Arial" w:cs="Arial"/>
          <w:color w:val="3A3A3A"/>
          <w:shd w:val="clear" w:color="auto" w:fill="FFFFFF"/>
        </w:rPr>
        <w:t xml:space="preserve">  (Accessed: 27</w:t>
      </w:r>
      <w:r w:rsidRPr="00DF304F">
        <w:rPr>
          <w:rFonts w:ascii="Arial" w:hAnsi="Arial" w:cs="Arial"/>
          <w:color w:val="3A3A3A"/>
          <w:shd w:val="clear" w:color="auto" w:fill="FFFFFF"/>
          <w:vertAlign w:val="superscript"/>
        </w:rPr>
        <w:t>th</w:t>
      </w:r>
      <w:r w:rsidRPr="00DF304F">
        <w:rPr>
          <w:rFonts w:ascii="Arial" w:hAnsi="Arial" w:cs="Arial"/>
          <w:color w:val="3A3A3A"/>
          <w:shd w:val="clear" w:color="auto" w:fill="FFFFFF"/>
        </w:rPr>
        <w:t xml:space="preserve"> January 2024). </w:t>
      </w:r>
    </w:p>
    <w:p w14:paraId="310DF517" w14:textId="77777777" w:rsidR="00EA1C72" w:rsidRPr="00DF304F" w:rsidRDefault="00EA1C72" w:rsidP="00EA1C72">
      <w:pPr>
        <w:jc w:val="both"/>
        <w:rPr>
          <w:rFonts w:ascii="Arial" w:hAnsi="Arial" w:cs="Arial"/>
          <w:color w:val="3A3A3A"/>
          <w:shd w:val="clear" w:color="auto" w:fill="FFFFFF"/>
        </w:rPr>
      </w:pPr>
    </w:p>
    <w:p w14:paraId="7F8048EC" w14:textId="77777777" w:rsidR="00EA1C72" w:rsidRPr="00DF304F" w:rsidRDefault="00EA1C72" w:rsidP="00EA1C72">
      <w:pPr>
        <w:jc w:val="both"/>
        <w:rPr>
          <w:rFonts w:ascii="Arial" w:hAnsi="Arial" w:cs="Arial"/>
          <w:color w:val="3A3A3A"/>
          <w:shd w:val="clear" w:color="auto" w:fill="FFFFFF"/>
        </w:rPr>
      </w:pPr>
      <w:r w:rsidRPr="00DF304F">
        <w:rPr>
          <w:rFonts w:ascii="Arial" w:hAnsi="Arial" w:cs="Arial"/>
          <w:color w:val="3A3A3A"/>
          <w:shd w:val="clear" w:color="auto" w:fill="FFFFFF"/>
        </w:rPr>
        <w:lastRenderedPageBreak/>
        <w:t>Geiselman, R. E., Fisher, R. P., MacKinnon, D. P., &amp; Holland, H. L. (1986). Enhancement of Eyewitness Memory with the Cognitive Interview. </w:t>
      </w:r>
      <w:r w:rsidRPr="00DF304F">
        <w:rPr>
          <w:rFonts w:ascii="Arial" w:hAnsi="Arial" w:cs="Arial"/>
          <w:i/>
          <w:iCs/>
          <w:color w:val="3A3A3A"/>
          <w:shd w:val="clear" w:color="auto" w:fill="FFFFFF"/>
        </w:rPr>
        <w:t>The American Journal of Psychology</w:t>
      </w:r>
      <w:r w:rsidRPr="00DF304F">
        <w:rPr>
          <w:rFonts w:ascii="Arial" w:hAnsi="Arial" w:cs="Arial"/>
          <w:color w:val="3A3A3A"/>
          <w:shd w:val="clear" w:color="auto" w:fill="FFFFFF"/>
        </w:rPr>
        <w:t>, </w:t>
      </w:r>
      <w:r w:rsidRPr="00DF304F">
        <w:rPr>
          <w:rFonts w:ascii="Arial" w:hAnsi="Arial" w:cs="Arial"/>
          <w:i/>
          <w:iCs/>
          <w:color w:val="3A3A3A"/>
          <w:shd w:val="clear" w:color="auto" w:fill="FFFFFF"/>
        </w:rPr>
        <w:t>99</w:t>
      </w:r>
      <w:r w:rsidRPr="00DF304F">
        <w:rPr>
          <w:rFonts w:ascii="Arial" w:hAnsi="Arial" w:cs="Arial"/>
          <w:color w:val="3A3A3A"/>
          <w:shd w:val="clear" w:color="auto" w:fill="FFFFFF"/>
        </w:rPr>
        <w:t xml:space="preserve">(3), 385–401. Available at: </w:t>
      </w:r>
      <w:hyperlink r:id="rId11" w:history="1">
        <w:r w:rsidRPr="00DF304F">
          <w:rPr>
            <w:rStyle w:val="Hyperlink"/>
            <w:rFonts w:ascii="Arial" w:hAnsi="Arial" w:cs="Arial"/>
            <w:shd w:val="clear" w:color="auto" w:fill="FFFFFF"/>
          </w:rPr>
          <w:t>https://doi.org/10.2307/1422492</w:t>
        </w:r>
      </w:hyperlink>
      <w:r w:rsidRPr="00DF304F">
        <w:rPr>
          <w:rFonts w:ascii="Arial" w:hAnsi="Arial" w:cs="Arial"/>
          <w:color w:val="3A3A3A"/>
          <w:shd w:val="clear" w:color="auto" w:fill="FFFFFF"/>
        </w:rPr>
        <w:t xml:space="preserve">  (Accessed: 26</w:t>
      </w:r>
      <w:r w:rsidRPr="00DF304F">
        <w:rPr>
          <w:rFonts w:ascii="Arial" w:hAnsi="Arial" w:cs="Arial"/>
          <w:color w:val="3A3A3A"/>
          <w:shd w:val="clear" w:color="auto" w:fill="FFFFFF"/>
          <w:vertAlign w:val="superscript"/>
        </w:rPr>
        <w:t>th</w:t>
      </w:r>
      <w:r w:rsidRPr="00DF304F">
        <w:rPr>
          <w:rFonts w:ascii="Arial" w:hAnsi="Arial" w:cs="Arial"/>
          <w:color w:val="3A3A3A"/>
          <w:shd w:val="clear" w:color="auto" w:fill="FFFFFF"/>
        </w:rPr>
        <w:t xml:space="preserve"> January 2024). </w:t>
      </w:r>
    </w:p>
    <w:p w14:paraId="777A7034" w14:textId="77777777" w:rsidR="00EA1C72" w:rsidRPr="00DF304F" w:rsidRDefault="00EA1C72" w:rsidP="00EA1C72">
      <w:pPr>
        <w:jc w:val="both"/>
        <w:rPr>
          <w:rFonts w:ascii="Arial" w:hAnsi="Arial" w:cs="Arial"/>
          <w:color w:val="3A3A3A"/>
          <w:shd w:val="clear" w:color="auto" w:fill="FFFFFF"/>
        </w:rPr>
      </w:pPr>
    </w:p>
    <w:p w14:paraId="2F2F7F71" w14:textId="77777777" w:rsidR="00EA1C72" w:rsidRPr="00DF304F" w:rsidRDefault="00EA1C72" w:rsidP="00EA1C72">
      <w:pPr>
        <w:jc w:val="both"/>
        <w:rPr>
          <w:rFonts w:ascii="Arial" w:hAnsi="Arial" w:cs="Arial"/>
          <w:color w:val="3A3A3A"/>
          <w:shd w:val="clear" w:color="auto" w:fill="FFFFFF"/>
        </w:rPr>
      </w:pPr>
      <w:r w:rsidRPr="00DF304F">
        <w:rPr>
          <w:rFonts w:ascii="Arial" w:hAnsi="Arial" w:cs="Arial"/>
          <w:color w:val="3A3A3A"/>
          <w:shd w:val="clear" w:color="auto" w:fill="FFFFFF"/>
        </w:rPr>
        <w:t xml:space="preserve">GOV.UK (2024) Youth Offending Teams  Available at: </w:t>
      </w:r>
      <w:hyperlink r:id="rId12" w:history="1">
        <w:r w:rsidRPr="00DF304F">
          <w:rPr>
            <w:rStyle w:val="Hyperlink"/>
            <w:rFonts w:ascii="Arial" w:hAnsi="Arial" w:cs="Arial"/>
            <w:shd w:val="clear" w:color="auto" w:fill="FFFFFF"/>
          </w:rPr>
          <w:t>https://www.gov.uk/youth-offending-team</w:t>
        </w:r>
      </w:hyperlink>
      <w:r w:rsidRPr="00DF304F">
        <w:rPr>
          <w:rFonts w:ascii="Arial" w:hAnsi="Arial" w:cs="Arial"/>
          <w:color w:val="3A3A3A"/>
          <w:shd w:val="clear" w:color="auto" w:fill="FFFFFF"/>
        </w:rPr>
        <w:t xml:space="preserve"> (Accessed: 26</w:t>
      </w:r>
      <w:r w:rsidRPr="00DF304F">
        <w:rPr>
          <w:rFonts w:ascii="Arial" w:hAnsi="Arial" w:cs="Arial"/>
          <w:color w:val="3A3A3A"/>
          <w:shd w:val="clear" w:color="auto" w:fill="FFFFFF"/>
          <w:vertAlign w:val="superscript"/>
        </w:rPr>
        <w:t>th</w:t>
      </w:r>
      <w:r w:rsidRPr="00DF304F">
        <w:rPr>
          <w:rFonts w:ascii="Arial" w:hAnsi="Arial" w:cs="Arial"/>
          <w:color w:val="3A3A3A"/>
          <w:shd w:val="clear" w:color="auto" w:fill="FFFFFF"/>
        </w:rPr>
        <w:t xml:space="preserve"> January 2024). </w:t>
      </w:r>
    </w:p>
    <w:p w14:paraId="4C38D1F7" w14:textId="77777777" w:rsidR="00EA1C72" w:rsidRPr="00DF304F" w:rsidRDefault="00EA1C72" w:rsidP="00EA1C72">
      <w:pPr>
        <w:jc w:val="both"/>
        <w:rPr>
          <w:rFonts w:ascii="Arial" w:hAnsi="Arial" w:cs="Arial"/>
          <w:color w:val="3A3A3A"/>
          <w:shd w:val="clear" w:color="auto" w:fill="FFFFFF"/>
        </w:rPr>
      </w:pPr>
      <w:r w:rsidRPr="00DF304F">
        <w:rPr>
          <w:rFonts w:ascii="Arial" w:hAnsi="Arial" w:cs="Arial"/>
          <w:color w:val="3A3A3A"/>
          <w:shd w:val="clear" w:color="auto" w:fill="FFFFFF"/>
        </w:rPr>
        <w:t xml:space="preserve">Gray, P., Smithson, H., Jump, D. (2021) ‘Serious youth violence and its relationship with adverse childhood experiences’ Available at: </w:t>
      </w:r>
      <w:hyperlink r:id="rId13" w:history="1">
        <w:r w:rsidRPr="00DF304F">
          <w:rPr>
            <w:rStyle w:val="Hyperlink"/>
            <w:rFonts w:ascii="Arial" w:hAnsi="Arial" w:cs="Arial"/>
            <w:shd w:val="clear" w:color="auto" w:fill="FFFFFF"/>
          </w:rPr>
          <w:t>https://www.justiceinspectorates.gov.uk/hmiprobation/wp-content/uploads/sites/5/2021/11/Academic-Insights-Gray-et-al.pdf</w:t>
        </w:r>
      </w:hyperlink>
      <w:r w:rsidRPr="00DF304F">
        <w:rPr>
          <w:rFonts w:ascii="Arial" w:hAnsi="Arial" w:cs="Arial"/>
          <w:color w:val="3A3A3A"/>
          <w:shd w:val="clear" w:color="auto" w:fill="FFFFFF"/>
        </w:rPr>
        <w:t xml:space="preserve"> (Accessed: 21</w:t>
      </w:r>
      <w:r w:rsidRPr="00DF304F">
        <w:rPr>
          <w:rFonts w:ascii="Arial" w:hAnsi="Arial" w:cs="Arial"/>
          <w:color w:val="3A3A3A"/>
          <w:shd w:val="clear" w:color="auto" w:fill="FFFFFF"/>
          <w:vertAlign w:val="superscript"/>
        </w:rPr>
        <w:t>st</w:t>
      </w:r>
      <w:r w:rsidRPr="00DF304F">
        <w:rPr>
          <w:rFonts w:ascii="Arial" w:hAnsi="Arial" w:cs="Arial"/>
          <w:color w:val="3A3A3A"/>
          <w:shd w:val="clear" w:color="auto" w:fill="FFFFFF"/>
        </w:rPr>
        <w:t xml:space="preserve"> January 2024). </w:t>
      </w:r>
    </w:p>
    <w:p w14:paraId="3ADBC83F" w14:textId="77777777" w:rsidR="00EA1C72" w:rsidRPr="00DF304F" w:rsidRDefault="00EA1C72" w:rsidP="00EA1C72">
      <w:pPr>
        <w:jc w:val="both"/>
        <w:rPr>
          <w:rFonts w:ascii="Arial" w:hAnsi="Arial" w:cs="Arial"/>
          <w:color w:val="3A3A3A"/>
          <w:shd w:val="clear" w:color="auto" w:fill="FFFFFF"/>
        </w:rPr>
      </w:pPr>
    </w:p>
    <w:p w14:paraId="1C9DF8B9" w14:textId="77777777" w:rsidR="00EA1C72" w:rsidRPr="00DF304F" w:rsidRDefault="00EA1C72" w:rsidP="00EA1C72">
      <w:pPr>
        <w:jc w:val="both"/>
        <w:rPr>
          <w:rFonts w:ascii="Arial" w:hAnsi="Arial" w:cs="Arial"/>
          <w:color w:val="3A3A3A"/>
          <w:shd w:val="clear" w:color="auto" w:fill="FFFFFF"/>
        </w:rPr>
      </w:pPr>
      <w:r w:rsidRPr="00DF304F">
        <w:rPr>
          <w:rFonts w:ascii="Arial" w:hAnsi="Arial" w:cs="Arial"/>
          <w:color w:val="3A3A3A"/>
          <w:shd w:val="clear" w:color="auto" w:fill="FFFFFF"/>
        </w:rPr>
        <w:t xml:space="preserve">London Assembly (2021) Mayor reveals driving factors behind violence affecting young people  Available at: </w:t>
      </w:r>
      <w:hyperlink r:id="rId14" w:history="1">
        <w:r w:rsidRPr="00DF304F">
          <w:rPr>
            <w:rStyle w:val="Hyperlink"/>
            <w:rFonts w:ascii="Arial" w:hAnsi="Arial" w:cs="Arial"/>
            <w:shd w:val="clear" w:color="auto" w:fill="FFFFFF"/>
          </w:rPr>
          <w:t>https://www.london.gov.uk/press-releases/mayoral/driving-factors-behind-violence-affecting-young-pe</w:t>
        </w:r>
      </w:hyperlink>
      <w:r w:rsidRPr="00DF304F">
        <w:rPr>
          <w:rFonts w:ascii="Arial" w:hAnsi="Arial" w:cs="Arial"/>
          <w:color w:val="3A3A3A"/>
          <w:shd w:val="clear" w:color="auto" w:fill="FFFFFF"/>
        </w:rPr>
        <w:t xml:space="preserve">  (Accessed: 26</w:t>
      </w:r>
      <w:r w:rsidRPr="00DF304F">
        <w:rPr>
          <w:rFonts w:ascii="Arial" w:hAnsi="Arial" w:cs="Arial"/>
          <w:color w:val="3A3A3A"/>
          <w:shd w:val="clear" w:color="auto" w:fill="FFFFFF"/>
          <w:vertAlign w:val="superscript"/>
        </w:rPr>
        <w:t>th</w:t>
      </w:r>
      <w:r w:rsidRPr="00DF304F">
        <w:rPr>
          <w:rFonts w:ascii="Arial" w:hAnsi="Arial" w:cs="Arial"/>
          <w:color w:val="3A3A3A"/>
          <w:shd w:val="clear" w:color="auto" w:fill="FFFFFF"/>
        </w:rPr>
        <w:t xml:space="preserve"> January 2024). </w:t>
      </w:r>
    </w:p>
    <w:p w14:paraId="735B90E5" w14:textId="77777777" w:rsidR="00EA1C72" w:rsidRPr="00DF304F" w:rsidRDefault="00EA1C72" w:rsidP="00EA1C72">
      <w:pPr>
        <w:jc w:val="both"/>
        <w:rPr>
          <w:rFonts w:ascii="Arial" w:hAnsi="Arial" w:cs="Arial"/>
          <w:color w:val="3A3A3A"/>
          <w:shd w:val="clear" w:color="auto" w:fill="FFFFFF"/>
        </w:rPr>
      </w:pPr>
    </w:p>
    <w:p w14:paraId="1AD28A2B" w14:textId="77777777" w:rsidR="00EA1C72" w:rsidRPr="00DF304F" w:rsidRDefault="00EA1C72" w:rsidP="00EA1C72">
      <w:pPr>
        <w:jc w:val="both"/>
        <w:rPr>
          <w:rFonts w:ascii="Arial" w:hAnsi="Arial" w:cs="Arial"/>
          <w:color w:val="3A3A3A"/>
          <w:shd w:val="clear" w:color="auto" w:fill="FFFFFF"/>
        </w:rPr>
      </w:pPr>
      <w:r w:rsidRPr="00DF304F">
        <w:rPr>
          <w:rFonts w:ascii="Arial" w:hAnsi="Arial" w:cs="Arial"/>
          <w:color w:val="3A3A3A"/>
          <w:shd w:val="clear" w:color="auto" w:fill="FFFFFF"/>
        </w:rPr>
        <w:t xml:space="preserve">Manica, M. (2022) Effectiveness of Approaches to Prevent Re-Offending in Young People: A Rapid Review of the Evidence  Available at: </w:t>
      </w:r>
      <w:hyperlink r:id="rId15" w:history="1">
        <w:r w:rsidRPr="00DF304F">
          <w:rPr>
            <w:rStyle w:val="Hyperlink"/>
            <w:rFonts w:ascii="Arial" w:hAnsi="Arial" w:cs="Arial"/>
            <w:shd w:val="clear" w:color="auto" w:fill="FFFFFF"/>
          </w:rPr>
          <w:t>https://www.svru.co.uk/wp-content/uploads/2022/05/Martina-Manica-Approaches-to-reducing-violent-youth-offending-Evidence-Review-.pdf</w:t>
        </w:r>
      </w:hyperlink>
      <w:r w:rsidRPr="00DF304F">
        <w:rPr>
          <w:rFonts w:ascii="Arial" w:hAnsi="Arial" w:cs="Arial"/>
          <w:color w:val="3A3A3A"/>
          <w:shd w:val="clear" w:color="auto" w:fill="FFFFFF"/>
        </w:rPr>
        <w:t xml:space="preserve"> (Accessed: 27</w:t>
      </w:r>
      <w:r w:rsidRPr="00DF304F">
        <w:rPr>
          <w:rFonts w:ascii="Arial" w:hAnsi="Arial" w:cs="Arial"/>
          <w:color w:val="3A3A3A"/>
          <w:shd w:val="clear" w:color="auto" w:fill="FFFFFF"/>
          <w:vertAlign w:val="superscript"/>
        </w:rPr>
        <w:t>th</w:t>
      </w:r>
      <w:r w:rsidRPr="00DF304F">
        <w:rPr>
          <w:rFonts w:ascii="Arial" w:hAnsi="Arial" w:cs="Arial"/>
          <w:color w:val="3A3A3A"/>
          <w:shd w:val="clear" w:color="auto" w:fill="FFFFFF"/>
        </w:rPr>
        <w:t xml:space="preserve"> January 2024). </w:t>
      </w:r>
    </w:p>
    <w:p w14:paraId="1A0B5988" w14:textId="77777777" w:rsidR="00EA1C72" w:rsidRPr="00DF304F" w:rsidRDefault="00EA1C72" w:rsidP="00EA1C72">
      <w:pPr>
        <w:jc w:val="both"/>
        <w:rPr>
          <w:rFonts w:ascii="Arial" w:hAnsi="Arial" w:cs="Arial"/>
          <w:color w:val="3A3A3A"/>
          <w:shd w:val="clear" w:color="auto" w:fill="FFFFFF"/>
        </w:rPr>
      </w:pPr>
    </w:p>
    <w:p w14:paraId="40767BF1" w14:textId="77777777" w:rsidR="00EA1C72" w:rsidRPr="00DF304F" w:rsidRDefault="00EA1C72" w:rsidP="00EA1C72">
      <w:pPr>
        <w:jc w:val="both"/>
        <w:rPr>
          <w:rFonts w:ascii="Arial" w:hAnsi="Arial" w:cs="Arial"/>
          <w:color w:val="3A3A3A"/>
          <w:shd w:val="clear" w:color="auto" w:fill="FFFFFF"/>
        </w:rPr>
      </w:pPr>
      <w:proofErr w:type="spellStart"/>
      <w:r w:rsidRPr="00DF304F">
        <w:rPr>
          <w:rFonts w:ascii="Arial" w:hAnsi="Arial" w:cs="Arial"/>
          <w:color w:val="3A3A3A"/>
          <w:shd w:val="clear" w:color="auto" w:fill="FFFFFF"/>
        </w:rPr>
        <w:t>Mcleod</w:t>
      </w:r>
      <w:proofErr w:type="spellEnd"/>
      <w:r w:rsidRPr="00DF304F">
        <w:rPr>
          <w:rFonts w:ascii="Arial" w:hAnsi="Arial" w:cs="Arial"/>
          <w:color w:val="3A3A3A"/>
          <w:shd w:val="clear" w:color="auto" w:fill="FFFFFF"/>
        </w:rPr>
        <w:t xml:space="preserve">, S. (2023) Cognitive Interview Available at: </w:t>
      </w:r>
      <w:hyperlink r:id="rId16" w:history="1">
        <w:r w:rsidRPr="00DF304F">
          <w:rPr>
            <w:rStyle w:val="Hyperlink"/>
            <w:rFonts w:ascii="Arial" w:hAnsi="Arial" w:cs="Arial"/>
            <w:shd w:val="clear" w:color="auto" w:fill="FFFFFF"/>
          </w:rPr>
          <w:t>https://www.simplypsychology.org/cognitive-interview.html</w:t>
        </w:r>
      </w:hyperlink>
      <w:r w:rsidRPr="00DF304F">
        <w:rPr>
          <w:rFonts w:ascii="Arial" w:hAnsi="Arial" w:cs="Arial"/>
          <w:color w:val="3A3A3A"/>
          <w:shd w:val="clear" w:color="auto" w:fill="FFFFFF"/>
        </w:rPr>
        <w:t xml:space="preserve"> (Accessed: 18</w:t>
      </w:r>
      <w:r w:rsidRPr="00DF304F">
        <w:rPr>
          <w:rFonts w:ascii="Arial" w:hAnsi="Arial" w:cs="Arial"/>
          <w:color w:val="3A3A3A"/>
          <w:shd w:val="clear" w:color="auto" w:fill="FFFFFF"/>
          <w:vertAlign w:val="superscript"/>
        </w:rPr>
        <w:t>th</w:t>
      </w:r>
      <w:r w:rsidRPr="00DF304F">
        <w:rPr>
          <w:rFonts w:ascii="Arial" w:hAnsi="Arial" w:cs="Arial"/>
          <w:color w:val="3A3A3A"/>
          <w:shd w:val="clear" w:color="auto" w:fill="FFFFFF"/>
        </w:rPr>
        <w:t xml:space="preserve"> January 2024).</w:t>
      </w:r>
    </w:p>
    <w:p w14:paraId="1C7D959C" w14:textId="77777777" w:rsidR="00EA1C72" w:rsidRPr="00DF304F" w:rsidRDefault="00EA1C72" w:rsidP="00EA1C72">
      <w:pPr>
        <w:jc w:val="both"/>
        <w:rPr>
          <w:rFonts w:ascii="Arial" w:hAnsi="Arial" w:cs="Arial"/>
          <w:color w:val="3A3A3A"/>
          <w:shd w:val="clear" w:color="auto" w:fill="FFFFFF"/>
        </w:rPr>
      </w:pPr>
    </w:p>
    <w:p w14:paraId="18E138F9" w14:textId="77777777" w:rsidR="00EA1C72" w:rsidRPr="00DF304F" w:rsidRDefault="00EA1C72" w:rsidP="00EA1C72">
      <w:pPr>
        <w:jc w:val="both"/>
        <w:rPr>
          <w:rFonts w:ascii="Arial" w:hAnsi="Arial" w:cs="Arial"/>
          <w:color w:val="3A3A3A"/>
          <w:shd w:val="clear" w:color="auto" w:fill="FFFFFF"/>
        </w:rPr>
      </w:pPr>
      <w:r w:rsidRPr="00DF304F">
        <w:rPr>
          <w:rFonts w:ascii="Arial" w:hAnsi="Arial" w:cs="Arial"/>
          <w:color w:val="3A3A3A"/>
          <w:shd w:val="clear" w:color="auto" w:fill="FFFFFF"/>
        </w:rPr>
        <w:t>Memon, A., Meissner, C. A., &amp; Fraser, J. (2010). THE COGNITIVE INTERVIEW: A Meta-Analytic Review and Study Space Analysis of the Past 25 Years. </w:t>
      </w:r>
      <w:r w:rsidRPr="00DF304F">
        <w:rPr>
          <w:rFonts w:ascii="Arial" w:hAnsi="Arial" w:cs="Arial"/>
          <w:i/>
          <w:iCs/>
          <w:color w:val="3A3A3A"/>
          <w:shd w:val="clear" w:color="auto" w:fill="FFFFFF"/>
        </w:rPr>
        <w:t>Psychology, Public Policy, and Law</w:t>
      </w:r>
      <w:r w:rsidRPr="00DF304F">
        <w:rPr>
          <w:rFonts w:ascii="Arial" w:hAnsi="Arial" w:cs="Arial"/>
          <w:color w:val="3A3A3A"/>
          <w:shd w:val="clear" w:color="auto" w:fill="FFFFFF"/>
        </w:rPr>
        <w:t>, </w:t>
      </w:r>
      <w:r w:rsidRPr="00DF304F">
        <w:rPr>
          <w:rFonts w:ascii="Arial" w:hAnsi="Arial" w:cs="Arial"/>
          <w:i/>
          <w:iCs/>
          <w:color w:val="3A3A3A"/>
          <w:shd w:val="clear" w:color="auto" w:fill="FFFFFF"/>
        </w:rPr>
        <w:t>16</w:t>
      </w:r>
      <w:r w:rsidRPr="00DF304F">
        <w:rPr>
          <w:rFonts w:ascii="Arial" w:hAnsi="Arial" w:cs="Arial"/>
          <w:color w:val="3A3A3A"/>
          <w:shd w:val="clear" w:color="auto" w:fill="FFFFFF"/>
        </w:rPr>
        <w:t xml:space="preserve">(4), 340–372. Available at: </w:t>
      </w:r>
      <w:hyperlink r:id="rId17" w:history="1">
        <w:r w:rsidRPr="00DF304F">
          <w:rPr>
            <w:rStyle w:val="Hyperlink"/>
            <w:rFonts w:ascii="Arial" w:hAnsi="Arial" w:cs="Arial"/>
            <w:shd w:val="clear" w:color="auto" w:fill="FFFFFF"/>
          </w:rPr>
          <w:t>https://doi.org/10.1037/a0020518</w:t>
        </w:r>
      </w:hyperlink>
      <w:r w:rsidRPr="00DF304F">
        <w:rPr>
          <w:rFonts w:ascii="Arial" w:hAnsi="Arial" w:cs="Arial"/>
          <w:color w:val="3A3A3A"/>
          <w:shd w:val="clear" w:color="auto" w:fill="FFFFFF"/>
        </w:rPr>
        <w:t xml:space="preserve"> (Accessed: 27</w:t>
      </w:r>
      <w:r w:rsidRPr="00DF304F">
        <w:rPr>
          <w:rFonts w:ascii="Arial" w:hAnsi="Arial" w:cs="Arial"/>
          <w:color w:val="3A3A3A"/>
          <w:shd w:val="clear" w:color="auto" w:fill="FFFFFF"/>
          <w:vertAlign w:val="superscript"/>
        </w:rPr>
        <w:t>th</w:t>
      </w:r>
      <w:r w:rsidRPr="00DF304F">
        <w:rPr>
          <w:rFonts w:ascii="Arial" w:hAnsi="Arial" w:cs="Arial"/>
          <w:color w:val="3A3A3A"/>
          <w:shd w:val="clear" w:color="auto" w:fill="FFFFFF"/>
        </w:rPr>
        <w:t xml:space="preserve"> January 2024). </w:t>
      </w:r>
    </w:p>
    <w:p w14:paraId="13535DE2" w14:textId="77777777" w:rsidR="00EA1C72" w:rsidRPr="00DF304F" w:rsidRDefault="00EA1C72" w:rsidP="00EA1C72">
      <w:pPr>
        <w:jc w:val="both"/>
        <w:rPr>
          <w:rFonts w:ascii="Arial" w:hAnsi="Arial" w:cs="Arial"/>
          <w:color w:val="3A3A3A"/>
          <w:shd w:val="clear" w:color="auto" w:fill="FFFFFF"/>
        </w:rPr>
      </w:pPr>
    </w:p>
    <w:p w14:paraId="00456E23" w14:textId="77777777" w:rsidR="00EA1C72" w:rsidRPr="00DF304F" w:rsidRDefault="00EA1C72" w:rsidP="00EA1C72">
      <w:pPr>
        <w:jc w:val="both"/>
        <w:rPr>
          <w:rFonts w:ascii="Arial" w:hAnsi="Arial" w:cs="Arial"/>
          <w:color w:val="3A3A3A"/>
          <w:shd w:val="clear" w:color="auto" w:fill="FFFFFF"/>
        </w:rPr>
      </w:pPr>
      <w:r w:rsidRPr="00DF304F">
        <w:rPr>
          <w:rFonts w:ascii="Arial" w:hAnsi="Arial" w:cs="Arial"/>
          <w:color w:val="3A3A3A"/>
          <w:shd w:val="clear" w:color="auto" w:fill="FFFFFF"/>
        </w:rPr>
        <w:t xml:space="preserve">Ministry of Justice (2021) Youth Rehabilitation Orders (YROs) Available at: </w:t>
      </w:r>
      <w:hyperlink r:id="rId18" w:history="1">
        <w:r w:rsidRPr="00DF304F">
          <w:rPr>
            <w:rStyle w:val="Hyperlink"/>
            <w:rFonts w:ascii="Arial" w:hAnsi="Arial" w:cs="Arial"/>
            <w:shd w:val="clear" w:color="auto" w:fill="FFFFFF"/>
          </w:rPr>
          <w:t>https://consult.justice.gov.uk/sentencing-council/sentencing-youths/user_uploads/youth-rehabilitation-orders.pdf-1</w:t>
        </w:r>
      </w:hyperlink>
      <w:r w:rsidRPr="00DF304F">
        <w:rPr>
          <w:rFonts w:ascii="Arial" w:hAnsi="Arial" w:cs="Arial"/>
          <w:color w:val="3A3A3A"/>
          <w:shd w:val="clear" w:color="auto" w:fill="FFFFFF"/>
        </w:rPr>
        <w:t xml:space="preserve"> (Accessed: 27</w:t>
      </w:r>
      <w:r w:rsidRPr="00DF304F">
        <w:rPr>
          <w:rFonts w:ascii="Arial" w:hAnsi="Arial" w:cs="Arial"/>
          <w:color w:val="3A3A3A"/>
          <w:shd w:val="clear" w:color="auto" w:fill="FFFFFF"/>
          <w:vertAlign w:val="superscript"/>
        </w:rPr>
        <w:t>th</w:t>
      </w:r>
      <w:r w:rsidRPr="00DF304F">
        <w:rPr>
          <w:rFonts w:ascii="Arial" w:hAnsi="Arial" w:cs="Arial"/>
          <w:color w:val="3A3A3A"/>
          <w:shd w:val="clear" w:color="auto" w:fill="FFFFFF"/>
        </w:rPr>
        <w:t xml:space="preserve"> January 2024). </w:t>
      </w:r>
    </w:p>
    <w:p w14:paraId="029EEFB0" w14:textId="77777777" w:rsidR="00EA1C72" w:rsidRPr="00DF304F" w:rsidRDefault="00EA1C72" w:rsidP="00EA1C72">
      <w:pPr>
        <w:jc w:val="both"/>
        <w:rPr>
          <w:rFonts w:ascii="Arial" w:hAnsi="Arial" w:cs="Arial"/>
          <w:color w:val="3A3A3A"/>
          <w:shd w:val="clear" w:color="auto" w:fill="FFFFFF"/>
        </w:rPr>
      </w:pPr>
    </w:p>
    <w:p w14:paraId="265DE48B" w14:textId="77777777" w:rsidR="00EA1C72" w:rsidRPr="00DF304F" w:rsidRDefault="00EA1C72" w:rsidP="00EA1C72">
      <w:pPr>
        <w:jc w:val="both"/>
        <w:rPr>
          <w:rFonts w:ascii="Arial" w:hAnsi="Arial" w:cs="Arial"/>
          <w:color w:val="3A3A3A"/>
          <w:shd w:val="clear" w:color="auto" w:fill="FFFFFF"/>
        </w:rPr>
      </w:pPr>
      <w:r w:rsidRPr="00DF304F">
        <w:rPr>
          <w:rFonts w:ascii="Arial" w:hAnsi="Arial" w:cs="Arial"/>
          <w:color w:val="3A3A3A"/>
          <w:shd w:val="clear" w:color="auto" w:fill="FFFFFF"/>
        </w:rPr>
        <w:t xml:space="preserve">Ministry of Justice (2023) ‘Proven reoffending statistics quarterly bulletin, January to March 2021’ Available at: </w:t>
      </w:r>
      <w:hyperlink r:id="rId19" w:history="1">
        <w:r w:rsidRPr="00DF304F">
          <w:rPr>
            <w:rStyle w:val="Hyperlink"/>
            <w:rFonts w:ascii="Arial" w:hAnsi="Arial" w:cs="Arial"/>
            <w:shd w:val="clear" w:color="auto" w:fill="FFFFFF"/>
          </w:rPr>
          <w:t>https://assets.publishing.service.gov.uk/media/63d171bfe90e071ba9122343/PRSQ_Bulletin_2020_F4.pdf</w:t>
        </w:r>
      </w:hyperlink>
      <w:r w:rsidRPr="00DF304F">
        <w:rPr>
          <w:rFonts w:ascii="Arial" w:hAnsi="Arial" w:cs="Arial"/>
          <w:color w:val="3A3A3A"/>
          <w:shd w:val="clear" w:color="auto" w:fill="FFFFFF"/>
        </w:rPr>
        <w:t xml:space="preserve"> (Accessed: 21</w:t>
      </w:r>
      <w:r w:rsidRPr="00DF304F">
        <w:rPr>
          <w:rFonts w:ascii="Arial" w:hAnsi="Arial" w:cs="Arial"/>
          <w:color w:val="3A3A3A"/>
          <w:shd w:val="clear" w:color="auto" w:fill="FFFFFF"/>
          <w:vertAlign w:val="superscript"/>
        </w:rPr>
        <w:t>st</w:t>
      </w:r>
      <w:r w:rsidRPr="00DF304F">
        <w:rPr>
          <w:rFonts w:ascii="Arial" w:hAnsi="Arial" w:cs="Arial"/>
          <w:color w:val="3A3A3A"/>
          <w:shd w:val="clear" w:color="auto" w:fill="FFFFFF"/>
        </w:rPr>
        <w:t xml:space="preserve"> January 2024). </w:t>
      </w:r>
    </w:p>
    <w:p w14:paraId="7B1573C9" w14:textId="77777777" w:rsidR="00EA1C72" w:rsidRPr="00DF304F" w:rsidRDefault="00EA1C72" w:rsidP="00EA1C72">
      <w:pPr>
        <w:jc w:val="both"/>
        <w:rPr>
          <w:rFonts w:ascii="Arial" w:hAnsi="Arial" w:cs="Arial"/>
          <w:color w:val="3A3A3A"/>
          <w:shd w:val="clear" w:color="auto" w:fill="FFFFFF"/>
        </w:rPr>
      </w:pPr>
    </w:p>
    <w:p w14:paraId="0107D508" w14:textId="77777777" w:rsidR="00EA1C72" w:rsidRPr="00DF304F" w:rsidRDefault="00EA1C72" w:rsidP="00EA1C72">
      <w:pPr>
        <w:jc w:val="both"/>
        <w:rPr>
          <w:rFonts w:ascii="Arial" w:hAnsi="Arial" w:cs="Arial"/>
          <w:color w:val="3A3A3A"/>
          <w:shd w:val="clear" w:color="auto" w:fill="FFFFFF"/>
        </w:rPr>
      </w:pPr>
      <w:r w:rsidRPr="00DF304F">
        <w:rPr>
          <w:rFonts w:ascii="Arial" w:hAnsi="Arial" w:cs="Arial"/>
          <w:color w:val="3A3A3A"/>
          <w:shd w:val="clear" w:color="auto" w:fill="FFFFFF"/>
        </w:rPr>
        <w:t xml:space="preserve">Nickerson, C. (2024) Schema Theory in Psychology  Available at: </w:t>
      </w:r>
      <w:hyperlink r:id="rId20" w:history="1">
        <w:r w:rsidRPr="00DF304F">
          <w:rPr>
            <w:rStyle w:val="Hyperlink"/>
            <w:rFonts w:ascii="Arial" w:hAnsi="Arial" w:cs="Arial"/>
            <w:shd w:val="clear" w:color="auto" w:fill="FFFFFF"/>
          </w:rPr>
          <w:t>https://www.simplypsychology.org/what-is-a-schema.html</w:t>
        </w:r>
      </w:hyperlink>
      <w:r w:rsidRPr="00DF304F">
        <w:rPr>
          <w:rFonts w:ascii="Arial" w:hAnsi="Arial" w:cs="Arial"/>
          <w:color w:val="3A3A3A"/>
          <w:shd w:val="clear" w:color="auto" w:fill="FFFFFF"/>
        </w:rPr>
        <w:t xml:space="preserve"> (Accessed: 19</w:t>
      </w:r>
      <w:r w:rsidRPr="00DF304F">
        <w:rPr>
          <w:rFonts w:ascii="Arial" w:hAnsi="Arial" w:cs="Arial"/>
          <w:color w:val="3A3A3A"/>
          <w:shd w:val="clear" w:color="auto" w:fill="FFFFFF"/>
          <w:vertAlign w:val="superscript"/>
        </w:rPr>
        <w:t>th</w:t>
      </w:r>
      <w:r w:rsidRPr="00DF304F">
        <w:rPr>
          <w:rFonts w:ascii="Arial" w:hAnsi="Arial" w:cs="Arial"/>
          <w:color w:val="3A3A3A"/>
          <w:shd w:val="clear" w:color="auto" w:fill="FFFFFF"/>
        </w:rPr>
        <w:t xml:space="preserve"> January 2024).</w:t>
      </w:r>
    </w:p>
    <w:p w14:paraId="24843819" w14:textId="77777777" w:rsidR="00EA1C72" w:rsidRPr="00DF304F" w:rsidRDefault="00EA1C72" w:rsidP="00EA1C72">
      <w:pPr>
        <w:jc w:val="both"/>
        <w:rPr>
          <w:rFonts w:ascii="Arial" w:hAnsi="Arial" w:cs="Arial"/>
          <w:color w:val="3A3A3A"/>
          <w:shd w:val="clear" w:color="auto" w:fill="FFFFFF"/>
        </w:rPr>
      </w:pPr>
    </w:p>
    <w:p w14:paraId="7F68E6A7" w14:textId="77777777" w:rsidR="00EA1C72" w:rsidRPr="00DF304F" w:rsidRDefault="00EA1C72" w:rsidP="00EA1C72">
      <w:pPr>
        <w:jc w:val="both"/>
        <w:rPr>
          <w:rFonts w:ascii="Arial" w:hAnsi="Arial" w:cs="Arial"/>
        </w:rPr>
      </w:pPr>
      <w:proofErr w:type="spellStart"/>
      <w:r w:rsidRPr="00DF304F">
        <w:rPr>
          <w:rFonts w:ascii="Arial" w:hAnsi="Arial" w:cs="Arial"/>
        </w:rPr>
        <w:t>Physiopedia</w:t>
      </w:r>
      <w:proofErr w:type="spellEnd"/>
      <w:r w:rsidRPr="00DF304F">
        <w:rPr>
          <w:rFonts w:ascii="Arial" w:hAnsi="Arial" w:cs="Arial"/>
        </w:rPr>
        <w:t xml:space="preserve"> (2021) </w:t>
      </w:r>
      <w:r w:rsidRPr="00DF304F">
        <w:rPr>
          <w:rFonts w:ascii="Arial" w:hAnsi="Arial" w:cs="Arial"/>
          <w:i/>
          <w:iCs/>
        </w:rPr>
        <w:t xml:space="preserve">Borton’s Development Framework   </w:t>
      </w:r>
      <w:r w:rsidRPr="00DF304F">
        <w:rPr>
          <w:rFonts w:ascii="Arial" w:hAnsi="Arial" w:cs="Arial"/>
        </w:rPr>
        <w:t xml:space="preserve">Available at: </w:t>
      </w:r>
      <w:hyperlink r:id="rId21" w:history="1">
        <w:r w:rsidRPr="00DF304F">
          <w:rPr>
            <w:rStyle w:val="Hyperlink"/>
            <w:rFonts w:ascii="Arial" w:hAnsi="Arial" w:cs="Arial"/>
          </w:rPr>
          <w:t>https://www.physio-pedia.com/Borton%27s_Development_Framework</w:t>
        </w:r>
      </w:hyperlink>
      <w:r w:rsidRPr="00DF304F">
        <w:rPr>
          <w:rFonts w:ascii="Arial" w:hAnsi="Arial" w:cs="Arial"/>
        </w:rPr>
        <w:t xml:space="preserve"> (Accessed: 18</w:t>
      </w:r>
      <w:r w:rsidRPr="00DF304F">
        <w:rPr>
          <w:rFonts w:ascii="Arial" w:hAnsi="Arial" w:cs="Arial"/>
          <w:vertAlign w:val="superscript"/>
        </w:rPr>
        <w:t>th</w:t>
      </w:r>
      <w:r w:rsidRPr="00DF304F">
        <w:rPr>
          <w:rFonts w:ascii="Arial" w:hAnsi="Arial" w:cs="Arial"/>
        </w:rPr>
        <w:t xml:space="preserve"> January 2024). </w:t>
      </w:r>
    </w:p>
    <w:p w14:paraId="76659C9F" w14:textId="77777777" w:rsidR="00EA1C72" w:rsidRPr="00DF304F" w:rsidRDefault="00EA1C72" w:rsidP="00EA1C72">
      <w:pPr>
        <w:jc w:val="both"/>
        <w:rPr>
          <w:rFonts w:ascii="Arial" w:hAnsi="Arial" w:cs="Arial"/>
          <w:color w:val="3A3A3A"/>
          <w:shd w:val="clear" w:color="auto" w:fill="FFFFFF"/>
        </w:rPr>
      </w:pPr>
      <w:r w:rsidRPr="00DF304F">
        <w:rPr>
          <w:rFonts w:ascii="Arial" w:hAnsi="Arial" w:cs="Arial"/>
          <w:color w:val="3A3A3A"/>
          <w:shd w:val="clear" w:color="auto" w:fill="FFFFFF"/>
        </w:rPr>
        <w:t xml:space="preserve">Restorative Justice Council (2015) Restorative justice in youth offending teams  Available at: </w:t>
      </w:r>
      <w:hyperlink r:id="rId22" w:history="1">
        <w:r w:rsidRPr="00DF304F">
          <w:rPr>
            <w:rStyle w:val="Hyperlink"/>
            <w:rFonts w:ascii="Arial" w:hAnsi="Arial" w:cs="Arial"/>
            <w:shd w:val="clear" w:color="auto" w:fill="FFFFFF"/>
          </w:rPr>
          <w:t>https://restorativejustice.org.uk/sites/default/files/news/files/dpn8_yot_infopack.pdf</w:t>
        </w:r>
      </w:hyperlink>
      <w:r w:rsidRPr="00DF304F">
        <w:rPr>
          <w:rFonts w:ascii="Arial" w:hAnsi="Arial" w:cs="Arial"/>
          <w:color w:val="3A3A3A"/>
          <w:shd w:val="clear" w:color="auto" w:fill="FFFFFF"/>
        </w:rPr>
        <w:t xml:space="preserve"> (Accessed: 27</w:t>
      </w:r>
      <w:r w:rsidRPr="00DF304F">
        <w:rPr>
          <w:rFonts w:ascii="Arial" w:hAnsi="Arial" w:cs="Arial"/>
          <w:color w:val="3A3A3A"/>
          <w:shd w:val="clear" w:color="auto" w:fill="FFFFFF"/>
          <w:vertAlign w:val="superscript"/>
        </w:rPr>
        <w:t>th</w:t>
      </w:r>
      <w:r w:rsidRPr="00DF304F">
        <w:rPr>
          <w:rFonts w:ascii="Arial" w:hAnsi="Arial" w:cs="Arial"/>
          <w:color w:val="3A3A3A"/>
          <w:shd w:val="clear" w:color="auto" w:fill="FFFFFF"/>
        </w:rPr>
        <w:t xml:space="preserve"> January 2024). </w:t>
      </w:r>
    </w:p>
    <w:p w14:paraId="33368369" w14:textId="77777777" w:rsidR="00EA1C72" w:rsidRPr="00DF304F" w:rsidRDefault="00EA1C72" w:rsidP="00EA1C72">
      <w:pPr>
        <w:jc w:val="both"/>
        <w:rPr>
          <w:rFonts w:ascii="Arial" w:hAnsi="Arial" w:cs="Arial"/>
          <w:color w:val="3A3A3A"/>
          <w:shd w:val="clear" w:color="auto" w:fill="FFFFFF"/>
        </w:rPr>
      </w:pPr>
    </w:p>
    <w:p w14:paraId="4D5C3287" w14:textId="77777777" w:rsidR="00EA1C72" w:rsidRPr="00DF304F" w:rsidRDefault="00EA1C72" w:rsidP="00EA1C72">
      <w:pPr>
        <w:jc w:val="both"/>
        <w:rPr>
          <w:rFonts w:ascii="Arial" w:hAnsi="Arial" w:cs="Arial"/>
          <w:color w:val="3A3A3A"/>
          <w:shd w:val="clear" w:color="auto" w:fill="FFFFFF"/>
        </w:rPr>
      </w:pPr>
      <w:proofErr w:type="spellStart"/>
      <w:r w:rsidRPr="00DF304F">
        <w:rPr>
          <w:rFonts w:ascii="Arial" w:hAnsi="Arial" w:cs="Arial"/>
          <w:color w:val="3A3A3A"/>
          <w:shd w:val="clear" w:color="auto" w:fill="FFFFFF"/>
        </w:rPr>
        <w:t>StudySmarter</w:t>
      </w:r>
      <w:proofErr w:type="spellEnd"/>
      <w:r w:rsidRPr="00DF304F">
        <w:rPr>
          <w:rFonts w:ascii="Arial" w:hAnsi="Arial" w:cs="Arial"/>
          <w:color w:val="3A3A3A"/>
          <w:shd w:val="clear" w:color="auto" w:fill="FFFFFF"/>
        </w:rPr>
        <w:t xml:space="preserve">. Cognitive Interview   Available at: </w:t>
      </w:r>
      <w:hyperlink r:id="rId23" w:history="1">
        <w:r w:rsidRPr="00DF304F">
          <w:rPr>
            <w:rStyle w:val="Hyperlink"/>
            <w:rFonts w:ascii="Arial" w:hAnsi="Arial" w:cs="Arial"/>
            <w:shd w:val="clear" w:color="auto" w:fill="FFFFFF"/>
          </w:rPr>
          <w:t>https://www.studysmarter.co.uk/explanations/psychology/basic-psychology/cognitive-interview/</w:t>
        </w:r>
      </w:hyperlink>
      <w:r w:rsidRPr="00DF304F">
        <w:rPr>
          <w:rFonts w:ascii="Arial" w:hAnsi="Arial" w:cs="Arial"/>
          <w:color w:val="3A3A3A"/>
          <w:shd w:val="clear" w:color="auto" w:fill="FFFFFF"/>
        </w:rPr>
        <w:t xml:space="preserve"> (Accessed: 19</w:t>
      </w:r>
      <w:r w:rsidRPr="00DF304F">
        <w:rPr>
          <w:rFonts w:ascii="Arial" w:hAnsi="Arial" w:cs="Arial"/>
          <w:color w:val="3A3A3A"/>
          <w:shd w:val="clear" w:color="auto" w:fill="FFFFFF"/>
          <w:vertAlign w:val="superscript"/>
        </w:rPr>
        <w:t>th</w:t>
      </w:r>
      <w:r w:rsidRPr="00DF304F">
        <w:rPr>
          <w:rFonts w:ascii="Arial" w:hAnsi="Arial" w:cs="Arial"/>
          <w:color w:val="3A3A3A"/>
          <w:shd w:val="clear" w:color="auto" w:fill="FFFFFF"/>
        </w:rPr>
        <w:t xml:space="preserve"> January 2024).</w:t>
      </w:r>
    </w:p>
    <w:p w14:paraId="650B47A6" w14:textId="77777777" w:rsidR="00EA1C72" w:rsidRPr="00DF304F" w:rsidRDefault="00EA1C72" w:rsidP="00EA1C72">
      <w:pPr>
        <w:jc w:val="both"/>
        <w:rPr>
          <w:rFonts w:ascii="Arial" w:hAnsi="Arial" w:cs="Arial"/>
          <w:color w:val="3A3A3A"/>
          <w:shd w:val="clear" w:color="auto" w:fill="FFFFFF"/>
        </w:rPr>
      </w:pPr>
    </w:p>
    <w:p w14:paraId="7CC886A4" w14:textId="77777777" w:rsidR="00EA1C72" w:rsidRPr="00DF304F" w:rsidRDefault="00EA1C72" w:rsidP="00EA1C72">
      <w:pPr>
        <w:jc w:val="both"/>
        <w:rPr>
          <w:rFonts w:ascii="Arial" w:hAnsi="Arial" w:cs="Arial"/>
          <w:color w:val="3A3A3A"/>
          <w:shd w:val="clear" w:color="auto" w:fill="FFFFFF"/>
        </w:rPr>
      </w:pPr>
      <w:r w:rsidRPr="00DF304F">
        <w:rPr>
          <w:rFonts w:ascii="Arial" w:hAnsi="Arial" w:cs="Arial"/>
          <w:color w:val="3A3A3A"/>
          <w:shd w:val="clear" w:color="auto" w:fill="FFFFFF"/>
        </w:rPr>
        <w:t xml:space="preserve">Youth Justice Board (2024) Youth Justice Statistics: 2022 to 2023  Available at: </w:t>
      </w:r>
      <w:hyperlink r:id="rId24" w:history="1">
        <w:r w:rsidRPr="00DF304F">
          <w:rPr>
            <w:rStyle w:val="Hyperlink"/>
            <w:rFonts w:ascii="Arial" w:hAnsi="Arial" w:cs="Arial"/>
            <w:shd w:val="clear" w:color="auto" w:fill="FFFFFF"/>
          </w:rPr>
          <w:t>https://www.gov.uk/government/statistics/youth-justice-statistics-2022-to-2023/youth-justice-statistics-2022-to-2023-accessible-version</w:t>
        </w:r>
      </w:hyperlink>
      <w:r w:rsidRPr="00DF304F">
        <w:rPr>
          <w:rFonts w:ascii="Arial" w:hAnsi="Arial" w:cs="Arial"/>
          <w:color w:val="3A3A3A"/>
          <w:shd w:val="clear" w:color="auto" w:fill="FFFFFF"/>
        </w:rPr>
        <w:t xml:space="preserve"> (Accessed: 26</w:t>
      </w:r>
      <w:r w:rsidRPr="00DF304F">
        <w:rPr>
          <w:rFonts w:ascii="Arial" w:hAnsi="Arial" w:cs="Arial"/>
          <w:color w:val="3A3A3A"/>
          <w:shd w:val="clear" w:color="auto" w:fill="FFFFFF"/>
          <w:vertAlign w:val="superscript"/>
        </w:rPr>
        <w:t>th</w:t>
      </w:r>
      <w:r w:rsidRPr="00DF304F">
        <w:rPr>
          <w:rFonts w:ascii="Arial" w:hAnsi="Arial" w:cs="Arial"/>
          <w:color w:val="3A3A3A"/>
          <w:shd w:val="clear" w:color="auto" w:fill="FFFFFF"/>
        </w:rPr>
        <w:t xml:space="preserve"> January 2024). </w:t>
      </w:r>
    </w:p>
    <w:p w14:paraId="33E22B87" w14:textId="77777777" w:rsidR="00EA1C72" w:rsidRPr="00DF304F" w:rsidRDefault="00EA1C72" w:rsidP="00EA1C72">
      <w:pPr>
        <w:jc w:val="both"/>
        <w:rPr>
          <w:rFonts w:ascii="Arial" w:hAnsi="Arial" w:cs="Arial"/>
          <w:color w:val="3A3A3A"/>
          <w:shd w:val="clear" w:color="auto" w:fill="FFFFFF"/>
        </w:rPr>
      </w:pPr>
    </w:p>
    <w:p w14:paraId="06ACADE4" w14:textId="77777777" w:rsidR="00EA1C72" w:rsidRPr="00DF304F" w:rsidRDefault="00EA1C72" w:rsidP="00EA1C72">
      <w:pPr>
        <w:jc w:val="both"/>
        <w:rPr>
          <w:rFonts w:ascii="Arial" w:hAnsi="Arial" w:cs="Arial"/>
          <w:color w:val="3A3A3A"/>
          <w:shd w:val="clear" w:color="auto" w:fill="FFFFFF"/>
        </w:rPr>
      </w:pPr>
      <w:r w:rsidRPr="00DF304F">
        <w:rPr>
          <w:rFonts w:ascii="Arial" w:hAnsi="Arial" w:cs="Arial"/>
          <w:color w:val="3A3A3A"/>
          <w:shd w:val="clear" w:color="auto" w:fill="FFFFFF"/>
        </w:rPr>
        <w:t xml:space="preserve">Youth Justice Legal Centre (2021) ‘Youth Justice Board – Youth Justice Statistics 2020/21’ Available at: </w:t>
      </w:r>
      <w:hyperlink r:id="rId25" w:history="1">
        <w:r w:rsidRPr="00DF304F">
          <w:rPr>
            <w:rStyle w:val="Hyperlink"/>
            <w:rFonts w:ascii="Arial" w:hAnsi="Arial" w:cs="Arial"/>
            <w:shd w:val="clear" w:color="auto" w:fill="FFFFFF"/>
          </w:rPr>
          <w:t>https://yjlc.uk/resources/legal-updates/youth-justice-board-publishes-annual-statistics-2020-2021-highlighting#:~:text=Despite%20the%20downhill%20trend%20in,24%25%20and%2025.2%25%20respectively</w:t>
        </w:r>
      </w:hyperlink>
      <w:r w:rsidRPr="00DF304F">
        <w:rPr>
          <w:rFonts w:ascii="Arial" w:hAnsi="Arial" w:cs="Arial"/>
          <w:color w:val="3A3A3A"/>
          <w:shd w:val="clear" w:color="auto" w:fill="FFFFFF"/>
        </w:rPr>
        <w:t>. (Accessed: 21</w:t>
      </w:r>
      <w:r w:rsidRPr="00DF304F">
        <w:rPr>
          <w:rFonts w:ascii="Arial" w:hAnsi="Arial" w:cs="Arial"/>
          <w:color w:val="3A3A3A"/>
          <w:shd w:val="clear" w:color="auto" w:fill="FFFFFF"/>
          <w:vertAlign w:val="superscript"/>
        </w:rPr>
        <w:t>st</w:t>
      </w:r>
      <w:r w:rsidRPr="00DF304F">
        <w:rPr>
          <w:rFonts w:ascii="Arial" w:hAnsi="Arial" w:cs="Arial"/>
          <w:color w:val="3A3A3A"/>
          <w:shd w:val="clear" w:color="auto" w:fill="FFFFFF"/>
        </w:rPr>
        <w:t xml:space="preserve"> January 2024). </w:t>
      </w:r>
    </w:p>
    <w:p w14:paraId="25AAECC6" w14:textId="77777777" w:rsidR="00490789" w:rsidRDefault="00490789" w:rsidP="00490789">
      <w:pPr>
        <w:jc w:val="both"/>
      </w:pPr>
    </w:p>
    <w:p w14:paraId="1C324923" w14:textId="77777777" w:rsidR="00490789" w:rsidRPr="00490789" w:rsidRDefault="00490789" w:rsidP="00490789">
      <w:pPr>
        <w:jc w:val="both"/>
      </w:pPr>
    </w:p>
    <w:sectPr w:rsidR="00490789" w:rsidRPr="004907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789"/>
    <w:rsid w:val="000E72D2"/>
    <w:rsid w:val="00233AF1"/>
    <w:rsid w:val="00490789"/>
    <w:rsid w:val="009C7822"/>
    <w:rsid w:val="009D7C21"/>
    <w:rsid w:val="00C924C3"/>
    <w:rsid w:val="00EA1C72"/>
    <w:rsid w:val="00EA2C83"/>
    <w:rsid w:val="00F5400C"/>
    <w:rsid w:val="00FD7156"/>
    <w:rsid w:val="00FF7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90365"/>
  <w15:chartTrackingRefBased/>
  <w15:docId w15:val="{CAB20345-85C2-49CC-AFA3-95CAC0144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90789"/>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basedOn w:val="DefaultParagraphFont"/>
    <w:uiPriority w:val="99"/>
    <w:unhideWhenUsed/>
    <w:rsid w:val="00EA1C7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ps.gov.uk/legal-guidance/restorative-justice" TargetMode="External"/><Relationship Id="rId13" Type="http://schemas.openxmlformats.org/officeDocument/2006/relationships/hyperlink" Target="https://www.justiceinspectorates.gov.uk/hmiprobation/wp-content/uploads/sites/5/2021/11/Academic-Insights-Gray-et-al.pdf" TargetMode="External"/><Relationship Id="rId18" Type="http://schemas.openxmlformats.org/officeDocument/2006/relationships/hyperlink" Target="https://consult.justice.gov.uk/sentencing-council/sentencing-youths/user_uploads/youth-rehabilitation-orders.pdf-1"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physio-pedia.com/Borton%27s_Development_Framework" TargetMode="External"/><Relationship Id="rId7" Type="http://schemas.openxmlformats.org/officeDocument/2006/relationships/hyperlink" Target="https://www.college.police.uk/app/investigation/investigative-interviewing" TargetMode="External"/><Relationship Id="rId12" Type="http://schemas.openxmlformats.org/officeDocument/2006/relationships/hyperlink" Target="https://www.gov.uk/youth-offending-team" TargetMode="External"/><Relationship Id="rId17" Type="http://schemas.openxmlformats.org/officeDocument/2006/relationships/hyperlink" Target="https://doi.org/10.1037/a0020518" TargetMode="External"/><Relationship Id="rId25" Type="http://schemas.openxmlformats.org/officeDocument/2006/relationships/hyperlink" Target="https://yjlc.uk/resources/legal-updates/youth-justice-board-publishes-annual-statistics-2020-2021-highlighting#:~:text=Despite%20the%20downhill%20trend%20in,24%25%20and%2025.2%25%20respectively" TargetMode="External"/><Relationship Id="rId2" Type="http://schemas.openxmlformats.org/officeDocument/2006/relationships/settings" Target="settings.xml"/><Relationship Id="rId16" Type="http://schemas.openxmlformats.org/officeDocument/2006/relationships/hyperlink" Target="https://www.simplypsychology.org/cognitive-interview.html" TargetMode="External"/><Relationship Id="rId20" Type="http://schemas.openxmlformats.org/officeDocument/2006/relationships/hyperlink" Target="https://www.simplypsychology.org/what-is-a-schema.html" TargetMode="External"/><Relationship Id="rId1" Type="http://schemas.openxmlformats.org/officeDocument/2006/relationships/styles" Target="styles.xml"/><Relationship Id="rId6" Type="http://schemas.openxmlformats.org/officeDocument/2006/relationships/hyperlink" Target="https://www.college.police.uk/guidance/obtaining-initial-accounts/introduction-initial-accounts" TargetMode="External"/><Relationship Id="rId11" Type="http://schemas.openxmlformats.org/officeDocument/2006/relationships/hyperlink" Target="https://doi.org/10.2307/1422492" TargetMode="External"/><Relationship Id="rId24" Type="http://schemas.openxmlformats.org/officeDocument/2006/relationships/hyperlink" Target="https://www.gov.uk/government/statistics/youth-justice-statistics-2022-to-2023/youth-justice-statistics-2022-to-2023-accessible-version" TargetMode="External"/><Relationship Id="rId5" Type="http://schemas.openxmlformats.org/officeDocument/2006/relationships/hyperlink" Target="https://www.college.police.uk/research/crime-reduction-toolkit/young-offender-aftercare#:~:text=In%20studies%20with%20a%20large,not%20receive%20an%20aftercare%20programme" TargetMode="External"/><Relationship Id="rId15" Type="http://schemas.openxmlformats.org/officeDocument/2006/relationships/hyperlink" Target="https://www.svru.co.uk/wp-content/uploads/2022/05/Martina-Manica-Approaches-to-reducing-violent-youth-offending-Evidence-Review-.pdf" TargetMode="External"/><Relationship Id="rId23" Type="http://schemas.openxmlformats.org/officeDocument/2006/relationships/hyperlink" Target="https://www.studysmarter.co.uk/explanations/psychology/basic-psychology/cognitive-interview/" TargetMode="External"/><Relationship Id="rId10" Type="http://schemas.openxmlformats.org/officeDocument/2006/relationships/hyperlink" Target="https://doi.org/10.1037/0021-9010.74.5.722" TargetMode="External"/><Relationship Id="rId19" Type="http://schemas.openxmlformats.org/officeDocument/2006/relationships/hyperlink" Target="https://assets.publishing.service.gov.uk/media/63d171bfe90e071ba9122343/PRSQ_Bulletin_2020_F4.pdf" TargetMode="External"/><Relationship Id="rId4" Type="http://schemas.openxmlformats.org/officeDocument/2006/relationships/hyperlink" Target="https://www.eif.org.uk/report/adverse-childhood-experiences-what-we-know-what-we-dont-know-and-what-should-happen-next" TargetMode="External"/><Relationship Id="rId9" Type="http://schemas.openxmlformats.org/officeDocument/2006/relationships/hyperlink" Target="https://doi.org/10.1016/j.ijlp.2010.09.004" TargetMode="External"/><Relationship Id="rId14" Type="http://schemas.openxmlformats.org/officeDocument/2006/relationships/hyperlink" Target="https://www.london.gov.uk/press-releases/mayoral/driving-factors-behind-violence-affecting-young-pe" TargetMode="External"/><Relationship Id="rId22" Type="http://schemas.openxmlformats.org/officeDocument/2006/relationships/hyperlink" Target="https://restorativejustice.org.uk/sites/default/files/news/files/dpn8_yot_infopack.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7</Pages>
  <Words>2957</Words>
  <Characters>16860</Characters>
  <Application>Microsoft Office Word</Application>
  <DocSecurity>0</DocSecurity>
  <Lines>140</Lines>
  <Paragraphs>39</Paragraphs>
  <ScaleCrop>false</ScaleCrop>
  <Company>South Wales Police</Company>
  <LinksUpToDate>false</LinksUpToDate>
  <CharactersWithSpaces>19778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Baker,Molly swp8305</dc:creator>
  <cp:keywords/>
  <dc:description/>
  <cp:lastModifiedBy>Baker,Molly swp8305</cp:lastModifiedBy>
  <cp:revision>7</cp:revision>
  <dcterms:created xsi:type="dcterms:W3CDTF">2024-02-08T03:32:00Z</dcterms:created>
  <dcterms:modified xsi:type="dcterms:W3CDTF">2024-02-19T22:15:00Z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2024-02-08T03:38:18Z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3bc9c1e3-8c6e-43ce-8a69-9716e49b1c87</vt:lpwstr>
  </property>
  <property fmtid="{D5CDD505-2E9C-101B-9397-08002B2CF9AE}" pid="8" name="MSIP_Label_66cf8fe5-b7b7-4df7-b38d-1c61ac2f6639_ContentBits">
    <vt:lpwstr>0</vt:lpwstr>
  </property>
</Properties>
</file>