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7F1EB99" wp14:paraId="25469872" wp14:textId="476B7BC1">
      <w:pPr>
        <w:rPr>
          <w:rFonts w:ascii="Arial" w:hAnsi="Arial" w:eastAsia="Arial" w:cs="Arial"/>
          <w:noProof w:val="0"/>
          <w:sz w:val="48"/>
          <w:szCs w:val="48"/>
          <w:lang w:val="en-GB"/>
        </w:rPr>
      </w:pPr>
      <w:r w:rsidRPr="17F1EB99" w:rsidR="5E22ED68">
        <w:rPr>
          <w:rFonts w:ascii="Arial" w:hAnsi="Arial" w:eastAsia="Arial" w:cs="Arial"/>
          <w:noProof w:val="0"/>
          <w:sz w:val="48"/>
          <w:szCs w:val="48"/>
          <w:lang w:val="en-GB"/>
        </w:rPr>
        <w:t xml:space="preserve">Principles of Health and Social Care Practice </w:t>
      </w:r>
    </w:p>
    <w:p xmlns:wp14="http://schemas.microsoft.com/office/word/2010/wordml" w:rsidP="17F1EB99" wp14:paraId="0DC36DF0" wp14:textId="0816367A">
      <w:pPr>
        <w:rPr>
          <w:rFonts w:ascii="Arial" w:hAnsi="Arial" w:eastAsia="Arial" w:cs="Arial"/>
          <w:noProof w:val="0"/>
          <w:sz w:val="28"/>
          <w:szCs w:val="28"/>
          <w:lang w:val="en-GB"/>
        </w:rPr>
      </w:pPr>
      <w:r w:rsidRPr="17F1EB99" w:rsidR="5E22ED68">
        <w:rPr>
          <w:rFonts w:ascii="Arial" w:hAnsi="Arial" w:eastAsia="Arial" w:cs="Arial"/>
          <w:noProof w:val="0"/>
          <w:sz w:val="28"/>
          <w:szCs w:val="28"/>
          <w:lang w:val="en-GB"/>
        </w:rPr>
        <w:t xml:space="preserve">Precious Igbinigie </w:t>
      </w:r>
    </w:p>
    <w:p xmlns:wp14="http://schemas.microsoft.com/office/word/2010/wordml" w:rsidP="17F1EB99" wp14:paraId="235D08CF" wp14:textId="7A491EFE">
      <w:pPr>
        <w:rPr>
          <w:rFonts w:ascii="Arial" w:hAnsi="Arial" w:eastAsia="Arial" w:cs="Arial"/>
          <w:noProof w:val="0"/>
          <w:sz w:val="28"/>
          <w:szCs w:val="28"/>
          <w:lang w:val="en-GB"/>
        </w:rPr>
      </w:pPr>
      <w:r w:rsidRPr="17F1EB99" w:rsidR="5E22ED68">
        <w:rPr>
          <w:rFonts w:ascii="Arial" w:hAnsi="Arial" w:eastAsia="Arial" w:cs="Arial"/>
          <w:b w:val="1"/>
          <w:bCs w:val="1"/>
          <w:noProof w:val="0"/>
          <w:sz w:val="28"/>
          <w:szCs w:val="28"/>
          <w:lang w:val="en-GB"/>
        </w:rPr>
        <w:t>(BMHP5016_BIRM)</w:t>
      </w:r>
    </w:p>
    <w:p xmlns:wp14="http://schemas.microsoft.com/office/word/2010/wordml" w:rsidP="17F1EB99" wp14:paraId="761E778C" wp14:textId="05006B9E">
      <w:pPr>
        <w:rPr>
          <w:rFonts w:ascii="Arial" w:hAnsi="Arial" w:eastAsia="Arial" w:cs="Arial"/>
          <w:noProof w:val="0"/>
          <w:sz w:val="28"/>
          <w:szCs w:val="28"/>
          <w:lang w:val="en-GB"/>
        </w:rPr>
      </w:pPr>
      <w:r w:rsidRPr="17F1EB99" w:rsidR="5E22ED68">
        <w:rPr>
          <w:rFonts w:ascii="Arial" w:hAnsi="Arial" w:eastAsia="Arial" w:cs="Arial"/>
          <w:noProof w:val="0"/>
          <w:sz w:val="28"/>
          <w:szCs w:val="28"/>
          <w:lang w:val="en-GB"/>
        </w:rPr>
        <w:t>Nargis Ahmed 2329515</w:t>
      </w:r>
    </w:p>
    <w:p xmlns:wp14="http://schemas.microsoft.com/office/word/2010/wordml" w:rsidP="17F1EB99" wp14:paraId="5E5787A5" wp14:textId="340FD25B">
      <w:pPr>
        <w:rPr>
          <w:rFonts w:ascii="Arial" w:hAnsi="Arial" w:eastAsia="Arial" w:cs="Arial"/>
          <w:sz w:val="48"/>
          <w:szCs w:val="48"/>
        </w:rPr>
      </w:pPr>
    </w:p>
    <w:p w:rsidR="14929A20" w:rsidP="17F1EB99" w:rsidRDefault="14929A20" w14:paraId="5BF857AD" w14:textId="3BD5AB6E">
      <w:pPr>
        <w:rPr>
          <w:rFonts w:ascii="Arial" w:hAnsi="Arial" w:eastAsia="Arial" w:cs="Arial"/>
          <w:noProof w:val="0"/>
          <w:color w:val="000000" w:themeColor="text1" w:themeTint="FF" w:themeShade="FF"/>
          <w:sz w:val="24"/>
          <w:szCs w:val="24"/>
          <w:lang w:val="en-GB"/>
        </w:rPr>
      </w:pPr>
      <w:r w:rsidRPr="17F1EB99" w:rsidR="14929A20">
        <w:rPr>
          <w:rFonts w:ascii="Arial" w:hAnsi="Arial" w:eastAsia="Arial" w:cs="Arial"/>
          <w:noProof w:val="0"/>
          <w:color w:val="000000" w:themeColor="text1" w:themeTint="FF" w:themeShade="FF"/>
          <w:sz w:val="24"/>
          <w:szCs w:val="24"/>
          <w:lang w:val="en-GB"/>
        </w:rPr>
        <w:t>Here is a simplified version:</w:t>
      </w:r>
    </w:p>
    <w:p w:rsidR="17F1EB99" w:rsidP="17F1EB99" w:rsidRDefault="17F1EB99" w14:paraId="7F4C2829" w14:textId="61BDD967">
      <w:pPr>
        <w:rPr>
          <w:rFonts w:ascii="Arial" w:hAnsi="Arial" w:eastAsia="Arial" w:cs="Arial"/>
          <w:sz w:val="24"/>
          <w:szCs w:val="24"/>
        </w:rPr>
      </w:pPr>
    </w:p>
    <w:p w:rsidR="14929A20" w:rsidP="17F1EB99" w:rsidRDefault="14929A20" w14:paraId="634EB8D2" w14:textId="057C3805">
      <w:pPr>
        <w:rPr>
          <w:rFonts w:ascii="Arial" w:hAnsi="Arial" w:eastAsia="Arial" w:cs="Arial"/>
          <w:b w:val="1"/>
          <w:bCs w:val="1"/>
          <w:noProof w:val="0"/>
          <w:color w:val="000000" w:themeColor="text1" w:themeTint="FF" w:themeShade="FF"/>
          <w:sz w:val="24"/>
          <w:szCs w:val="24"/>
          <w:lang w:val="en-GB"/>
        </w:rPr>
      </w:pPr>
      <w:r w:rsidRPr="17F1EB99" w:rsidR="14929A20">
        <w:rPr>
          <w:rFonts w:ascii="Arial" w:hAnsi="Arial" w:eastAsia="Arial" w:cs="Arial"/>
          <w:b w:val="1"/>
          <w:bCs w:val="1"/>
          <w:noProof w:val="0"/>
          <w:color w:val="000000" w:themeColor="text1" w:themeTint="FF" w:themeShade="FF"/>
          <w:sz w:val="24"/>
          <w:szCs w:val="24"/>
          <w:lang w:val="en-GB"/>
        </w:rPr>
        <w:t>Person-Centred Care: Definition, Benefits, and Limitations</w:t>
      </w:r>
    </w:p>
    <w:p w:rsidR="14929A20" w:rsidP="17F1EB99" w:rsidRDefault="14929A20" w14:paraId="77929BDE" w14:textId="0327802B">
      <w:pPr>
        <w:rPr>
          <w:rFonts w:ascii="Arial" w:hAnsi="Arial" w:eastAsia="Arial" w:cs="Arial"/>
          <w:noProof w:val="0"/>
          <w:color w:val="000000" w:themeColor="text1" w:themeTint="FF" w:themeShade="FF"/>
          <w:sz w:val="24"/>
          <w:szCs w:val="24"/>
          <w:lang w:val="en-GB"/>
        </w:rPr>
      </w:pPr>
      <w:r w:rsidRPr="17F1EB99" w:rsidR="14929A20">
        <w:rPr>
          <w:rFonts w:ascii="Arial" w:hAnsi="Arial" w:eastAsia="Arial" w:cs="Arial"/>
          <w:noProof w:val="0"/>
          <w:color w:val="000000" w:themeColor="text1" w:themeTint="FF" w:themeShade="FF"/>
          <w:sz w:val="24"/>
          <w:szCs w:val="24"/>
          <w:lang w:val="en-GB"/>
        </w:rPr>
        <w:t>Person-centred care is an approach to healthcare where the patient is put at the heart of all decisions. Instead of simply telling people what treatment they will receive, this approach involves listening to each person and understanding what matters to them in their daily life. Healthcare professionals work alongside individuals to create care that fits their personal needs, values, and wishes (McCormack and McCance, 2017).</w:t>
      </w:r>
    </w:p>
    <w:p w:rsidR="14929A20" w:rsidP="17F1EB99" w:rsidRDefault="14929A20" w14:paraId="4315135C" w14:textId="279C5A25">
      <w:pPr>
        <w:rPr>
          <w:rFonts w:ascii="Arial" w:hAnsi="Arial" w:eastAsia="Arial" w:cs="Arial"/>
          <w:noProof w:val="0"/>
          <w:color w:val="000000" w:themeColor="text1" w:themeTint="FF" w:themeShade="FF"/>
          <w:sz w:val="24"/>
          <w:szCs w:val="24"/>
          <w:lang w:val="en-GB"/>
        </w:rPr>
      </w:pPr>
      <w:r w:rsidRPr="17F1EB99" w:rsidR="14929A20">
        <w:rPr>
          <w:rFonts w:ascii="Arial" w:hAnsi="Arial" w:eastAsia="Arial" w:cs="Arial"/>
          <w:noProof w:val="0"/>
          <w:color w:val="000000" w:themeColor="text1" w:themeTint="FF" w:themeShade="FF"/>
          <w:sz w:val="24"/>
          <w:szCs w:val="24"/>
          <w:lang w:val="en-GB"/>
        </w:rPr>
        <w:t>There are several clear benefits to this approach. Patients tend to feel more respected and satisfied with their care. They are also more likely to follow through with treatment when they feel involved in the process. This can lead to better health outcomes overall (Epstein and Street, 2011).</w:t>
      </w:r>
    </w:p>
    <w:p w:rsidR="14929A20" w:rsidP="17F1EB99" w:rsidRDefault="14929A20" w14:paraId="08794497" w14:textId="7B166188">
      <w:pPr>
        <w:rPr>
          <w:rFonts w:ascii="Arial" w:hAnsi="Arial" w:eastAsia="Arial" w:cs="Arial"/>
          <w:noProof w:val="0"/>
          <w:color w:val="000000" w:themeColor="text1" w:themeTint="FF" w:themeShade="FF"/>
          <w:sz w:val="24"/>
          <w:szCs w:val="24"/>
          <w:lang w:val="en-GB"/>
        </w:rPr>
      </w:pPr>
      <w:r w:rsidRPr="17F1EB99" w:rsidR="14929A20">
        <w:rPr>
          <w:rFonts w:ascii="Arial" w:hAnsi="Arial" w:eastAsia="Arial" w:cs="Arial"/>
          <w:noProof w:val="0"/>
          <w:color w:val="000000" w:themeColor="text1" w:themeTint="FF" w:themeShade="FF"/>
          <w:sz w:val="24"/>
          <w:szCs w:val="24"/>
          <w:lang w:val="en-GB"/>
        </w:rPr>
        <w:t>However, there are also limitations to consider. Busy healthcare environments often leave staff with little time to give each person the attention they deserve. Some professionals may not have received enough training in this approach. People with memory problems or difficulty communicating may also find it harder to take part fully (</w:t>
      </w:r>
      <w:r w:rsidRPr="17F1EB99" w:rsidR="14929A20">
        <w:rPr>
          <w:rFonts w:ascii="Arial" w:hAnsi="Arial" w:eastAsia="Arial" w:cs="Arial"/>
          <w:noProof w:val="0"/>
          <w:color w:val="000000" w:themeColor="text1" w:themeTint="FF" w:themeShade="FF"/>
          <w:sz w:val="24"/>
          <w:szCs w:val="24"/>
          <w:lang w:val="en-GB"/>
        </w:rPr>
        <w:t>Kitwood</w:t>
      </w:r>
      <w:r w:rsidRPr="17F1EB99" w:rsidR="14929A20">
        <w:rPr>
          <w:rFonts w:ascii="Arial" w:hAnsi="Arial" w:eastAsia="Arial" w:cs="Arial"/>
          <w:noProof w:val="0"/>
          <w:color w:val="000000" w:themeColor="text1" w:themeTint="FF" w:themeShade="FF"/>
          <w:sz w:val="24"/>
          <w:szCs w:val="24"/>
          <w:lang w:val="en-GB"/>
        </w:rPr>
        <w:t>, 1997).</w:t>
      </w:r>
    </w:p>
    <w:p w:rsidR="17F1EB99" w:rsidP="17F1EB99" w:rsidRDefault="17F1EB99" w14:paraId="03D6BAFB" w14:textId="53A6E4DF">
      <w:pPr>
        <w:rPr>
          <w:rFonts w:ascii="Arial" w:hAnsi="Arial" w:eastAsia="Arial" w:cs="Arial"/>
          <w:noProof w:val="0"/>
          <w:color w:val="000000" w:themeColor="text1" w:themeTint="FF" w:themeShade="FF"/>
          <w:sz w:val="24"/>
          <w:szCs w:val="24"/>
          <w:lang w:val="en-GB"/>
        </w:rPr>
      </w:pPr>
    </w:p>
    <w:p w:rsidR="3A7DAB82" w:rsidP="17F1EB99" w:rsidRDefault="3A7DAB82" w14:paraId="7712A7D4" w14:textId="2C2E2D75">
      <w:pPr>
        <w:rPr>
          <w:rFonts w:ascii="Arial" w:hAnsi="Arial" w:eastAsia="Arial" w:cs="Arial"/>
          <w:noProof w:val="0"/>
          <w:color w:val="000000" w:themeColor="text1" w:themeTint="FF" w:themeShade="FF"/>
          <w:sz w:val="24"/>
          <w:szCs w:val="24"/>
          <w:lang w:val="en-GB"/>
        </w:rPr>
      </w:pPr>
      <w:r w:rsidRPr="17F1EB99" w:rsidR="3A7DAB82">
        <w:rPr>
          <w:rFonts w:ascii="Arial" w:hAnsi="Arial" w:eastAsia="Arial" w:cs="Arial"/>
          <w:noProof w:val="0"/>
          <w:color w:val="000000" w:themeColor="text1" w:themeTint="FF" w:themeShade="FF"/>
          <w:sz w:val="24"/>
          <w:szCs w:val="24"/>
          <w:lang w:val="en-GB"/>
        </w:rPr>
        <w:t>Maslow's Hierarchy of Needs, created in 1943, suggests that human needs are met in a set order. Starting from basic needs like food and shelter, people then move through safety, relationships, and self-worth, before reaching their full potential at the top (Maslow, 1943). Although this theory is taught widely in health and social care, it has real weaknesses that can get in the way of person-centred care (PCC) in practice.</w:t>
      </w:r>
    </w:p>
    <w:p w:rsidR="3A7DAB82" w:rsidP="17F1EB99" w:rsidRDefault="3A7DAB82" w14:paraId="1892658C" w14:textId="765E7DDF">
      <w:pPr>
        <w:rPr>
          <w:rFonts w:ascii="Arial" w:hAnsi="Arial" w:eastAsia="Arial" w:cs="Arial"/>
          <w:noProof w:val="0"/>
          <w:color w:val="000000" w:themeColor="text1" w:themeTint="FF" w:themeShade="FF"/>
          <w:sz w:val="24"/>
          <w:szCs w:val="24"/>
          <w:lang w:val="en-GB"/>
        </w:rPr>
      </w:pPr>
      <w:r w:rsidRPr="17F1EB99" w:rsidR="3A7DAB82">
        <w:rPr>
          <w:rFonts w:ascii="Arial" w:hAnsi="Arial" w:eastAsia="Arial" w:cs="Arial"/>
          <w:noProof w:val="0"/>
          <w:color w:val="000000" w:themeColor="text1" w:themeTint="FF" w:themeShade="FF"/>
          <w:sz w:val="24"/>
          <w:szCs w:val="24"/>
          <w:lang w:val="en-GB"/>
        </w:rPr>
        <w:t>One of the biggest problems is the strict step-by-step structure. Maslow believed a person could not focus on higher needs until the lower ones were completely met. But people do not work that way. Someone might deeply value their dignity or their relationships even when they are struggling to meet basic needs (Kenrick et al., 2010). If a practitioner follows this model too closely, they may decide what a patient needs without actually asking them, which goes against everything PCC stands for.</w:t>
      </w:r>
    </w:p>
    <w:p w:rsidR="3A7DAB82" w:rsidP="17F1EB99" w:rsidRDefault="3A7DAB82" w14:paraId="6672EEB9" w14:textId="1E61178C">
      <w:pPr>
        <w:rPr>
          <w:rFonts w:ascii="Arial" w:hAnsi="Arial" w:eastAsia="Arial" w:cs="Arial"/>
          <w:noProof w:val="0"/>
          <w:color w:val="000000" w:themeColor="text1" w:themeTint="FF" w:themeShade="FF"/>
          <w:sz w:val="24"/>
          <w:szCs w:val="24"/>
          <w:lang w:val="en-GB"/>
        </w:rPr>
      </w:pPr>
      <w:r w:rsidRPr="17F1EB99" w:rsidR="3A7DAB82">
        <w:rPr>
          <w:rFonts w:ascii="Arial" w:hAnsi="Arial" w:eastAsia="Arial" w:cs="Arial"/>
          <w:noProof w:val="0"/>
          <w:color w:val="000000" w:themeColor="text1" w:themeTint="FF" w:themeShade="FF"/>
          <w:sz w:val="24"/>
          <w:szCs w:val="24"/>
          <w:lang w:val="en-GB"/>
        </w:rPr>
        <w:t>There is also a cultural problem with the theory. Maslow based his ideas mostly on the lives of Western, educated, and fairly comfortable people. This means the model does not reflect the values and priorities of people from different cultures or backgrounds (Gambrel and Cianci, 2003). In a diverse care setting, using it without question could mean some patients feel misunderstood or overlooked.</w:t>
      </w:r>
    </w:p>
    <w:p w:rsidR="3A7DAB82" w:rsidP="17F1EB99" w:rsidRDefault="3A7DAB82" w14:paraId="66DF5DD8" w14:textId="2059A9F0">
      <w:pPr>
        <w:rPr>
          <w:rFonts w:ascii="Arial" w:hAnsi="Arial" w:eastAsia="Arial" w:cs="Arial"/>
          <w:noProof w:val="0"/>
          <w:color w:val="000000" w:themeColor="text1" w:themeTint="FF" w:themeShade="FF"/>
          <w:sz w:val="24"/>
          <w:szCs w:val="24"/>
          <w:lang w:val="en-GB"/>
        </w:rPr>
      </w:pPr>
      <w:r w:rsidRPr="17F1EB99" w:rsidR="3A7DAB82">
        <w:rPr>
          <w:rFonts w:ascii="Arial" w:hAnsi="Arial" w:eastAsia="Arial" w:cs="Arial"/>
          <w:noProof w:val="0"/>
          <w:color w:val="000000" w:themeColor="text1" w:themeTint="FF" w:themeShade="FF"/>
          <w:sz w:val="24"/>
          <w:szCs w:val="24"/>
          <w:lang w:val="en-GB"/>
        </w:rPr>
        <w:t>Lastly, the theory gives the practitioner the power to decide where a person sits on the hierarchy. This takes control away from the patient, which directly contradicts the goal of shared decision-making that sits at the heart of PCC.</w:t>
      </w:r>
    </w:p>
    <w:p w:rsidR="17F1EB99" w:rsidP="17F1EB99" w:rsidRDefault="17F1EB99" w14:paraId="5E343442" w14:textId="1E510069">
      <w:pPr>
        <w:pStyle w:val="Normal"/>
        <w:rPr>
          <w:rFonts w:ascii="Arial" w:hAnsi="Arial" w:eastAsia="Arial" w:cs="Arial"/>
          <w:noProof w:val="0"/>
          <w:color w:val="000000" w:themeColor="text1" w:themeTint="FF" w:themeShade="FF"/>
          <w:sz w:val="24"/>
          <w:szCs w:val="24"/>
          <w:lang w:val="en-GB"/>
        </w:rPr>
      </w:pPr>
    </w:p>
    <w:p w:rsidR="17F1EB99" w:rsidP="17F1EB99" w:rsidRDefault="17F1EB99" w14:paraId="1DEEC7F8" w14:textId="247C4D09">
      <w:pPr>
        <w:rPr>
          <w:rFonts w:ascii="Arial" w:hAnsi="Arial" w:eastAsia="Arial" w:cs="Arial"/>
          <w:sz w:val="24"/>
          <w:szCs w:val="24"/>
        </w:rPr>
      </w:pPr>
    </w:p>
    <w:p w:rsidR="1B28B478" w:rsidP="17F1EB99" w:rsidRDefault="1B28B478" w14:paraId="69D96D68" w14:textId="29E83321">
      <w:pPr>
        <w:rPr>
          <w:rFonts w:ascii="Arial" w:hAnsi="Arial" w:eastAsia="Arial" w:cs="Arial"/>
          <w:b w:val="1"/>
          <w:bCs w:val="1"/>
          <w:noProof w:val="0"/>
          <w:color w:val="000000" w:themeColor="text1" w:themeTint="FF" w:themeShade="FF"/>
          <w:sz w:val="24"/>
          <w:szCs w:val="24"/>
          <w:lang w:val="en-GB"/>
        </w:rPr>
      </w:pPr>
      <w:r w:rsidRPr="17F1EB99" w:rsidR="1B28B478">
        <w:rPr>
          <w:rFonts w:ascii="Arial" w:hAnsi="Arial" w:eastAsia="Arial" w:cs="Arial"/>
          <w:b w:val="1"/>
          <w:bCs w:val="1"/>
          <w:noProof w:val="0"/>
          <w:color w:val="000000" w:themeColor="text1" w:themeTint="FF" w:themeShade="FF"/>
          <w:sz w:val="24"/>
          <w:szCs w:val="24"/>
          <w:lang w:val="en-GB"/>
        </w:rPr>
        <w:t>The Ethical Fundamentals of Health and Social Care</w:t>
      </w:r>
    </w:p>
    <w:p w:rsidR="1B28B478" w:rsidP="17F1EB99" w:rsidRDefault="1B28B478" w14:paraId="324F96BB" w14:textId="74A8828A">
      <w:pPr>
        <w:rPr>
          <w:rFonts w:ascii="Arial" w:hAnsi="Arial" w:eastAsia="Arial" w:cs="Arial"/>
          <w:noProof w:val="0"/>
          <w:color w:val="000000" w:themeColor="text1" w:themeTint="FF" w:themeShade="FF"/>
          <w:sz w:val="24"/>
          <w:szCs w:val="24"/>
          <w:lang w:val="en-GB"/>
        </w:rPr>
      </w:pPr>
      <w:r w:rsidRPr="17F1EB99" w:rsidR="1B28B478">
        <w:rPr>
          <w:rFonts w:ascii="Arial" w:hAnsi="Arial" w:eastAsia="Arial" w:cs="Arial"/>
          <w:noProof w:val="0"/>
          <w:color w:val="000000" w:themeColor="text1" w:themeTint="FF" w:themeShade="FF"/>
          <w:sz w:val="24"/>
          <w:szCs w:val="24"/>
          <w:lang w:val="en-GB"/>
        </w:rPr>
        <w:t>Ethics in health and social care is about doing what is right for the people who need support. There are four main principles that guide ethical practice: autonomy, beneficence, non-maleficence, and justice. These were set out by Beauchamp and Childress (2013) and are still used today as the foundation of ethical decision-making across care settings.</w:t>
      </w:r>
    </w:p>
    <w:p w:rsidR="1B28B478" w:rsidP="17F1EB99" w:rsidRDefault="1B28B478" w14:paraId="5B55AB79" w14:textId="1D796675">
      <w:pPr>
        <w:rPr>
          <w:rFonts w:ascii="Arial" w:hAnsi="Arial" w:eastAsia="Arial" w:cs="Arial"/>
          <w:noProof w:val="0"/>
          <w:color w:val="000000" w:themeColor="text1" w:themeTint="FF" w:themeShade="FF"/>
          <w:sz w:val="24"/>
          <w:szCs w:val="24"/>
          <w:lang w:val="en-GB"/>
        </w:rPr>
      </w:pPr>
      <w:r w:rsidRPr="17F1EB99" w:rsidR="1B28B478">
        <w:rPr>
          <w:rFonts w:ascii="Arial" w:hAnsi="Arial" w:eastAsia="Arial" w:cs="Arial"/>
          <w:noProof w:val="0"/>
          <w:color w:val="000000" w:themeColor="text1" w:themeTint="FF" w:themeShade="FF"/>
          <w:sz w:val="24"/>
          <w:szCs w:val="24"/>
          <w:lang w:val="en-GB"/>
        </w:rPr>
        <w:t>Autonomy means respecting a person's right to make their own choices about their care. This includes giving people clear and honest information so they can make informed decisions. When practitioners ignore a patient's wishes or make decisions for them without consent, they are breaking this principle. In person-centred care, autonomy is central because every individual has the right to be in control of their own life (Beauchamp and Childress, 2013).</w:t>
      </w:r>
    </w:p>
    <w:p w:rsidR="1B28B478" w:rsidP="17F1EB99" w:rsidRDefault="1B28B478" w14:paraId="615C30C2" w14:textId="5357DE77">
      <w:pPr>
        <w:rPr>
          <w:rFonts w:ascii="Arial" w:hAnsi="Arial" w:eastAsia="Arial" w:cs="Arial"/>
          <w:noProof w:val="0"/>
          <w:color w:val="000000" w:themeColor="text1" w:themeTint="FF" w:themeShade="FF"/>
          <w:sz w:val="24"/>
          <w:szCs w:val="24"/>
          <w:lang w:val="en-GB"/>
        </w:rPr>
      </w:pPr>
      <w:r w:rsidRPr="17F1EB99" w:rsidR="1B28B478">
        <w:rPr>
          <w:rFonts w:ascii="Arial" w:hAnsi="Arial" w:eastAsia="Arial" w:cs="Arial"/>
          <w:noProof w:val="0"/>
          <w:color w:val="000000" w:themeColor="text1" w:themeTint="FF" w:themeShade="FF"/>
          <w:sz w:val="24"/>
          <w:szCs w:val="24"/>
          <w:lang w:val="en-GB"/>
        </w:rPr>
        <w:t>Beneficence means always acting in the best interest of the person receiving care. Practitioners have a duty to provide support that genuinely helps and improves the wellbeing of those they work with. This goes beyond just treating illness. It also includes emotional, social, and practical support that makes a real difference to someone's quality of life (Banks, 2012).</w:t>
      </w:r>
    </w:p>
    <w:p w:rsidR="1B28B478" w:rsidP="17F1EB99" w:rsidRDefault="1B28B478" w14:paraId="0913BD71" w14:textId="663429D1">
      <w:pPr>
        <w:rPr>
          <w:rFonts w:ascii="Arial" w:hAnsi="Arial" w:eastAsia="Arial" w:cs="Arial"/>
          <w:noProof w:val="0"/>
          <w:color w:val="000000" w:themeColor="text1" w:themeTint="FF" w:themeShade="FF"/>
          <w:sz w:val="24"/>
          <w:szCs w:val="24"/>
          <w:lang w:val="en-GB"/>
        </w:rPr>
      </w:pPr>
      <w:r w:rsidRPr="17F1EB99" w:rsidR="1B28B478">
        <w:rPr>
          <w:rFonts w:ascii="Arial" w:hAnsi="Arial" w:eastAsia="Arial" w:cs="Arial"/>
          <w:noProof w:val="0"/>
          <w:color w:val="000000" w:themeColor="text1" w:themeTint="FF" w:themeShade="FF"/>
          <w:sz w:val="24"/>
          <w:szCs w:val="24"/>
          <w:lang w:val="en-GB"/>
        </w:rPr>
        <w:t>Non-maleficence means doing no harm. Every decision made in care should avoid causing unnecessary pain, distress, or damage to a person's dignity. This principle reminds practitioners to think carefully before acting and to always weigh up the risks of any treatment or intervention.</w:t>
      </w:r>
    </w:p>
    <w:p w:rsidR="1B28B478" w:rsidP="17F1EB99" w:rsidRDefault="1B28B478" w14:paraId="5C526EE7" w14:textId="78C8F53C">
      <w:pPr>
        <w:rPr>
          <w:rFonts w:ascii="Arial" w:hAnsi="Arial" w:eastAsia="Arial" w:cs="Arial"/>
          <w:noProof w:val="0"/>
          <w:color w:val="000000" w:themeColor="text1" w:themeTint="FF" w:themeShade="FF"/>
          <w:sz w:val="24"/>
          <w:szCs w:val="24"/>
          <w:lang w:val="en-GB"/>
        </w:rPr>
      </w:pPr>
      <w:r w:rsidRPr="17F1EB99" w:rsidR="1B28B478">
        <w:rPr>
          <w:rFonts w:ascii="Arial" w:hAnsi="Arial" w:eastAsia="Arial" w:cs="Arial"/>
          <w:noProof w:val="0"/>
          <w:color w:val="000000" w:themeColor="text1" w:themeTint="FF" w:themeShade="FF"/>
          <w:sz w:val="24"/>
          <w:szCs w:val="24"/>
          <w:lang w:val="en-GB"/>
        </w:rPr>
        <w:t>Justice means treating everyone fairly and equally, regardless of their background, age, gender, or beliefs. In health and social care, this means making sure resources and support are shared in a way that is fair to all (Donnelly, 2014). Discrimination of any kind goes against this principle and undermines ethical practice.</w:t>
      </w:r>
    </w:p>
    <w:p w:rsidR="1B28B478" w:rsidP="17F1EB99" w:rsidRDefault="1B28B478" w14:paraId="6C9C432E" w14:textId="71B622D2">
      <w:pPr>
        <w:rPr>
          <w:rFonts w:ascii="Arial" w:hAnsi="Arial" w:eastAsia="Arial" w:cs="Arial"/>
          <w:noProof w:val="0"/>
          <w:color w:val="000000" w:themeColor="text1" w:themeTint="FF" w:themeShade="FF"/>
          <w:sz w:val="24"/>
          <w:szCs w:val="24"/>
          <w:lang w:val="en-GB"/>
        </w:rPr>
      </w:pPr>
      <w:r w:rsidRPr="17F1EB99" w:rsidR="1B28B478">
        <w:rPr>
          <w:rFonts w:ascii="Arial" w:hAnsi="Arial" w:eastAsia="Arial" w:cs="Arial"/>
          <w:noProof w:val="0"/>
          <w:color w:val="000000" w:themeColor="text1" w:themeTint="FF" w:themeShade="FF"/>
          <w:sz w:val="24"/>
          <w:szCs w:val="24"/>
          <w:lang w:val="en-GB"/>
        </w:rPr>
        <w:t>Together, these four principles create a strong ethical framework that places the person at the centre of all care decisions.</w:t>
      </w:r>
    </w:p>
    <w:p w:rsidR="17F1EB99" w:rsidP="17F1EB99" w:rsidRDefault="17F1EB99" w14:paraId="7AF7F5DC" w14:textId="6726A32B">
      <w:pPr>
        <w:rPr>
          <w:rFonts w:ascii="Arial" w:hAnsi="Arial" w:eastAsia="Arial" w:cs="Arial"/>
          <w:noProof w:val="0"/>
          <w:color w:val="000000" w:themeColor="text1" w:themeTint="FF" w:themeShade="FF"/>
          <w:sz w:val="24"/>
          <w:szCs w:val="24"/>
          <w:lang w:val="en-GB"/>
        </w:rPr>
      </w:pPr>
    </w:p>
    <w:p w:rsidR="155814AF" w:rsidP="17F1EB99" w:rsidRDefault="155814AF" w14:paraId="46BFCD15" w14:textId="69AD97DF">
      <w:pPr>
        <w:rPr>
          <w:rFonts w:ascii="Arial" w:hAnsi="Arial" w:eastAsia="Arial" w:cs="Arial"/>
          <w:b w:val="1"/>
          <w:bCs w:val="1"/>
          <w:noProof w:val="0"/>
          <w:color w:val="000000" w:themeColor="text1" w:themeTint="FF" w:themeShade="FF"/>
          <w:sz w:val="24"/>
          <w:szCs w:val="24"/>
          <w:lang w:val="en-GB"/>
        </w:rPr>
      </w:pPr>
      <w:r w:rsidRPr="17F1EB99" w:rsidR="155814AF">
        <w:rPr>
          <w:rFonts w:ascii="Arial" w:hAnsi="Arial" w:eastAsia="Arial" w:cs="Arial"/>
          <w:b w:val="1"/>
          <w:bCs w:val="1"/>
          <w:noProof w:val="0"/>
          <w:color w:val="000000" w:themeColor="text1" w:themeTint="FF" w:themeShade="FF"/>
          <w:sz w:val="24"/>
          <w:szCs w:val="24"/>
          <w:lang w:val="en-GB"/>
        </w:rPr>
        <w:t>Partnership Working in Health and Social Care</w:t>
      </w:r>
    </w:p>
    <w:p w:rsidR="155814AF" w:rsidP="17F1EB99" w:rsidRDefault="155814AF" w14:paraId="3162C968" w14:textId="191878E2">
      <w:pPr>
        <w:rPr>
          <w:rFonts w:ascii="Arial" w:hAnsi="Arial" w:eastAsia="Arial" w:cs="Arial"/>
          <w:noProof w:val="0"/>
          <w:color w:val="000000" w:themeColor="text1" w:themeTint="FF" w:themeShade="FF"/>
          <w:sz w:val="24"/>
          <w:szCs w:val="24"/>
          <w:lang w:val="en-GB"/>
        </w:rPr>
      </w:pPr>
      <w:r w:rsidRPr="17F1EB99" w:rsidR="155814AF">
        <w:rPr>
          <w:rFonts w:ascii="Arial" w:hAnsi="Arial" w:eastAsia="Arial" w:cs="Arial"/>
          <w:noProof w:val="0"/>
          <w:color w:val="000000" w:themeColor="text1" w:themeTint="FF" w:themeShade="FF"/>
          <w:sz w:val="24"/>
          <w:szCs w:val="24"/>
          <w:lang w:val="en-GB"/>
        </w:rPr>
        <w:t>Partnership working means different services, organisations, and professionals coming together to support a person's health and social care needs. Rather than each service working separately, partnership working encourages teams to share information, communicate openly, and make decisions together for the benefit of the individual (Glasby and Dickinson, 2014).</w:t>
      </w:r>
    </w:p>
    <w:p w:rsidR="155814AF" w:rsidP="17F1EB99" w:rsidRDefault="155814AF" w14:paraId="512FF2D5" w14:textId="10F26312">
      <w:pPr>
        <w:rPr>
          <w:rFonts w:ascii="Arial" w:hAnsi="Arial" w:eastAsia="Arial" w:cs="Arial"/>
          <w:noProof w:val="0"/>
          <w:color w:val="000000" w:themeColor="text1" w:themeTint="FF" w:themeShade="FF"/>
          <w:sz w:val="24"/>
          <w:szCs w:val="24"/>
          <w:lang w:val="en-GB"/>
        </w:rPr>
      </w:pPr>
      <w:r w:rsidRPr="17F1EB99" w:rsidR="155814AF">
        <w:rPr>
          <w:rFonts w:ascii="Arial" w:hAnsi="Arial" w:eastAsia="Arial" w:cs="Arial"/>
          <w:noProof w:val="0"/>
          <w:color w:val="000000" w:themeColor="text1" w:themeTint="FF" w:themeShade="FF"/>
          <w:sz w:val="24"/>
          <w:szCs w:val="24"/>
          <w:lang w:val="en-GB"/>
        </w:rPr>
        <w:t>One of the greatest strengths of partnership working is that it leads to more joined-up care. When professionals such as nurses, social workers, and mental health teams work together, they get a fuller picture of a person's needs. This reduces the risk of important information being missed and helps avoid situations where a person falls through the gaps between services (Leathard, 2003).</w:t>
      </w:r>
    </w:p>
    <w:p w:rsidR="155814AF" w:rsidP="17F1EB99" w:rsidRDefault="155814AF" w14:paraId="110D4704" w14:textId="65247882">
      <w:pPr>
        <w:rPr>
          <w:rFonts w:ascii="Arial" w:hAnsi="Arial" w:eastAsia="Arial" w:cs="Arial"/>
          <w:noProof w:val="0"/>
          <w:color w:val="000000" w:themeColor="text1" w:themeTint="FF" w:themeShade="FF"/>
          <w:sz w:val="24"/>
          <w:szCs w:val="24"/>
          <w:lang w:val="en-GB"/>
        </w:rPr>
      </w:pPr>
      <w:r w:rsidRPr="17F1EB99" w:rsidR="155814AF">
        <w:rPr>
          <w:rFonts w:ascii="Arial" w:hAnsi="Arial" w:eastAsia="Arial" w:cs="Arial"/>
          <w:noProof w:val="0"/>
          <w:color w:val="000000" w:themeColor="text1" w:themeTint="FF" w:themeShade="FF"/>
          <w:sz w:val="24"/>
          <w:szCs w:val="24"/>
          <w:lang w:val="en-GB"/>
        </w:rPr>
        <w:t>Partnership working also puts the individual at the centre. When families, carers, and the person themselves are included as partners in care planning, decisions are more likely to reflect what truly matters to that person. This directly supports the values of person-centred care and promotes dignity and respect.</w:t>
      </w:r>
    </w:p>
    <w:p w:rsidR="155814AF" w:rsidP="17F1EB99" w:rsidRDefault="155814AF" w14:paraId="6307DE5B" w14:textId="01960379">
      <w:pPr>
        <w:rPr>
          <w:rFonts w:ascii="Arial" w:hAnsi="Arial" w:eastAsia="Arial" w:cs="Arial"/>
          <w:noProof w:val="0"/>
          <w:color w:val="000000" w:themeColor="text1" w:themeTint="FF" w:themeShade="FF"/>
          <w:sz w:val="24"/>
          <w:szCs w:val="24"/>
          <w:lang w:val="en-GB"/>
        </w:rPr>
      </w:pPr>
      <w:r w:rsidRPr="17F1EB99" w:rsidR="155814AF">
        <w:rPr>
          <w:rFonts w:ascii="Arial" w:hAnsi="Arial" w:eastAsia="Arial" w:cs="Arial"/>
          <w:noProof w:val="0"/>
          <w:color w:val="000000" w:themeColor="text1" w:themeTint="FF" w:themeShade="FF"/>
          <w:sz w:val="24"/>
          <w:szCs w:val="24"/>
          <w:lang w:val="en-GB"/>
        </w:rPr>
        <w:t>However, partnership working does have limitations. Differences in professional cultures, priorities, and ways of working can create tension between teams. Poor communication, unclear roles, and limited resources can all get in the way of effective collaboration (Hudson, 2002). When these issues are not addressed, the quality of care can suffer.</w:t>
      </w:r>
    </w:p>
    <w:p w:rsidR="155814AF" w:rsidP="17F1EB99" w:rsidRDefault="155814AF" w14:paraId="3C590421" w14:textId="7342A5C4">
      <w:pPr>
        <w:rPr>
          <w:rFonts w:ascii="Arial" w:hAnsi="Arial" w:eastAsia="Arial" w:cs="Arial"/>
          <w:noProof w:val="0"/>
          <w:color w:val="000000" w:themeColor="text1" w:themeTint="FF" w:themeShade="FF"/>
          <w:sz w:val="24"/>
          <w:szCs w:val="24"/>
          <w:lang w:val="en-GB"/>
        </w:rPr>
      </w:pPr>
      <w:r w:rsidRPr="17F1EB99" w:rsidR="155814AF">
        <w:rPr>
          <w:rFonts w:ascii="Arial" w:hAnsi="Arial" w:eastAsia="Arial" w:cs="Arial"/>
          <w:noProof w:val="0"/>
          <w:color w:val="000000" w:themeColor="text1" w:themeTint="FF" w:themeShade="FF"/>
          <w:sz w:val="24"/>
          <w:szCs w:val="24"/>
          <w:lang w:val="en-GB"/>
        </w:rPr>
        <w:t>Despite these challenges, the evidence strongly suggests that when partnership working is done well, it improves outcomes for individuals and makes better use of the resources available across health and social care services.</w:t>
      </w:r>
    </w:p>
    <w:p w:rsidR="17F1EB99" w:rsidP="17F1EB99" w:rsidRDefault="17F1EB99" w14:paraId="67429A2E" w14:textId="4112DED6">
      <w:pPr>
        <w:rPr>
          <w:rFonts w:ascii="Arial" w:hAnsi="Arial" w:eastAsia="Arial" w:cs="Arial"/>
          <w:noProof w:val="0"/>
          <w:color w:val="000000" w:themeColor="text1" w:themeTint="FF" w:themeShade="FF"/>
          <w:sz w:val="24"/>
          <w:szCs w:val="24"/>
          <w:lang w:val="en-GB"/>
        </w:rPr>
      </w:pPr>
    </w:p>
    <w:p w:rsidR="03C40771" w:rsidP="17F1EB99" w:rsidRDefault="03C40771" w14:paraId="7DEF9CBE" w14:textId="14268CAE">
      <w:pPr>
        <w:rPr>
          <w:rFonts w:ascii="Arial" w:hAnsi="Arial" w:eastAsia="Arial" w:cs="Arial"/>
          <w:b w:val="1"/>
          <w:bCs w:val="1"/>
          <w:noProof w:val="0"/>
          <w:color w:val="000000" w:themeColor="text1" w:themeTint="FF" w:themeShade="FF"/>
          <w:sz w:val="24"/>
          <w:szCs w:val="24"/>
          <w:lang w:val="en-GB"/>
        </w:rPr>
      </w:pPr>
      <w:r w:rsidRPr="17F1EB99" w:rsidR="03C40771">
        <w:rPr>
          <w:rFonts w:ascii="Arial" w:hAnsi="Arial" w:eastAsia="Arial" w:cs="Arial"/>
          <w:b w:val="1"/>
          <w:bCs w:val="1"/>
          <w:noProof w:val="0"/>
          <w:color w:val="000000" w:themeColor="text1" w:themeTint="FF" w:themeShade="FF"/>
          <w:sz w:val="24"/>
          <w:szCs w:val="24"/>
          <w:lang w:val="en-GB"/>
        </w:rPr>
        <w:t>Partnership Working in a Dementia Care Setting</w:t>
      </w:r>
    </w:p>
    <w:p w:rsidR="03C40771" w:rsidP="17F1EB99" w:rsidRDefault="03C40771" w14:paraId="193994DB" w14:textId="5F8D6691">
      <w:pPr>
        <w:rPr>
          <w:rFonts w:ascii="Arial" w:hAnsi="Arial" w:eastAsia="Arial" w:cs="Arial"/>
          <w:noProof w:val="0"/>
          <w:color w:val="000000" w:themeColor="text1" w:themeTint="FF" w:themeShade="FF"/>
          <w:sz w:val="24"/>
          <w:szCs w:val="24"/>
          <w:lang w:val="en-GB"/>
        </w:rPr>
      </w:pPr>
      <w:r w:rsidRPr="17F1EB99" w:rsidR="03C40771">
        <w:rPr>
          <w:rFonts w:ascii="Arial" w:hAnsi="Arial" w:eastAsia="Arial" w:cs="Arial"/>
          <w:noProof w:val="0"/>
          <w:color w:val="000000" w:themeColor="text1" w:themeTint="FF" w:themeShade="FF"/>
          <w:sz w:val="24"/>
          <w:szCs w:val="24"/>
          <w:lang w:val="en-GB"/>
        </w:rPr>
        <w:t>Dementia care is one of the clearest examples of where partnership working is not just helpful but essential. People living with dementia often have complex needs that no single service can meet alone. They may require medical support, personal care, mental health input, housing assistance, and emotional support for both themselves and their families. This makes strong partnership working between professionals, services, and families absolutely necessary (Glasby and Dickinson, 2014).</w:t>
      </w:r>
    </w:p>
    <w:p w:rsidR="03C40771" w:rsidP="17F1EB99" w:rsidRDefault="03C40771" w14:paraId="102C10DE" w14:textId="3BD20492">
      <w:pPr>
        <w:rPr>
          <w:rFonts w:ascii="Arial" w:hAnsi="Arial" w:eastAsia="Arial" w:cs="Arial"/>
          <w:noProof w:val="0"/>
          <w:color w:val="000000" w:themeColor="text1" w:themeTint="FF" w:themeShade="FF"/>
          <w:sz w:val="24"/>
          <w:szCs w:val="24"/>
          <w:lang w:val="en-GB"/>
        </w:rPr>
      </w:pPr>
      <w:r w:rsidRPr="17F1EB99" w:rsidR="03C40771">
        <w:rPr>
          <w:rFonts w:ascii="Arial" w:hAnsi="Arial" w:eastAsia="Arial" w:cs="Arial"/>
          <w:noProof w:val="0"/>
          <w:color w:val="000000" w:themeColor="text1" w:themeTint="FF" w:themeShade="FF"/>
          <w:sz w:val="24"/>
          <w:szCs w:val="24"/>
          <w:lang w:val="en-GB"/>
        </w:rPr>
        <w:t>In a dementia care setting, partnership working typically involves a range of professionals including GPs, community nurses, social workers, occupational therapists, and memory clinic specialists. Each professional brings a different area of knowledge. When these teams communicate regularly and share information effectively, they are able to build a much clearer picture of the person's needs and how best to support them. This joined-up approach helps to avoid repeated assessments and reduces unnecessary stress for the individual and their family (Manthorpe and Iliffe, 2016).</w:t>
      </w:r>
    </w:p>
    <w:p w:rsidR="03C40771" w:rsidP="17F1EB99" w:rsidRDefault="03C40771" w14:paraId="6A2231F7" w14:textId="2241E9EC">
      <w:pPr>
        <w:rPr>
          <w:rFonts w:ascii="Arial" w:hAnsi="Arial" w:eastAsia="Arial" w:cs="Arial"/>
          <w:noProof w:val="0"/>
          <w:color w:val="000000" w:themeColor="text1" w:themeTint="FF" w:themeShade="FF"/>
          <w:sz w:val="24"/>
          <w:szCs w:val="24"/>
          <w:lang w:val="en-GB"/>
        </w:rPr>
      </w:pPr>
      <w:r w:rsidRPr="17F1EB99" w:rsidR="03C40771">
        <w:rPr>
          <w:rFonts w:ascii="Arial" w:hAnsi="Arial" w:eastAsia="Arial" w:cs="Arial"/>
          <w:noProof w:val="0"/>
          <w:color w:val="000000" w:themeColor="text1" w:themeTint="FF" w:themeShade="FF"/>
          <w:sz w:val="24"/>
          <w:szCs w:val="24"/>
          <w:lang w:val="en-GB"/>
        </w:rPr>
        <w:t>Family members and carers also play a vital role in this partnership. They often know the person better than any professional and can provide important information about changes in behaviour, daily routines, and personal preferences. Including them in care planning meetings ensures that decisions reflect the real lived experience of the person with dementia, keeping their wishes and dignity at the centre of all care (Kitwood, 1997).</w:t>
      </w:r>
    </w:p>
    <w:p w:rsidR="03C40771" w:rsidP="17F1EB99" w:rsidRDefault="03C40771" w14:paraId="74325DDE" w14:textId="6A613CBB">
      <w:pPr>
        <w:rPr>
          <w:rFonts w:ascii="Arial" w:hAnsi="Arial" w:eastAsia="Arial" w:cs="Arial"/>
          <w:noProof w:val="0"/>
          <w:color w:val="000000" w:themeColor="text1" w:themeTint="FF" w:themeShade="FF"/>
          <w:sz w:val="24"/>
          <w:szCs w:val="24"/>
          <w:lang w:val="en-GB"/>
        </w:rPr>
      </w:pPr>
      <w:r w:rsidRPr="17F1EB99" w:rsidR="03C40771">
        <w:rPr>
          <w:rFonts w:ascii="Arial" w:hAnsi="Arial" w:eastAsia="Arial" w:cs="Arial"/>
          <w:noProof w:val="0"/>
          <w:color w:val="000000" w:themeColor="text1" w:themeTint="FF" w:themeShade="FF"/>
          <w:sz w:val="24"/>
          <w:szCs w:val="24"/>
          <w:lang w:val="en-GB"/>
        </w:rPr>
        <w:t>However, challenges do exist. In busy NHS and social care environments, time pressures and high caseloads can make regular communication between teams difficult. Different organisations may also use separate record systems, making it harder to share information quickly and safely. When these barriers are not addressed, gaps in care can develop that put vulnerable individuals at greater risk.</w:t>
      </w:r>
    </w:p>
    <w:p w:rsidR="03C40771" w:rsidP="17F1EB99" w:rsidRDefault="03C40771" w14:paraId="50B108E8" w14:textId="26FF4332">
      <w:pPr>
        <w:rPr>
          <w:rFonts w:ascii="Arial" w:hAnsi="Arial" w:eastAsia="Arial" w:cs="Arial"/>
          <w:noProof w:val="0"/>
          <w:color w:val="000000" w:themeColor="text1" w:themeTint="FF" w:themeShade="FF"/>
          <w:sz w:val="24"/>
          <w:szCs w:val="24"/>
          <w:lang w:val="en-GB"/>
        </w:rPr>
      </w:pPr>
      <w:r w:rsidRPr="17F1EB99" w:rsidR="03C40771">
        <w:rPr>
          <w:rFonts w:ascii="Arial" w:hAnsi="Arial" w:eastAsia="Arial" w:cs="Arial"/>
          <w:noProof w:val="0"/>
          <w:color w:val="000000" w:themeColor="text1" w:themeTint="FF" w:themeShade="FF"/>
          <w:sz w:val="24"/>
          <w:szCs w:val="24"/>
          <w:lang w:val="en-GB"/>
        </w:rPr>
        <w:t>Despite these difficulties, evidence from dementia care settings consistently shows that when professionals, families, and services work closely together, the person living with dementia experiences better quality care, greater stability, and a stronger sense of being understood and valued.</w:t>
      </w:r>
    </w:p>
    <w:p w:rsidR="17F1EB99" w:rsidP="17F1EB99" w:rsidRDefault="17F1EB99" w14:paraId="5BBEEB01" w14:textId="4B860398">
      <w:pPr>
        <w:rPr>
          <w:rFonts w:ascii="Arial" w:hAnsi="Arial" w:eastAsia="Arial" w:cs="Arial"/>
          <w:noProof w:val="0"/>
          <w:color w:val="000000" w:themeColor="text1" w:themeTint="FF" w:themeShade="FF"/>
          <w:sz w:val="24"/>
          <w:szCs w:val="24"/>
          <w:lang w:val="en-GB"/>
        </w:rPr>
      </w:pPr>
    </w:p>
    <w:p w:rsidR="2CA7BB75" w:rsidP="17F1EB99" w:rsidRDefault="2CA7BB75" w14:paraId="7B8954F2" w14:textId="5D736A2E">
      <w:pPr>
        <w:rPr>
          <w:rFonts w:ascii="Arial" w:hAnsi="Arial" w:eastAsia="Arial" w:cs="Arial"/>
          <w:b w:val="1"/>
          <w:bCs w:val="1"/>
          <w:noProof w:val="0"/>
          <w:color w:val="000000" w:themeColor="text1" w:themeTint="FF" w:themeShade="FF"/>
          <w:sz w:val="24"/>
          <w:szCs w:val="24"/>
          <w:lang w:val="en-GB"/>
        </w:rPr>
      </w:pPr>
      <w:r w:rsidRPr="17F1EB99" w:rsidR="2CA7BB75">
        <w:rPr>
          <w:rFonts w:ascii="Arial" w:hAnsi="Arial" w:eastAsia="Arial" w:cs="Arial"/>
          <w:b w:val="1"/>
          <w:bCs w:val="1"/>
          <w:noProof w:val="0"/>
          <w:color w:val="000000" w:themeColor="text1" w:themeTint="FF" w:themeShade="FF"/>
          <w:sz w:val="24"/>
          <w:szCs w:val="24"/>
          <w:lang w:val="en-GB"/>
        </w:rPr>
        <w:t>Policy and Legislation in Relation to Person-Centred Care and Partnership Working</w:t>
      </w:r>
    </w:p>
    <w:p w:rsidR="2CA7BB75" w:rsidP="17F1EB99" w:rsidRDefault="2CA7BB75" w14:paraId="2F1590DB" w14:textId="73178972">
      <w:pPr>
        <w:rPr>
          <w:rFonts w:ascii="Arial" w:hAnsi="Arial" w:eastAsia="Arial" w:cs="Arial"/>
          <w:noProof w:val="0"/>
          <w:color w:val="000000" w:themeColor="text1" w:themeTint="FF" w:themeShade="FF"/>
          <w:sz w:val="24"/>
          <w:szCs w:val="24"/>
          <w:lang w:val="en-GB"/>
        </w:rPr>
      </w:pPr>
      <w:r w:rsidRPr="17F1EB99" w:rsidR="2CA7BB75">
        <w:rPr>
          <w:rFonts w:ascii="Arial" w:hAnsi="Arial" w:eastAsia="Arial" w:cs="Arial"/>
          <w:noProof w:val="0"/>
          <w:color w:val="000000" w:themeColor="text1" w:themeTint="FF" w:themeShade="FF"/>
          <w:sz w:val="24"/>
          <w:szCs w:val="24"/>
          <w:lang w:val="en-GB"/>
        </w:rPr>
        <w:t>Policy and legislation play a very important role in shaping how health and social care is delivered. They set out the standards and expectations that services must follow to make sure people are treated with dignity, respect, and fairness. Several key pieces of legislation directly support both person-centred care (PCC) and partnership working (PW) in practice.</w:t>
      </w:r>
    </w:p>
    <w:p w:rsidR="2CA7BB75" w:rsidP="17F1EB99" w:rsidRDefault="2CA7BB75" w14:paraId="22ABA842" w14:textId="1E5C52D6">
      <w:pPr>
        <w:rPr>
          <w:rFonts w:ascii="Arial" w:hAnsi="Arial" w:eastAsia="Arial" w:cs="Arial"/>
          <w:noProof w:val="0"/>
          <w:color w:val="000000" w:themeColor="text1" w:themeTint="FF" w:themeShade="FF"/>
          <w:sz w:val="24"/>
          <w:szCs w:val="24"/>
          <w:lang w:val="en-GB"/>
        </w:rPr>
      </w:pPr>
      <w:r w:rsidRPr="17F1EB99" w:rsidR="2CA7BB75">
        <w:rPr>
          <w:rFonts w:ascii="Arial" w:hAnsi="Arial" w:eastAsia="Arial" w:cs="Arial"/>
          <w:noProof w:val="0"/>
          <w:color w:val="000000" w:themeColor="text1" w:themeTint="FF" w:themeShade="FF"/>
          <w:sz w:val="24"/>
          <w:szCs w:val="24"/>
          <w:lang w:val="en-GB"/>
        </w:rPr>
        <w:t>The Care Act 2014 is one of the most significant pieces of legislation in social care in England. It places a legal duty on local authorities to promote the wellbeing of individuals and to involve them in decisions about their own care and support. The Act makes clear that services must consider the whole person, including their physical, emotional, and social needs, rather than focusing only on their condition or diagnosis (Braye and Preston-Shoot, 2016). This directly reflects the values of PCC by putting the individual at the heart of all planning and decision-making.</w:t>
      </w:r>
    </w:p>
    <w:p w:rsidR="2CA7BB75" w:rsidP="17F1EB99" w:rsidRDefault="2CA7BB75" w14:paraId="762984CF" w14:textId="488E805A">
      <w:pPr>
        <w:rPr>
          <w:rFonts w:ascii="Arial" w:hAnsi="Arial" w:eastAsia="Arial" w:cs="Arial"/>
          <w:noProof w:val="0"/>
          <w:color w:val="000000" w:themeColor="text1" w:themeTint="FF" w:themeShade="FF"/>
          <w:sz w:val="24"/>
          <w:szCs w:val="24"/>
          <w:lang w:val="en-GB"/>
        </w:rPr>
      </w:pPr>
      <w:r w:rsidRPr="17F1EB99" w:rsidR="2CA7BB75">
        <w:rPr>
          <w:rFonts w:ascii="Arial" w:hAnsi="Arial" w:eastAsia="Arial" w:cs="Arial"/>
          <w:noProof w:val="0"/>
          <w:color w:val="000000" w:themeColor="text1" w:themeTint="FF" w:themeShade="FF"/>
          <w:sz w:val="24"/>
          <w:szCs w:val="24"/>
          <w:lang w:val="en-GB"/>
        </w:rPr>
        <w:t>The Care Act 2014 also strengthens partnership working by requiring local authorities to work closely with health services, housing, and other organisations to meet a person's needs effectively. It introduced the concept of care and support planning, which brings together different professionals and the individual themselves to agree on the best way forward. This joined-up approach reduces duplication and helps ensure that nothing important is missed.</w:t>
      </w:r>
    </w:p>
    <w:p w:rsidR="2CA7BB75" w:rsidP="17F1EB99" w:rsidRDefault="2CA7BB75" w14:paraId="0E6AF38C" w14:textId="0C37F36D">
      <w:pPr>
        <w:rPr>
          <w:rFonts w:ascii="Arial" w:hAnsi="Arial" w:eastAsia="Arial" w:cs="Arial"/>
          <w:noProof w:val="0"/>
          <w:color w:val="000000" w:themeColor="text1" w:themeTint="FF" w:themeShade="FF"/>
          <w:sz w:val="24"/>
          <w:szCs w:val="24"/>
          <w:lang w:val="en-GB"/>
        </w:rPr>
      </w:pPr>
      <w:r w:rsidRPr="17F1EB99" w:rsidR="2CA7BB75">
        <w:rPr>
          <w:rFonts w:ascii="Arial" w:hAnsi="Arial" w:eastAsia="Arial" w:cs="Arial"/>
          <w:noProof w:val="0"/>
          <w:color w:val="000000" w:themeColor="text1" w:themeTint="FF" w:themeShade="FF"/>
          <w:sz w:val="24"/>
          <w:szCs w:val="24"/>
          <w:lang w:val="en-GB"/>
        </w:rPr>
        <w:t>The Health and Social Care Act 2012 brought significant changes to the structure of the NHS in England. It created Clinical Commissioning Groups (CCGs), which were made up of GPs and other clinicians responsible for planning and purchasing health services for their local communities. One of the key aims of this Act was to encourage greater collaboration between health and social care organisations, breaking down the barriers that had historically kept these services apart (Thistlethwaite, 2012). By promoting integration, the Act laid important groundwork for more effective partnership working across services.</w:t>
      </w:r>
    </w:p>
    <w:p w:rsidR="2CA7BB75" w:rsidP="17F1EB99" w:rsidRDefault="2CA7BB75" w14:paraId="1308CE1C" w14:textId="7C2494B0">
      <w:pPr>
        <w:rPr>
          <w:rFonts w:ascii="Arial" w:hAnsi="Arial" w:eastAsia="Arial" w:cs="Arial"/>
          <w:noProof w:val="0"/>
          <w:color w:val="000000" w:themeColor="text1" w:themeTint="FF" w:themeShade="FF"/>
          <w:sz w:val="24"/>
          <w:szCs w:val="24"/>
          <w:lang w:val="en-GB"/>
        </w:rPr>
      </w:pPr>
      <w:r w:rsidRPr="17F1EB99" w:rsidR="2CA7BB75">
        <w:rPr>
          <w:rFonts w:ascii="Arial" w:hAnsi="Arial" w:eastAsia="Arial" w:cs="Arial"/>
          <w:noProof w:val="0"/>
          <w:color w:val="000000" w:themeColor="text1" w:themeTint="FF" w:themeShade="FF"/>
          <w:sz w:val="24"/>
          <w:szCs w:val="24"/>
          <w:lang w:val="en-GB"/>
        </w:rPr>
        <w:t>The Mental Capacity Act 2005 is another piece of legislation that strongly supports PCC. It protects the rights of people who may have difficulty making decisions for themselves, such as those living with dementia, learning disabilities, or mental health conditions. The Act sets out a clear framework for assessing capacity and making decisions in a person's best interests when they are unable to do so themselves. Crucially, it requires that every effort is made to support the person to be involved in decisions about their own life before anyone else steps in to decide for them (Brown, 2011). This keeps the individual at the centre even in the most challenging circumstances.</w:t>
      </w:r>
    </w:p>
    <w:p w:rsidR="2CA7BB75" w:rsidP="17F1EB99" w:rsidRDefault="2CA7BB75" w14:paraId="37A574A3" w14:textId="1B6D0A3E">
      <w:pPr>
        <w:rPr>
          <w:rFonts w:ascii="Arial" w:hAnsi="Arial" w:eastAsia="Arial" w:cs="Arial"/>
          <w:noProof w:val="0"/>
          <w:color w:val="000000" w:themeColor="text1" w:themeTint="FF" w:themeShade="FF"/>
          <w:sz w:val="24"/>
          <w:szCs w:val="24"/>
          <w:lang w:val="en-GB"/>
        </w:rPr>
      </w:pPr>
      <w:r w:rsidRPr="17F1EB99" w:rsidR="2CA7BB75">
        <w:rPr>
          <w:rFonts w:ascii="Arial" w:hAnsi="Arial" w:eastAsia="Arial" w:cs="Arial"/>
          <w:noProof w:val="0"/>
          <w:color w:val="000000" w:themeColor="text1" w:themeTint="FF" w:themeShade="FF"/>
          <w:sz w:val="24"/>
          <w:szCs w:val="24"/>
          <w:lang w:val="en-GB"/>
        </w:rPr>
        <w:t>The NHS Long Term Plan, published in 2019, further reinforced the importance of both PCC and partnership working. It set out a vision for more personalised care, giving people greater control over their health and the support they receive. It also emphasised the need for integrated care systems where NHS organisations, local councils, and voluntary sector services work together as one connected team around the individual. This policy direction clearly shows that both PCC and PW are not just good practice but are now expected as a standard across the health and social care system.</w:t>
      </w:r>
    </w:p>
    <w:p w:rsidR="2CA7BB75" w:rsidP="17F1EB99" w:rsidRDefault="2CA7BB75" w14:paraId="463B01EE" w14:textId="7A5250D8">
      <w:pPr>
        <w:rPr>
          <w:rFonts w:ascii="Arial" w:hAnsi="Arial" w:eastAsia="Arial" w:cs="Arial"/>
          <w:noProof w:val="0"/>
          <w:color w:val="000000" w:themeColor="text1" w:themeTint="FF" w:themeShade="FF"/>
          <w:sz w:val="24"/>
          <w:szCs w:val="24"/>
          <w:lang w:val="en-GB"/>
        </w:rPr>
      </w:pPr>
      <w:r w:rsidRPr="17F1EB99" w:rsidR="2CA7BB75">
        <w:rPr>
          <w:rFonts w:ascii="Arial" w:hAnsi="Arial" w:eastAsia="Arial" w:cs="Arial"/>
          <w:noProof w:val="0"/>
          <w:color w:val="000000" w:themeColor="text1" w:themeTint="FF" w:themeShade="FF"/>
          <w:sz w:val="24"/>
          <w:szCs w:val="24"/>
          <w:lang w:val="en-GB"/>
        </w:rPr>
        <w:t xml:space="preserve">Together, these policies and pieces of legislation create a strong framework that supports professionals to deliver care that is respectful, </w:t>
      </w:r>
      <w:r w:rsidRPr="17F1EB99" w:rsidR="2CA7BB75">
        <w:rPr>
          <w:rFonts w:ascii="Arial" w:hAnsi="Arial" w:eastAsia="Arial" w:cs="Arial"/>
          <w:noProof w:val="0"/>
          <w:color w:val="000000" w:themeColor="text1" w:themeTint="FF" w:themeShade="FF"/>
          <w:sz w:val="24"/>
          <w:szCs w:val="24"/>
          <w:lang w:val="en-GB"/>
        </w:rPr>
        <w:t>joined-up</w:t>
      </w:r>
      <w:r w:rsidRPr="17F1EB99" w:rsidR="2CA7BB75">
        <w:rPr>
          <w:rFonts w:ascii="Arial" w:hAnsi="Arial" w:eastAsia="Arial" w:cs="Arial"/>
          <w:noProof w:val="0"/>
          <w:color w:val="000000" w:themeColor="text1" w:themeTint="FF" w:themeShade="FF"/>
          <w:sz w:val="24"/>
          <w:szCs w:val="24"/>
          <w:lang w:val="en-GB"/>
        </w:rPr>
        <w:t>, and truly focused on the needs of the individual.</w:t>
      </w:r>
      <w:r w:rsidRPr="17F1EB99" w:rsidR="4BE426A8">
        <w:rPr>
          <w:rFonts w:ascii="Arial" w:hAnsi="Arial" w:eastAsia="Arial" w:cs="Arial"/>
          <w:noProof w:val="0"/>
          <w:color w:val="000000" w:themeColor="text1" w:themeTint="FF" w:themeShade="FF"/>
          <w:sz w:val="24"/>
          <w:szCs w:val="24"/>
          <w:lang w:val="en-GB"/>
        </w:rPr>
        <w:t xml:space="preserve"> </w:t>
      </w:r>
    </w:p>
    <w:p w:rsidR="5CAE681C" w:rsidP="17F1EB99" w:rsidRDefault="5CAE681C" w14:paraId="7C407E46" w14:textId="34192147">
      <w:pPr>
        <w:pStyle w:val="Normal"/>
        <w:rPr>
          <w:rFonts w:ascii="Arial" w:hAnsi="Arial" w:eastAsia="Arial" w:cs="Arial"/>
          <w:noProof w:val="0"/>
          <w:color w:val="000000" w:themeColor="text1" w:themeTint="FF" w:themeShade="FF"/>
          <w:sz w:val="24"/>
          <w:szCs w:val="24"/>
          <w:lang w:val="en-GB"/>
        </w:rPr>
      </w:pPr>
      <w:r w:rsidRPr="17F1EB99" w:rsidR="5CAE681C">
        <w:rPr>
          <w:rFonts w:ascii="Arial" w:hAnsi="Arial" w:eastAsia="Arial" w:cs="Arial"/>
          <w:noProof w:val="0"/>
          <w:color w:val="000000" w:themeColor="text1" w:themeTint="FF" w:themeShade="FF"/>
          <w:sz w:val="24"/>
          <w:szCs w:val="24"/>
          <w:lang w:val="en-GB"/>
        </w:rPr>
        <w:t>While progress has been made, health and social care services in the UK still face serious pressures. To move forward, staff need better training in shared decision-making and communication (Frenk et al., 2010). Integrated Care Systems must be strengthened so that all services genuinely work together rather than in isolation (Ham, 2018). Communities should be empowered through social prescribing and peer support, giving people more control over their own care. Finally, people with lived experience must be included in shaping services through co-production, ensuring care truly reflects the needs of those it serves (Foot and Hopkins, 2010).</w:t>
      </w:r>
    </w:p>
    <w:p w:rsidR="17F1EB99" w:rsidP="17F1EB99" w:rsidRDefault="17F1EB99" w14:paraId="0ADE1A88" w14:textId="1E123D4A">
      <w:pPr>
        <w:rPr>
          <w:rFonts w:ascii="Arial" w:hAnsi="Arial" w:eastAsia="Arial" w:cs="Arial"/>
          <w:noProof w:val="0"/>
          <w:color w:val="000000" w:themeColor="text1" w:themeTint="FF" w:themeShade="FF"/>
          <w:sz w:val="24"/>
          <w:szCs w:val="24"/>
          <w:lang w:val="en-GB"/>
        </w:rPr>
      </w:pPr>
    </w:p>
    <w:p w:rsidR="17F1EB99" w:rsidP="17F1EB99" w:rsidRDefault="17F1EB99" w14:paraId="0B4C626C" w14:textId="5A71F45A">
      <w:pPr>
        <w:rPr>
          <w:rFonts w:ascii="Arial" w:hAnsi="Arial" w:eastAsia="Arial" w:cs="Arial"/>
          <w:noProof w:val="0"/>
          <w:color w:val="000000" w:themeColor="text1" w:themeTint="FF" w:themeShade="FF"/>
          <w:sz w:val="24"/>
          <w:szCs w:val="24"/>
          <w:lang w:val="en-GB"/>
        </w:rPr>
      </w:pPr>
    </w:p>
    <w:p w:rsidR="14929A20" w:rsidP="17F1EB99" w:rsidRDefault="14929A20" w14:paraId="35F5FCE0" w14:textId="08D405A2">
      <w:pPr>
        <w:pStyle w:val="Normal"/>
        <w:rPr>
          <w:rFonts w:ascii="Arial" w:hAnsi="Arial" w:eastAsia="Arial" w:cs="Arial"/>
          <w:b w:val="1"/>
          <w:bCs w:val="1"/>
          <w:noProof w:val="0"/>
          <w:color w:val="000000" w:themeColor="text1" w:themeTint="FF" w:themeShade="FF"/>
          <w:sz w:val="24"/>
          <w:szCs w:val="24"/>
          <w:lang w:val="en-GB"/>
        </w:rPr>
      </w:pPr>
      <w:r w:rsidRPr="17F1EB99" w:rsidR="14929A20">
        <w:rPr>
          <w:rFonts w:ascii="Arial" w:hAnsi="Arial" w:eastAsia="Arial" w:cs="Arial"/>
          <w:b w:val="1"/>
          <w:bCs w:val="1"/>
          <w:noProof w:val="0"/>
          <w:color w:val="000000" w:themeColor="text1" w:themeTint="FF" w:themeShade="FF"/>
          <w:sz w:val="24"/>
          <w:szCs w:val="24"/>
          <w:lang w:val="en-GB"/>
        </w:rPr>
        <w:t>References</w:t>
      </w:r>
    </w:p>
    <w:p w:rsidR="14929A20" w:rsidP="17F1EB99" w:rsidRDefault="14929A20" w14:paraId="28B9973C" w14:textId="70D46C82">
      <w:pPr>
        <w:rPr>
          <w:rFonts w:ascii="Arial" w:hAnsi="Arial" w:eastAsia="Arial" w:cs="Arial"/>
          <w:noProof w:val="0"/>
          <w:color w:val="000000" w:themeColor="text1" w:themeTint="FF" w:themeShade="FF"/>
          <w:sz w:val="24"/>
          <w:szCs w:val="24"/>
          <w:lang w:val="en-GB"/>
        </w:rPr>
      </w:pPr>
      <w:r w:rsidRPr="17F1EB99" w:rsidR="14929A20">
        <w:rPr>
          <w:rFonts w:ascii="Arial" w:hAnsi="Arial" w:eastAsia="Arial" w:cs="Arial"/>
          <w:noProof w:val="0"/>
          <w:color w:val="000000" w:themeColor="text1" w:themeTint="FF" w:themeShade="FF"/>
          <w:sz w:val="24"/>
          <w:szCs w:val="24"/>
          <w:lang w:val="en-GB"/>
        </w:rPr>
        <w:t xml:space="preserve">Epstein, R.M. and Street, R.L. (2011) 'The values and value of patient-centered care', </w:t>
      </w:r>
      <w:r w:rsidRPr="17F1EB99" w:rsidR="14929A20">
        <w:rPr>
          <w:rFonts w:ascii="Arial" w:hAnsi="Arial" w:eastAsia="Arial" w:cs="Arial"/>
          <w:i w:val="1"/>
          <w:iCs w:val="1"/>
          <w:noProof w:val="0"/>
          <w:color w:val="000000" w:themeColor="text1" w:themeTint="FF" w:themeShade="FF"/>
          <w:sz w:val="24"/>
          <w:szCs w:val="24"/>
          <w:lang w:val="en-GB"/>
        </w:rPr>
        <w:t>Annals of Family Medicine</w:t>
      </w:r>
      <w:r w:rsidRPr="17F1EB99" w:rsidR="14929A20">
        <w:rPr>
          <w:rFonts w:ascii="Arial" w:hAnsi="Arial" w:eastAsia="Arial" w:cs="Arial"/>
          <w:noProof w:val="0"/>
          <w:color w:val="000000" w:themeColor="text1" w:themeTint="FF" w:themeShade="FF"/>
          <w:sz w:val="24"/>
          <w:szCs w:val="24"/>
          <w:lang w:val="en-GB"/>
        </w:rPr>
        <w:t>, 9(2), pp. 100–103.</w:t>
      </w:r>
    </w:p>
    <w:p w:rsidR="14929A20" w:rsidP="17F1EB99" w:rsidRDefault="14929A20" w14:paraId="51C8296C" w14:textId="5B6BC83B">
      <w:pPr>
        <w:rPr>
          <w:rFonts w:ascii="Arial" w:hAnsi="Arial" w:eastAsia="Arial" w:cs="Arial"/>
          <w:noProof w:val="0"/>
          <w:color w:val="000000" w:themeColor="text1" w:themeTint="FF" w:themeShade="FF"/>
          <w:sz w:val="24"/>
          <w:szCs w:val="24"/>
          <w:lang w:val="en-GB"/>
        </w:rPr>
      </w:pPr>
      <w:r w:rsidRPr="17F1EB99" w:rsidR="14929A20">
        <w:rPr>
          <w:rFonts w:ascii="Arial" w:hAnsi="Arial" w:eastAsia="Arial" w:cs="Arial"/>
          <w:noProof w:val="0"/>
          <w:color w:val="000000" w:themeColor="text1" w:themeTint="FF" w:themeShade="FF"/>
          <w:sz w:val="24"/>
          <w:szCs w:val="24"/>
          <w:lang w:val="en-GB"/>
        </w:rPr>
        <w:t xml:space="preserve">Kitwood, T. (1997) </w:t>
      </w:r>
      <w:r w:rsidRPr="17F1EB99" w:rsidR="14929A20">
        <w:rPr>
          <w:rFonts w:ascii="Arial" w:hAnsi="Arial" w:eastAsia="Arial" w:cs="Arial"/>
          <w:i w:val="1"/>
          <w:iCs w:val="1"/>
          <w:noProof w:val="0"/>
          <w:color w:val="000000" w:themeColor="text1" w:themeTint="FF" w:themeShade="FF"/>
          <w:sz w:val="24"/>
          <w:szCs w:val="24"/>
          <w:lang w:val="en-GB"/>
        </w:rPr>
        <w:t>Dementia reconsidered: the person comes first</w:t>
      </w:r>
      <w:r w:rsidRPr="17F1EB99" w:rsidR="14929A20">
        <w:rPr>
          <w:rFonts w:ascii="Arial" w:hAnsi="Arial" w:eastAsia="Arial" w:cs="Arial"/>
          <w:noProof w:val="0"/>
          <w:color w:val="000000" w:themeColor="text1" w:themeTint="FF" w:themeShade="FF"/>
          <w:sz w:val="24"/>
          <w:szCs w:val="24"/>
          <w:lang w:val="en-GB"/>
        </w:rPr>
        <w:t>. Buckingham: Open University Press.</w:t>
      </w:r>
    </w:p>
    <w:p w:rsidR="14929A20" w:rsidP="17F1EB99" w:rsidRDefault="14929A20" w14:paraId="3CDBFB55" w14:textId="67F63DFA">
      <w:pPr>
        <w:rPr>
          <w:rFonts w:ascii="Arial" w:hAnsi="Arial" w:eastAsia="Arial" w:cs="Arial"/>
          <w:noProof w:val="0"/>
          <w:color w:val="000000" w:themeColor="text1" w:themeTint="FF" w:themeShade="FF"/>
          <w:sz w:val="24"/>
          <w:szCs w:val="24"/>
          <w:lang w:val="en-GB"/>
        </w:rPr>
      </w:pPr>
      <w:r w:rsidRPr="17F1EB99" w:rsidR="14929A20">
        <w:rPr>
          <w:rFonts w:ascii="Arial" w:hAnsi="Arial" w:eastAsia="Arial" w:cs="Arial"/>
          <w:noProof w:val="0"/>
          <w:color w:val="000000" w:themeColor="text1" w:themeTint="FF" w:themeShade="FF"/>
          <w:sz w:val="24"/>
          <w:szCs w:val="24"/>
          <w:lang w:val="en-GB"/>
        </w:rPr>
        <w:t xml:space="preserve">McCormack, B. and McCance, T. (2017) </w:t>
      </w:r>
      <w:r w:rsidRPr="17F1EB99" w:rsidR="14929A20">
        <w:rPr>
          <w:rFonts w:ascii="Arial" w:hAnsi="Arial" w:eastAsia="Arial" w:cs="Arial"/>
          <w:i w:val="1"/>
          <w:iCs w:val="1"/>
          <w:noProof w:val="0"/>
          <w:color w:val="000000" w:themeColor="text1" w:themeTint="FF" w:themeShade="FF"/>
          <w:sz w:val="24"/>
          <w:szCs w:val="24"/>
          <w:lang w:val="en-GB"/>
        </w:rPr>
        <w:t>Person-centred practice in nursing and health care: theory and practice</w:t>
      </w:r>
      <w:r w:rsidRPr="17F1EB99" w:rsidR="14929A20">
        <w:rPr>
          <w:rFonts w:ascii="Arial" w:hAnsi="Arial" w:eastAsia="Arial" w:cs="Arial"/>
          <w:noProof w:val="0"/>
          <w:color w:val="000000" w:themeColor="text1" w:themeTint="FF" w:themeShade="FF"/>
          <w:sz w:val="24"/>
          <w:szCs w:val="24"/>
          <w:lang w:val="en-GB"/>
        </w:rPr>
        <w:t xml:space="preserve">. 2nd </w:t>
      </w:r>
      <w:r w:rsidRPr="17F1EB99" w:rsidR="14929A20">
        <w:rPr>
          <w:rFonts w:ascii="Arial" w:hAnsi="Arial" w:eastAsia="Arial" w:cs="Arial"/>
          <w:noProof w:val="0"/>
          <w:color w:val="000000" w:themeColor="text1" w:themeTint="FF" w:themeShade="FF"/>
          <w:sz w:val="24"/>
          <w:szCs w:val="24"/>
          <w:lang w:val="en-GB"/>
        </w:rPr>
        <w:t>edn</w:t>
      </w:r>
      <w:r w:rsidRPr="17F1EB99" w:rsidR="14929A20">
        <w:rPr>
          <w:rFonts w:ascii="Arial" w:hAnsi="Arial" w:eastAsia="Arial" w:cs="Arial"/>
          <w:noProof w:val="0"/>
          <w:color w:val="000000" w:themeColor="text1" w:themeTint="FF" w:themeShade="FF"/>
          <w:sz w:val="24"/>
          <w:szCs w:val="24"/>
          <w:lang w:val="en-GB"/>
        </w:rPr>
        <w:t>. Oxford: Wiley-Blackwell.</w:t>
      </w:r>
    </w:p>
    <w:p w:rsidR="619DABB3" w:rsidP="17F1EB99" w:rsidRDefault="619DABB3" w14:paraId="1EE05867" w14:textId="53B4E699">
      <w:pPr>
        <w:rPr>
          <w:rFonts w:ascii="Arial" w:hAnsi="Arial" w:eastAsia="Arial" w:cs="Arial"/>
          <w:noProof w:val="0"/>
          <w:color w:val="000000" w:themeColor="text1" w:themeTint="FF" w:themeShade="FF"/>
          <w:sz w:val="24"/>
          <w:szCs w:val="24"/>
          <w:lang w:val="en-GB"/>
        </w:rPr>
      </w:pPr>
      <w:r w:rsidRPr="17F1EB99" w:rsidR="619DABB3">
        <w:rPr>
          <w:rFonts w:ascii="Arial" w:hAnsi="Arial" w:eastAsia="Arial" w:cs="Arial"/>
          <w:noProof w:val="0"/>
          <w:color w:val="000000" w:themeColor="text1" w:themeTint="FF" w:themeShade="FF"/>
          <w:sz w:val="24"/>
          <w:szCs w:val="24"/>
          <w:lang w:val="en-GB"/>
        </w:rPr>
        <w:t xml:space="preserve">Gambrel, P.A. and Cianci, R. (2003) 'Maslow's hierarchy of needs: does it apply in a collectivist culture?', </w:t>
      </w:r>
      <w:r w:rsidRPr="17F1EB99" w:rsidR="619DABB3">
        <w:rPr>
          <w:rFonts w:ascii="Arial" w:hAnsi="Arial" w:eastAsia="Arial" w:cs="Arial"/>
          <w:i w:val="1"/>
          <w:iCs w:val="1"/>
          <w:noProof w:val="0"/>
          <w:color w:val="000000" w:themeColor="text1" w:themeTint="FF" w:themeShade="FF"/>
          <w:sz w:val="24"/>
          <w:szCs w:val="24"/>
          <w:lang w:val="en-GB"/>
        </w:rPr>
        <w:t>Journal of Applied Management and Entrepreneurship</w:t>
      </w:r>
      <w:r w:rsidRPr="17F1EB99" w:rsidR="619DABB3">
        <w:rPr>
          <w:rFonts w:ascii="Arial" w:hAnsi="Arial" w:eastAsia="Arial" w:cs="Arial"/>
          <w:noProof w:val="0"/>
          <w:color w:val="000000" w:themeColor="text1" w:themeTint="FF" w:themeShade="FF"/>
          <w:sz w:val="24"/>
          <w:szCs w:val="24"/>
          <w:lang w:val="en-GB"/>
        </w:rPr>
        <w:t>, 8(2), pp. 143–161.</w:t>
      </w:r>
    </w:p>
    <w:p w:rsidR="619DABB3" w:rsidP="17F1EB99" w:rsidRDefault="619DABB3" w14:paraId="74E3B6D5" w14:textId="798618B8">
      <w:pPr>
        <w:rPr>
          <w:rFonts w:ascii="Arial" w:hAnsi="Arial" w:eastAsia="Arial" w:cs="Arial"/>
          <w:noProof w:val="0"/>
          <w:color w:val="000000" w:themeColor="text1" w:themeTint="FF" w:themeShade="FF"/>
          <w:sz w:val="24"/>
          <w:szCs w:val="24"/>
          <w:lang w:val="en-GB"/>
        </w:rPr>
      </w:pPr>
      <w:r w:rsidRPr="17F1EB99" w:rsidR="619DABB3">
        <w:rPr>
          <w:rFonts w:ascii="Arial" w:hAnsi="Arial" w:eastAsia="Arial" w:cs="Arial"/>
          <w:noProof w:val="0"/>
          <w:color w:val="000000" w:themeColor="text1" w:themeTint="FF" w:themeShade="FF"/>
          <w:sz w:val="24"/>
          <w:szCs w:val="24"/>
          <w:lang w:val="en-GB"/>
        </w:rPr>
        <w:t xml:space="preserve">Kenrick, D.T., Griskevicius, V., Neuberg, S.L. and Schaller, M. (2010) 'Renovating the pyramid of needs', </w:t>
      </w:r>
      <w:r w:rsidRPr="17F1EB99" w:rsidR="619DABB3">
        <w:rPr>
          <w:rFonts w:ascii="Arial" w:hAnsi="Arial" w:eastAsia="Arial" w:cs="Arial"/>
          <w:i w:val="1"/>
          <w:iCs w:val="1"/>
          <w:noProof w:val="0"/>
          <w:color w:val="000000" w:themeColor="text1" w:themeTint="FF" w:themeShade="FF"/>
          <w:sz w:val="24"/>
          <w:szCs w:val="24"/>
          <w:lang w:val="en-GB"/>
        </w:rPr>
        <w:t>Perspectives on Psychological Science</w:t>
      </w:r>
      <w:r w:rsidRPr="17F1EB99" w:rsidR="619DABB3">
        <w:rPr>
          <w:rFonts w:ascii="Arial" w:hAnsi="Arial" w:eastAsia="Arial" w:cs="Arial"/>
          <w:noProof w:val="0"/>
          <w:color w:val="000000" w:themeColor="text1" w:themeTint="FF" w:themeShade="FF"/>
          <w:sz w:val="24"/>
          <w:szCs w:val="24"/>
          <w:lang w:val="en-GB"/>
        </w:rPr>
        <w:t>, 5(3), pp. 292–314.</w:t>
      </w:r>
    </w:p>
    <w:p w:rsidR="619DABB3" w:rsidP="17F1EB99" w:rsidRDefault="619DABB3" w14:paraId="5663F761" w14:textId="2B6374D7">
      <w:pPr>
        <w:rPr>
          <w:rFonts w:ascii="Arial" w:hAnsi="Arial" w:eastAsia="Arial" w:cs="Arial"/>
          <w:noProof w:val="0"/>
          <w:color w:val="000000" w:themeColor="text1" w:themeTint="FF" w:themeShade="FF"/>
          <w:sz w:val="24"/>
          <w:szCs w:val="24"/>
          <w:lang w:val="en-GB"/>
        </w:rPr>
      </w:pPr>
      <w:r w:rsidRPr="17F1EB99" w:rsidR="619DABB3">
        <w:rPr>
          <w:rFonts w:ascii="Arial" w:hAnsi="Arial" w:eastAsia="Arial" w:cs="Arial"/>
          <w:noProof w:val="0"/>
          <w:color w:val="000000" w:themeColor="text1" w:themeTint="FF" w:themeShade="FF"/>
          <w:sz w:val="24"/>
          <w:szCs w:val="24"/>
          <w:lang w:val="en-GB"/>
        </w:rPr>
        <w:t xml:space="preserve">Maslow, A.H. (1943) 'A theory of human motivation', </w:t>
      </w:r>
      <w:r w:rsidRPr="17F1EB99" w:rsidR="619DABB3">
        <w:rPr>
          <w:rFonts w:ascii="Arial" w:hAnsi="Arial" w:eastAsia="Arial" w:cs="Arial"/>
          <w:i w:val="1"/>
          <w:iCs w:val="1"/>
          <w:noProof w:val="0"/>
          <w:color w:val="000000" w:themeColor="text1" w:themeTint="FF" w:themeShade="FF"/>
          <w:sz w:val="24"/>
          <w:szCs w:val="24"/>
          <w:lang w:val="en-GB"/>
        </w:rPr>
        <w:t>Psychological Review</w:t>
      </w:r>
      <w:r w:rsidRPr="17F1EB99" w:rsidR="619DABB3">
        <w:rPr>
          <w:rFonts w:ascii="Arial" w:hAnsi="Arial" w:eastAsia="Arial" w:cs="Arial"/>
          <w:noProof w:val="0"/>
          <w:color w:val="000000" w:themeColor="text1" w:themeTint="FF" w:themeShade="FF"/>
          <w:sz w:val="24"/>
          <w:szCs w:val="24"/>
          <w:lang w:val="en-GB"/>
        </w:rPr>
        <w:t>, 50(4), pp. 370–396.</w:t>
      </w:r>
    </w:p>
    <w:p w:rsidR="03C0EAB8" w:rsidP="17F1EB99" w:rsidRDefault="03C0EAB8" w14:paraId="2F7919C5" w14:textId="25107EB9">
      <w:pPr>
        <w:rPr>
          <w:rFonts w:ascii="Arial" w:hAnsi="Arial" w:eastAsia="Arial" w:cs="Arial"/>
          <w:noProof w:val="0"/>
          <w:color w:val="000000" w:themeColor="text1" w:themeTint="FF" w:themeShade="FF"/>
          <w:sz w:val="24"/>
          <w:szCs w:val="24"/>
          <w:lang w:val="en-GB"/>
        </w:rPr>
      </w:pPr>
      <w:r w:rsidRPr="17F1EB99" w:rsidR="03C0EAB8">
        <w:rPr>
          <w:rFonts w:ascii="Arial" w:hAnsi="Arial" w:eastAsia="Arial" w:cs="Arial"/>
          <w:noProof w:val="0"/>
          <w:color w:val="000000" w:themeColor="text1" w:themeTint="FF" w:themeShade="FF"/>
          <w:sz w:val="24"/>
          <w:szCs w:val="24"/>
          <w:lang w:val="en-GB"/>
        </w:rPr>
        <w:t xml:space="preserve">Banks, S. (2012) </w:t>
      </w:r>
      <w:r w:rsidRPr="17F1EB99" w:rsidR="03C0EAB8">
        <w:rPr>
          <w:rFonts w:ascii="Arial" w:hAnsi="Arial" w:eastAsia="Arial" w:cs="Arial"/>
          <w:i w:val="1"/>
          <w:iCs w:val="1"/>
          <w:noProof w:val="0"/>
          <w:color w:val="000000" w:themeColor="text1" w:themeTint="FF" w:themeShade="FF"/>
          <w:sz w:val="24"/>
          <w:szCs w:val="24"/>
          <w:lang w:val="en-GB"/>
        </w:rPr>
        <w:t>Ethics and values in social work</w:t>
      </w:r>
      <w:r w:rsidRPr="17F1EB99" w:rsidR="03C0EAB8">
        <w:rPr>
          <w:rFonts w:ascii="Arial" w:hAnsi="Arial" w:eastAsia="Arial" w:cs="Arial"/>
          <w:noProof w:val="0"/>
          <w:color w:val="000000" w:themeColor="text1" w:themeTint="FF" w:themeShade="FF"/>
          <w:sz w:val="24"/>
          <w:szCs w:val="24"/>
          <w:lang w:val="en-GB"/>
        </w:rPr>
        <w:t>. 4th edn. Basingstoke: Palgrave Macmillan.</w:t>
      </w:r>
    </w:p>
    <w:p w:rsidR="03C0EAB8" w:rsidP="17F1EB99" w:rsidRDefault="03C0EAB8" w14:paraId="0F221E16" w14:textId="5F6EB75E">
      <w:pPr>
        <w:rPr>
          <w:rFonts w:ascii="Arial" w:hAnsi="Arial" w:eastAsia="Arial" w:cs="Arial"/>
          <w:noProof w:val="0"/>
          <w:color w:val="000000" w:themeColor="text1" w:themeTint="FF" w:themeShade="FF"/>
          <w:sz w:val="24"/>
          <w:szCs w:val="24"/>
          <w:lang w:val="en-GB"/>
        </w:rPr>
      </w:pPr>
      <w:r w:rsidRPr="17F1EB99" w:rsidR="03C0EAB8">
        <w:rPr>
          <w:rFonts w:ascii="Arial" w:hAnsi="Arial" w:eastAsia="Arial" w:cs="Arial"/>
          <w:noProof w:val="0"/>
          <w:color w:val="000000" w:themeColor="text1" w:themeTint="FF" w:themeShade="FF"/>
          <w:sz w:val="24"/>
          <w:szCs w:val="24"/>
          <w:lang w:val="en-GB"/>
        </w:rPr>
        <w:t xml:space="preserve">Beauchamp, T.L. and Childress, J.F. (2013) </w:t>
      </w:r>
      <w:r w:rsidRPr="17F1EB99" w:rsidR="03C0EAB8">
        <w:rPr>
          <w:rFonts w:ascii="Arial" w:hAnsi="Arial" w:eastAsia="Arial" w:cs="Arial"/>
          <w:i w:val="1"/>
          <w:iCs w:val="1"/>
          <w:noProof w:val="0"/>
          <w:color w:val="000000" w:themeColor="text1" w:themeTint="FF" w:themeShade="FF"/>
          <w:sz w:val="24"/>
          <w:szCs w:val="24"/>
          <w:lang w:val="en-GB"/>
        </w:rPr>
        <w:t>Principles of biomedical ethics</w:t>
      </w:r>
      <w:r w:rsidRPr="17F1EB99" w:rsidR="03C0EAB8">
        <w:rPr>
          <w:rFonts w:ascii="Arial" w:hAnsi="Arial" w:eastAsia="Arial" w:cs="Arial"/>
          <w:noProof w:val="0"/>
          <w:color w:val="000000" w:themeColor="text1" w:themeTint="FF" w:themeShade="FF"/>
          <w:sz w:val="24"/>
          <w:szCs w:val="24"/>
          <w:lang w:val="en-GB"/>
        </w:rPr>
        <w:t>. 7th edn. Oxford: Oxford University Press.</w:t>
      </w:r>
    </w:p>
    <w:p w:rsidR="03C0EAB8" w:rsidP="17F1EB99" w:rsidRDefault="03C0EAB8" w14:paraId="3BB69A5D" w14:textId="6CA3B818">
      <w:pPr>
        <w:rPr>
          <w:rFonts w:ascii="Arial" w:hAnsi="Arial" w:eastAsia="Arial" w:cs="Arial"/>
          <w:noProof w:val="0"/>
          <w:color w:val="000000" w:themeColor="text1" w:themeTint="FF" w:themeShade="FF"/>
          <w:sz w:val="24"/>
          <w:szCs w:val="24"/>
          <w:lang w:val="en-GB"/>
        </w:rPr>
      </w:pPr>
      <w:r w:rsidRPr="17F1EB99" w:rsidR="03C0EAB8">
        <w:rPr>
          <w:rFonts w:ascii="Arial" w:hAnsi="Arial" w:eastAsia="Arial" w:cs="Arial"/>
          <w:noProof w:val="0"/>
          <w:color w:val="000000" w:themeColor="text1" w:themeTint="FF" w:themeShade="FF"/>
          <w:sz w:val="24"/>
          <w:szCs w:val="24"/>
          <w:lang w:val="en-GB"/>
        </w:rPr>
        <w:t xml:space="preserve">Donnelly, M. (2014) </w:t>
      </w:r>
      <w:r w:rsidRPr="17F1EB99" w:rsidR="03C0EAB8">
        <w:rPr>
          <w:rFonts w:ascii="Arial" w:hAnsi="Arial" w:eastAsia="Arial" w:cs="Arial"/>
          <w:i w:val="1"/>
          <w:iCs w:val="1"/>
          <w:noProof w:val="0"/>
          <w:color w:val="000000" w:themeColor="text1" w:themeTint="FF" w:themeShade="FF"/>
          <w:sz w:val="24"/>
          <w:szCs w:val="24"/>
          <w:lang w:val="en-GB"/>
        </w:rPr>
        <w:t>Healthcare decision-making and the law</w:t>
      </w:r>
      <w:r w:rsidRPr="17F1EB99" w:rsidR="03C0EAB8">
        <w:rPr>
          <w:rFonts w:ascii="Arial" w:hAnsi="Arial" w:eastAsia="Arial" w:cs="Arial"/>
          <w:noProof w:val="0"/>
          <w:color w:val="000000" w:themeColor="text1" w:themeTint="FF" w:themeShade="FF"/>
          <w:sz w:val="24"/>
          <w:szCs w:val="24"/>
          <w:lang w:val="en-GB"/>
        </w:rPr>
        <w:t>. Cambridge: Cambridge University Press.</w:t>
      </w:r>
    </w:p>
    <w:p w:rsidR="348D2335" w:rsidP="17F1EB99" w:rsidRDefault="348D2335" w14:paraId="2BF0C9A1" w14:textId="114835E6">
      <w:pPr>
        <w:rPr>
          <w:rFonts w:ascii="Arial" w:hAnsi="Arial" w:eastAsia="Arial" w:cs="Arial"/>
          <w:noProof w:val="0"/>
          <w:color w:val="000000" w:themeColor="text1" w:themeTint="FF" w:themeShade="FF"/>
          <w:sz w:val="24"/>
          <w:szCs w:val="24"/>
          <w:lang w:val="en-GB"/>
        </w:rPr>
      </w:pPr>
      <w:r w:rsidRPr="17F1EB99" w:rsidR="348D2335">
        <w:rPr>
          <w:rFonts w:ascii="Arial" w:hAnsi="Arial" w:eastAsia="Arial" w:cs="Arial"/>
          <w:noProof w:val="0"/>
          <w:color w:val="000000" w:themeColor="text1" w:themeTint="FF" w:themeShade="FF"/>
          <w:sz w:val="24"/>
          <w:szCs w:val="24"/>
          <w:lang w:val="en-GB"/>
        </w:rPr>
        <w:t xml:space="preserve">Glasby, J. and Dickinson, H. (2014) </w:t>
      </w:r>
      <w:r w:rsidRPr="17F1EB99" w:rsidR="348D2335">
        <w:rPr>
          <w:rFonts w:ascii="Arial" w:hAnsi="Arial" w:eastAsia="Arial" w:cs="Arial"/>
          <w:i w:val="1"/>
          <w:iCs w:val="1"/>
          <w:noProof w:val="0"/>
          <w:color w:val="000000" w:themeColor="text1" w:themeTint="FF" w:themeShade="FF"/>
          <w:sz w:val="24"/>
          <w:szCs w:val="24"/>
          <w:lang w:val="en-GB"/>
        </w:rPr>
        <w:t>Partnership working in health and social care</w:t>
      </w:r>
      <w:r w:rsidRPr="17F1EB99" w:rsidR="348D2335">
        <w:rPr>
          <w:rFonts w:ascii="Arial" w:hAnsi="Arial" w:eastAsia="Arial" w:cs="Arial"/>
          <w:noProof w:val="0"/>
          <w:color w:val="000000" w:themeColor="text1" w:themeTint="FF" w:themeShade="FF"/>
          <w:sz w:val="24"/>
          <w:szCs w:val="24"/>
          <w:lang w:val="en-GB"/>
        </w:rPr>
        <w:t>. 2nd edn. Bristol: Policy Press.</w:t>
      </w:r>
    </w:p>
    <w:p w:rsidR="348D2335" w:rsidP="17F1EB99" w:rsidRDefault="348D2335" w14:paraId="7BCDE374" w14:textId="14902310">
      <w:pPr>
        <w:rPr>
          <w:rFonts w:ascii="Arial" w:hAnsi="Arial" w:eastAsia="Arial" w:cs="Arial"/>
          <w:noProof w:val="0"/>
          <w:color w:val="000000" w:themeColor="text1" w:themeTint="FF" w:themeShade="FF"/>
          <w:sz w:val="24"/>
          <w:szCs w:val="24"/>
          <w:lang w:val="en-GB"/>
        </w:rPr>
      </w:pPr>
      <w:r w:rsidRPr="17F1EB99" w:rsidR="348D2335">
        <w:rPr>
          <w:rFonts w:ascii="Arial" w:hAnsi="Arial" w:eastAsia="Arial" w:cs="Arial"/>
          <w:noProof w:val="0"/>
          <w:color w:val="000000" w:themeColor="text1" w:themeTint="FF" w:themeShade="FF"/>
          <w:sz w:val="24"/>
          <w:szCs w:val="24"/>
          <w:lang w:val="en-GB"/>
        </w:rPr>
        <w:t xml:space="preserve">Hudson, B. (2002) 'Interprofessionality in health and social care', </w:t>
      </w:r>
      <w:r w:rsidRPr="17F1EB99" w:rsidR="348D2335">
        <w:rPr>
          <w:rFonts w:ascii="Arial" w:hAnsi="Arial" w:eastAsia="Arial" w:cs="Arial"/>
          <w:i w:val="1"/>
          <w:iCs w:val="1"/>
          <w:noProof w:val="0"/>
          <w:color w:val="000000" w:themeColor="text1" w:themeTint="FF" w:themeShade="FF"/>
          <w:sz w:val="24"/>
          <w:szCs w:val="24"/>
          <w:lang w:val="en-GB"/>
        </w:rPr>
        <w:t>Journal of Interprofessional Care</w:t>
      </w:r>
      <w:r w:rsidRPr="17F1EB99" w:rsidR="348D2335">
        <w:rPr>
          <w:rFonts w:ascii="Arial" w:hAnsi="Arial" w:eastAsia="Arial" w:cs="Arial"/>
          <w:noProof w:val="0"/>
          <w:color w:val="000000" w:themeColor="text1" w:themeTint="FF" w:themeShade="FF"/>
          <w:sz w:val="24"/>
          <w:szCs w:val="24"/>
          <w:lang w:val="en-GB"/>
        </w:rPr>
        <w:t>, 16(1), pp. 7–17.</w:t>
      </w:r>
    </w:p>
    <w:p w:rsidR="348D2335" w:rsidP="17F1EB99" w:rsidRDefault="348D2335" w14:paraId="666433F7" w14:textId="6AF12E6A">
      <w:pPr>
        <w:rPr>
          <w:rFonts w:ascii="Arial" w:hAnsi="Arial" w:eastAsia="Arial" w:cs="Arial"/>
          <w:noProof w:val="0"/>
          <w:color w:val="000000" w:themeColor="text1" w:themeTint="FF" w:themeShade="FF"/>
          <w:sz w:val="24"/>
          <w:szCs w:val="24"/>
          <w:lang w:val="en-GB"/>
        </w:rPr>
      </w:pPr>
      <w:r w:rsidRPr="17F1EB99" w:rsidR="348D2335">
        <w:rPr>
          <w:rFonts w:ascii="Arial" w:hAnsi="Arial" w:eastAsia="Arial" w:cs="Arial"/>
          <w:noProof w:val="0"/>
          <w:color w:val="000000" w:themeColor="text1" w:themeTint="FF" w:themeShade="FF"/>
          <w:sz w:val="24"/>
          <w:szCs w:val="24"/>
          <w:lang w:val="en-GB"/>
        </w:rPr>
        <w:t>Leathard</w:t>
      </w:r>
      <w:r w:rsidRPr="17F1EB99" w:rsidR="348D2335">
        <w:rPr>
          <w:rFonts w:ascii="Arial" w:hAnsi="Arial" w:eastAsia="Arial" w:cs="Arial"/>
          <w:noProof w:val="0"/>
          <w:color w:val="000000" w:themeColor="text1" w:themeTint="FF" w:themeShade="FF"/>
          <w:sz w:val="24"/>
          <w:szCs w:val="24"/>
          <w:lang w:val="en-GB"/>
        </w:rPr>
        <w:t xml:space="preserve">, A. (2003) </w:t>
      </w:r>
      <w:r w:rsidRPr="17F1EB99" w:rsidR="348D2335">
        <w:rPr>
          <w:rFonts w:ascii="Arial" w:hAnsi="Arial" w:eastAsia="Arial" w:cs="Arial"/>
          <w:i w:val="1"/>
          <w:iCs w:val="1"/>
          <w:noProof w:val="0"/>
          <w:color w:val="000000" w:themeColor="text1" w:themeTint="FF" w:themeShade="FF"/>
          <w:sz w:val="24"/>
          <w:szCs w:val="24"/>
          <w:lang w:val="en-GB"/>
        </w:rPr>
        <w:t>Interprofessional collaboration: from policy to practice in health and social care</w:t>
      </w:r>
      <w:r w:rsidRPr="17F1EB99" w:rsidR="348D2335">
        <w:rPr>
          <w:rFonts w:ascii="Arial" w:hAnsi="Arial" w:eastAsia="Arial" w:cs="Arial"/>
          <w:noProof w:val="0"/>
          <w:color w:val="000000" w:themeColor="text1" w:themeTint="FF" w:themeShade="FF"/>
          <w:sz w:val="24"/>
          <w:szCs w:val="24"/>
          <w:lang w:val="en-GB"/>
        </w:rPr>
        <w:t>. Hove: Brunner-Routledge.</w:t>
      </w:r>
    </w:p>
    <w:p w:rsidR="2DB429E1" w:rsidP="17F1EB99" w:rsidRDefault="2DB429E1" w14:paraId="32FCB3B5" w14:textId="53D43BEA">
      <w:pPr>
        <w:rPr>
          <w:rFonts w:ascii="Arial" w:hAnsi="Arial" w:eastAsia="Arial" w:cs="Arial"/>
          <w:noProof w:val="0"/>
          <w:color w:val="000000" w:themeColor="text1" w:themeTint="FF" w:themeShade="FF"/>
          <w:sz w:val="24"/>
          <w:szCs w:val="24"/>
          <w:lang w:val="en-GB"/>
        </w:rPr>
      </w:pPr>
      <w:r w:rsidRPr="17F1EB99" w:rsidR="2DB429E1">
        <w:rPr>
          <w:rFonts w:ascii="Arial" w:hAnsi="Arial" w:eastAsia="Arial" w:cs="Arial"/>
          <w:noProof w:val="0"/>
          <w:color w:val="000000" w:themeColor="text1" w:themeTint="FF" w:themeShade="FF"/>
          <w:sz w:val="24"/>
          <w:szCs w:val="24"/>
          <w:lang w:val="en-GB"/>
        </w:rPr>
        <w:t xml:space="preserve">Glasby, J. and Dickinson, H. (2014) </w:t>
      </w:r>
      <w:r w:rsidRPr="17F1EB99" w:rsidR="2DB429E1">
        <w:rPr>
          <w:rFonts w:ascii="Arial" w:hAnsi="Arial" w:eastAsia="Arial" w:cs="Arial"/>
          <w:i w:val="1"/>
          <w:iCs w:val="1"/>
          <w:noProof w:val="0"/>
          <w:color w:val="000000" w:themeColor="text1" w:themeTint="FF" w:themeShade="FF"/>
          <w:sz w:val="24"/>
          <w:szCs w:val="24"/>
          <w:lang w:val="en-GB"/>
        </w:rPr>
        <w:t>Partnership working in health and social care</w:t>
      </w:r>
      <w:r w:rsidRPr="17F1EB99" w:rsidR="2DB429E1">
        <w:rPr>
          <w:rFonts w:ascii="Arial" w:hAnsi="Arial" w:eastAsia="Arial" w:cs="Arial"/>
          <w:noProof w:val="0"/>
          <w:color w:val="000000" w:themeColor="text1" w:themeTint="FF" w:themeShade="FF"/>
          <w:sz w:val="24"/>
          <w:szCs w:val="24"/>
          <w:lang w:val="en-GB"/>
        </w:rPr>
        <w:t>. 2nd edn. Bristol: Policy Press.</w:t>
      </w:r>
    </w:p>
    <w:p w:rsidR="2DB429E1" w:rsidP="17F1EB99" w:rsidRDefault="2DB429E1" w14:paraId="6CFCF5EC" w14:textId="52084F03">
      <w:pPr>
        <w:rPr>
          <w:rFonts w:ascii="Arial" w:hAnsi="Arial" w:eastAsia="Arial" w:cs="Arial"/>
          <w:noProof w:val="0"/>
          <w:color w:val="000000" w:themeColor="text1" w:themeTint="FF" w:themeShade="FF"/>
          <w:sz w:val="24"/>
          <w:szCs w:val="24"/>
          <w:lang w:val="en-GB"/>
        </w:rPr>
      </w:pPr>
      <w:r w:rsidRPr="17F1EB99" w:rsidR="2DB429E1">
        <w:rPr>
          <w:rFonts w:ascii="Arial" w:hAnsi="Arial" w:eastAsia="Arial" w:cs="Arial"/>
          <w:noProof w:val="0"/>
          <w:color w:val="000000" w:themeColor="text1" w:themeTint="FF" w:themeShade="FF"/>
          <w:sz w:val="24"/>
          <w:szCs w:val="24"/>
          <w:lang w:val="en-GB"/>
        </w:rPr>
        <w:t xml:space="preserve">Kitwood, T. (1997) </w:t>
      </w:r>
      <w:r w:rsidRPr="17F1EB99" w:rsidR="2DB429E1">
        <w:rPr>
          <w:rFonts w:ascii="Arial" w:hAnsi="Arial" w:eastAsia="Arial" w:cs="Arial"/>
          <w:i w:val="1"/>
          <w:iCs w:val="1"/>
          <w:noProof w:val="0"/>
          <w:color w:val="000000" w:themeColor="text1" w:themeTint="FF" w:themeShade="FF"/>
          <w:sz w:val="24"/>
          <w:szCs w:val="24"/>
          <w:lang w:val="en-GB"/>
        </w:rPr>
        <w:t>Dementia reconsidered: the person comes first</w:t>
      </w:r>
      <w:r w:rsidRPr="17F1EB99" w:rsidR="2DB429E1">
        <w:rPr>
          <w:rFonts w:ascii="Arial" w:hAnsi="Arial" w:eastAsia="Arial" w:cs="Arial"/>
          <w:noProof w:val="0"/>
          <w:color w:val="000000" w:themeColor="text1" w:themeTint="FF" w:themeShade="FF"/>
          <w:sz w:val="24"/>
          <w:szCs w:val="24"/>
          <w:lang w:val="en-GB"/>
        </w:rPr>
        <w:t>. Buckingham: Open University Press.</w:t>
      </w:r>
    </w:p>
    <w:p w:rsidR="2DB429E1" w:rsidP="17F1EB99" w:rsidRDefault="2DB429E1" w14:paraId="2A5AA1D0" w14:textId="7EDBC56B">
      <w:pPr>
        <w:rPr>
          <w:rFonts w:ascii="Arial" w:hAnsi="Arial" w:eastAsia="Arial" w:cs="Arial"/>
          <w:noProof w:val="0"/>
          <w:color w:val="000000" w:themeColor="text1" w:themeTint="FF" w:themeShade="FF"/>
          <w:sz w:val="24"/>
          <w:szCs w:val="24"/>
          <w:lang w:val="en-GB"/>
        </w:rPr>
      </w:pPr>
      <w:r w:rsidRPr="17F1EB99" w:rsidR="2DB429E1">
        <w:rPr>
          <w:rFonts w:ascii="Arial" w:hAnsi="Arial" w:eastAsia="Arial" w:cs="Arial"/>
          <w:noProof w:val="0"/>
          <w:color w:val="000000" w:themeColor="text1" w:themeTint="FF" w:themeShade="FF"/>
          <w:sz w:val="24"/>
          <w:szCs w:val="24"/>
          <w:lang w:val="en-GB"/>
        </w:rPr>
        <w:t xml:space="preserve">Manthorpe, J. and Iliffe, S. (2016) 'Personalisation and dementia care', </w:t>
      </w:r>
      <w:r w:rsidRPr="17F1EB99" w:rsidR="2DB429E1">
        <w:rPr>
          <w:rFonts w:ascii="Arial" w:hAnsi="Arial" w:eastAsia="Arial" w:cs="Arial"/>
          <w:i w:val="1"/>
          <w:iCs w:val="1"/>
          <w:noProof w:val="0"/>
          <w:color w:val="000000" w:themeColor="text1" w:themeTint="FF" w:themeShade="FF"/>
          <w:sz w:val="24"/>
          <w:szCs w:val="24"/>
          <w:lang w:val="en-GB"/>
        </w:rPr>
        <w:t>Journal of Interprofessional Care</w:t>
      </w:r>
      <w:r w:rsidRPr="17F1EB99" w:rsidR="2DB429E1">
        <w:rPr>
          <w:rFonts w:ascii="Arial" w:hAnsi="Arial" w:eastAsia="Arial" w:cs="Arial"/>
          <w:noProof w:val="0"/>
          <w:color w:val="000000" w:themeColor="text1" w:themeTint="FF" w:themeShade="FF"/>
          <w:sz w:val="24"/>
          <w:szCs w:val="24"/>
          <w:lang w:val="en-GB"/>
        </w:rPr>
        <w:t>, 30(1), pp. 55–61.</w:t>
      </w:r>
    </w:p>
    <w:p w:rsidR="7322B2BD" w:rsidP="17F1EB99" w:rsidRDefault="7322B2BD" w14:paraId="628D6EDB" w14:textId="77714F89">
      <w:pPr>
        <w:rPr>
          <w:rFonts w:ascii="Arial" w:hAnsi="Arial" w:eastAsia="Arial" w:cs="Arial"/>
          <w:noProof w:val="0"/>
          <w:color w:val="000000" w:themeColor="text1" w:themeTint="FF" w:themeShade="FF"/>
          <w:sz w:val="24"/>
          <w:szCs w:val="24"/>
          <w:lang w:val="en-GB"/>
        </w:rPr>
      </w:pPr>
      <w:r w:rsidRPr="17F1EB99" w:rsidR="7322B2BD">
        <w:rPr>
          <w:rFonts w:ascii="Arial" w:hAnsi="Arial" w:eastAsia="Arial" w:cs="Arial"/>
          <w:noProof w:val="0"/>
          <w:color w:val="000000" w:themeColor="text1" w:themeTint="FF" w:themeShade="FF"/>
          <w:sz w:val="24"/>
          <w:szCs w:val="24"/>
          <w:lang w:val="en-GB"/>
        </w:rPr>
        <w:t xml:space="preserve">Braye, S. and Preston-Shoot, M. (2016) </w:t>
      </w:r>
      <w:r w:rsidRPr="17F1EB99" w:rsidR="7322B2BD">
        <w:rPr>
          <w:rFonts w:ascii="Arial" w:hAnsi="Arial" w:eastAsia="Arial" w:cs="Arial"/>
          <w:i w:val="1"/>
          <w:iCs w:val="1"/>
          <w:noProof w:val="0"/>
          <w:color w:val="000000" w:themeColor="text1" w:themeTint="FF" w:themeShade="FF"/>
          <w:sz w:val="24"/>
          <w:szCs w:val="24"/>
          <w:lang w:val="en-GB"/>
        </w:rPr>
        <w:t>Practising social work law</w:t>
      </w:r>
      <w:r w:rsidRPr="17F1EB99" w:rsidR="7322B2BD">
        <w:rPr>
          <w:rFonts w:ascii="Arial" w:hAnsi="Arial" w:eastAsia="Arial" w:cs="Arial"/>
          <w:noProof w:val="0"/>
          <w:color w:val="000000" w:themeColor="text1" w:themeTint="FF" w:themeShade="FF"/>
          <w:sz w:val="24"/>
          <w:szCs w:val="24"/>
          <w:lang w:val="en-GB"/>
        </w:rPr>
        <w:t>. 4th edn. Basingstoke: Palgrave Macmillan.</w:t>
      </w:r>
    </w:p>
    <w:p w:rsidR="7322B2BD" w:rsidP="17F1EB99" w:rsidRDefault="7322B2BD" w14:paraId="29920999" w14:textId="76B295C8">
      <w:pPr>
        <w:rPr>
          <w:rFonts w:ascii="Arial" w:hAnsi="Arial" w:eastAsia="Arial" w:cs="Arial"/>
          <w:noProof w:val="0"/>
          <w:color w:val="000000" w:themeColor="text1" w:themeTint="FF" w:themeShade="FF"/>
          <w:sz w:val="24"/>
          <w:szCs w:val="24"/>
          <w:lang w:val="en-GB"/>
        </w:rPr>
      </w:pPr>
      <w:r w:rsidRPr="17F1EB99" w:rsidR="7322B2BD">
        <w:rPr>
          <w:rFonts w:ascii="Arial" w:hAnsi="Arial" w:eastAsia="Arial" w:cs="Arial"/>
          <w:noProof w:val="0"/>
          <w:color w:val="000000" w:themeColor="text1" w:themeTint="FF" w:themeShade="FF"/>
          <w:sz w:val="24"/>
          <w:szCs w:val="24"/>
          <w:lang w:val="en-GB"/>
        </w:rPr>
        <w:t xml:space="preserve">Brown, H. (2011) 'The Mental Capacity Act 2005: key principles and their implications for practice', </w:t>
      </w:r>
      <w:r w:rsidRPr="17F1EB99" w:rsidR="7322B2BD">
        <w:rPr>
          <w:rFonts w:ascii="Arial" w:hAnsi="Arial" w:eastAsia="Arial" w:cs="Arial"/>
          <w:i w:val="1"/>
          <w:iCs w:val="1"/>
          <w:noProof w:val="0"/>
          <w:color w:val="000000" w:themeColor="text1" w:themeTint="FF" w:themeShade="FF"/>
          <w:sz w:val="24"/>
          <w:szCs w:val="24"/>
          <w:lang w:val="en-GB"/>
        </w:rPr>
        <w:t>Journal of Adult Protection</w:t>
      </w:r>
      <w:r w:rsidRPr="17F1EB99" w:rsidR="7322B2BD">
        <w:rPr>
          <w:rFonts w:ascii="Arial" w:hAnsi="Arial" w:eastAsia="Arial" w:cs="Arial"/>
          <w:noProof w:val="0"/>
          <w:color w:val="000000" w:themeColor="text1" w:themeTint="FF" w:themeShade="FF"/>
          <w:sz w:val="24"/>
          <w:szCs w:val="24"/>
          <w:lang w:val="en-GB"/>
        </w:rPr>
        <w:t>, 13(3), pp. 130–139.</w:t>
      </w:r>
    </w:p>
    <w:p w:rsidR="7322B2BD" w:rsidP="17F1EB99" w:rsidRDefault="7322B2BD" w14:paraId="51D150A9" w14:textId="545FF5B5">
      <w:pPr>
        <w:rPr>
          <w:rFonts w:ascii="Arial" w:hAnsi="Arial" w:eastAsia="Arial" w:cs="Arial"/>
          <w:noProof w:val="0"/>
          <w:color w:val="000000" w:themeColor="text1" w:themeTint="FF" w:themeShade="FF"/>
          <w:sz w:val="24"/>
          <w:szCs w:val="24"/>
          <w:lang w:val="en-GB"/>
        </w:rPr>
      </w:pPr>
      <w:r w:rsidRPr="17F1EB99" w:rsidR="7322B2BD">
        <w:rPr>
          <w:rFonts w:ascii="Arial" w:hAnsi="Arial" w:eastAsia="Arial" w:cs="Arial"/>
          <w:noProof w:val="0"/>
          <w:color w:val="000000" w:themeColor="text1" w:themeTint="FF" w:themeShade="FF"/>
          <w:sz w:val="24"/>
          <w:szCs w:val="24"/>
          <w:lang w:val="en-GB"/>
        </w:rPr>
        <w:t xml:space="preserve">Thistlethwaite, P. (2012) </w:t>
      </w:r>
      <w:r w:rsidRPr="17F1EB99" w:rsidR="7322B2BD">
        <w:rPr>
          <w:rFonts w:ascii="Arial" w:hAnsi="Arial" w:eastAsia="Arial" w:cs="Arial"/>
          <w:i w:val="1"/>
          <w:iCs w:val="1"/>
          <w:noProof w:val="0"/>
          <w:color w:val="000000" w:themeColor="text1" w:themeTint="FF" w:themeShade="FF"/>
          <w:sz w:val="24"/>
          <w:szCs w:val="24"/>
          <w:lang w:val="en-GB"/>
        </w:rPr>
        <w:t>Integrating health and social care in Torbay</w:t>
      </w:r>
      <w:r w:rsidRPr="17F1EB99" w:rsidR="7322B2BD">
        <w:rPr>
          <w:rFonts w:ascii="Arial" w:hAnsi="Arial" w:eastAsia="Arial" w:cs="Arial"/>
          <w:noProof w:val="0"/>
          <w:color w:val="000000" w:themeColor="text1" w:themeTint="FF" w:themeShade="FF"/>
          <w:sz w:val="24"/>
          <w:szCs w:val="24"/>
          <w:lang w:val="en-GB"/>
        </w:rPr>
        <w:t>. London: King's Fund.</w:t>
      </w:r>
    </w:p>
    <w:p w:rsidR="493432F1" w:rsidP="17F1EB99" w:rsidRDefault="493432F1" w14:paraId="79857048" w14:textId="42076E4D">
      <w:pPr>
        <w:rPr>
          <w:rFonts w:ascii="Arial" w:hAnsi="Arial" w:eastAsia="Arial" w:cs="Arial"/>
          <w:noProof w:val="0"/>
          <w:color w:val="000000" w:themeColor="text1" w:themeTint="FF" w:themeShade="FF"/>
          <w:sz w:val="24"/>
          <w:szCs w:val="24"/>
          <w:lang w:val="en-GB"/>
        </w:rPr>
      </w:pPr>
      <w:r w:rsidRPr="17F1EB99" w:rsidR="493432F1">
        <w:rPr>
          <w:rFonts w:ascii="Arial" w:hAnsi="Arial" w:eastAsia="Arial" w:cs="Arial"/>
          <w:noProof w:val="0"/>
          <w:color w:val="000000" w:themeColor="text1" w:themeTint="FF" w:themeShade="FF"/>
          <w:sz w:val="24"/>
          <w:szCs w:val="24"/>
          <w:lang w:val="en-GB"/>
        </w:rPr>
        <w:t xml:space="preserve">Foot, J. and Hopkins, T. (2010) </w:t>
      </w:r>
      <w:r w:rsidRPr="17F1EB99" w:rsidR="493432F1">
        <w:rPr>
          <w:rFonts w:ascii="Arial" w:hAnsi="Arial" w:eastAsia="Arial" w:cs="Arial"/>
          <w:i w:val="1"/>
          <w:iCs w:val="1"/>
          <w:noProof w:val="0"/>
          <w:color w:val="000000" w:themeColor="text1" w:themeTint="FF" w:themeShade="FF"/>
          <w:sz w:val="24"/>
          <w:szCs w:val="24"/>
          <w:lang w:val="en-GB"/>
        </w:rPr>
        <w:t>A glass half-full: how an asset approach can improve community health and wellbeing</w:t>
      </w:r>
      <w:r w:rsidRPr="17F1EB99" w:rsidR="493432F1">
        <w:rPr>
          <w:rFonts w:ascii="Arial" w:hAnsi="Arial" w:eastAsia="Arial" w:cs="Arial"/>
          <w:noProof w:val="0"/>
          <w:color w:val="000000" w:themeColor="text1" w:themeTint="FF" w:themeShade="FF"/>
          <w:sz w:val="24"/>
          <w:szCs w:val="24"/>
          <w:lang w:val="en-GB"/>
        </w:rPr>
        <w:t>. London: Improvement and Development Agency.</w:t>
      </w:r>
    </w:p>
    <w:p w:rsidR="493432F1" w:rsidP="17F1EB99" w:rsidRDefault="493432F1" w14:paraId="04ECBDE2" w14:textId="55902496">
      <w:pPr>
        <w:rPr>
          <w:rFonts w:ascii="Arial" w:hAnsi="Arial" w:eastAsia="Arial" w:cs="Arial"/>
          <w:noProof w:val="0"/>
          <w:color w:val="000000" w:themeColor="text1" w:themeTint="FF" w:themeShade="FF"/>
          <w:sz w:val="24"/>
          <w:szCs w:val="24"/>
          <w:lang w:val="en-GB"/>
        </w:rPr>
      </w:pPr>
      <w:r w:rsidRPr="17F1EB99" w:rsidR="493432F1">
        <w:rPr>
          <w:rFonts w:ascii="Arial" w:hAnsi="Arial" w:eastAsia="Arial" w:cs="Arial"/>
          <w:noProof w:val="0"/>
          <w:color w:val="000000" w:themeColor="text1" w:themeTint="FF" w:themeShade="FF"/>
          <w:sz w:val="24"/>
          <w:szCs w:val="24"/>
          <w:lang w:val="en-GB"/>
        </w:rPr>
        <w:t xml:space="preserve">Frenk, J., Chen, L., Bhutta, Z.A., Cohen, J., Crisp, N., Evans, T. and Zurayk, H. (2010) 'Health professionals for a new century', </w:t>
      </w:r>
      <w:r w:rsidRPr="17F1EB99" w:rsidR="493432F1">
        <w:rPr>
          <w:rFonts w:ascii="Arial" w:hAnsi="Arial" w:eastAsia="Arial" w:cs="Arial"/>
          <w:i w:val="1"/>
          <w:iCs w:val="1"/>
          <w:noProof w:val="0"/>
          <w:color w:val="000000" w:themeColor="text1" w:themeTint="FF" w:themeShade="FF"/>
          <w:sz w:val="24"/>
          <w:szCs w:val="24"/>
          <w:lang w:val="en-GB"/>
        </w:rPr>
        <w:t>The Lancet</w:t>
      </w:r>
      <w:r w:rsidRPr="17F1EB99" w:rsidR="493432F1">
        <w:rPr>
          <w:rFonts w:ascii="Arial" w:hAnsi="Arial" w:eastAsia="Arial" w:cs="Arial"/>
          <w:noProof w:val="0"/>
          <w:color w:val="000000" w:themeColor="text1" w:themeTint="FF" w:themeShade="FF"/>
          <w:sz w:val="24"/>
          <w:szCs w:val="24"/>
          <w:lang w:val="en-GB"/>
        </w:rPr>
        <w:t>, 376(9756), pp. 1923–1958.</w:t>
      </w:r>
    </w:p>
    <w:p w:rsidR="493432F1" w:rsidP="17F1EB99" w:rsidRDefault="493432F1" w14:paraId="40243F4E" w14:textId="4EDCC12B">
      <w:pPr>
        <w:rPr>
          <w:rFonts w:ascii="Arial" w:hAnsi="Arial" w:eastAsia="Arial" w:cs="Arial"/>
          <w:noProof w:val="0"/>
          <w:color w:val="000000" w:themeColor="text1" w:themeTint="FF" w:themeShade="FF"/>
          <w:sz w:val="24"/>
          <w:szCs w:val="24"/>
          <w:lang w:val="en-GB"/>
        </w:rPr>
      </w:pPr>
      <w:r w:rsidRPr="17F1EB99" w:rsidR="493432F1">
        <w:rPr>
          <w:rFonts w:ascii="Arial" w:hAnsi="Arial" w:eastAsia="Arial" w:cs="Arial"/>
          <w:noProof w:val="0"/>
          <w:color w:val="000000" w:themeColor="text1" w:themeTint="FF" w:themeShade="FF"/>
          <w:sz w:val="24"/>
          <w:szCs w:val="24"/>
          <w:lang w:val="en-GB"/>
        </w:rPr>
        <w:t xml:space="preserve">Ham, C. (2018) </w:t>
      </w:r>
      <w:r w:rsidRPr="17F1EB99" w:rsidR="493432F1">
        <w:rPr>
          <w:rFonts w:ascii="Arial" w:hAnsi="Arial" w:eastAsia="Arial" w:cs="Arial"/>
          <w:i w:val="1"/>
          <w:iCs w:val="1"/>
          <w:noProof w:val="0"/>
          <w:color w:val="000000" w:themeColor="text1" w:themeTint="FF" w:themeShade="FF"/>
          <w:sz w:val="24"/>
          <w:szCs w:val="24"/>
          <w:lang w:val="en-GB"/>
        </w:rPr>
        <w:t>Making sense of integrated care systems, integrated care partnerships and accountable care organisations in the NHS in England</w:t>
      </w:r>
      <w:r w:rsidRPr="17F1EB99" w:rsidR="493432F1">
        <w:rPr>
          <w:rFonts w:ascii="Arial" w:hAnsi="Arial" w:eastAsia="Arial" w:cs="Arial"/>
          <w:noProof w:val="0"/>
          <w:color w:val="000000" w:themeColor="text1" w:themeTint="FF" w:themeShade="FF"/>
          <w:sz w:val="24"/>
          <w:szCs w:val="24"/>
          <w:lang w:val="en-GB"/>
        </w:rPr>
        <w:t>. London: King's Fund.</w:t>
      </w:r>
    </w:p>
    <w:p w:rsidR="17F1EB99" w:rsidP="17F1EB99" w:rsidRDefault="17F1EB99" w14:paraId="15D3C384" w14:textId="3DE6D730">
      <w:pPr>
        <w:rPr>
          <w:rFonts w:ascii="Arial" w:hAnsi="Arial" w:eastAsia="Arial" w:cs="Arial"/>
          <w:noProof w:val="0"/>
          <w:color w:val="000000" w:themeColor="text1" w:themeTint="FF" w:themeShade="FF"/>
          <w:sz w:val="24"/>
          <w:szCs w:val="24"/>
          <w:lang w:val="en-GB"/>
        </w:rPr>
      </w:pPr>
    </w:p>
    <w:p w:rsidR="17F1EB99" w:rsidP="17F1EB99" w:rsidRDefault="17F1EB99" w14:paraId="60E5086B" w14:textId="3A133C96">
      <w:pPr>
        <w:rPr>
          <w:rFonts w:ascii="Arial" w:hAnsi="Arial" w:eastAsia="Arial" w:cs="Arial"/>
          <w:noProof w:val="0"/>
          <w:color w:val="000000" w:themeColor="text1" w:themeTint="FF" w:themeShade="FF"/>
          <w:sz w:val="24"/>
          <w:szCs w:val="24"/>
          <w:lang w:val="en-GB"/>
        </w:rPr>
      </w:pPr>
    </w:p>
    <w:p w:rsidR="17F1EB99" w:rsidP="17F1EB99" w:rsidRDefault="17F1EB99" w14:paraId="78C26DBD" w14:textId="75439F2E">
      <w:pPr>
        <w:rPr>
          <w:rFonts w:ascii="Arial" w:hAnsi="Arial" w:eastAsia="Arial" w:cs="Arial"/>
          <w:noProof w:val="0"/>
          <w:color w:val="000000" w:themeColor="text1" w:themeTint="FF" w:themeShade="FF"/>
          <w:sz w:val="24"/>
          <w:szCs w:val="24"/>
          <w:lang w:val="en-GB"/>
        </w:rPr>
      </w:pPr>
    </w:p>
    <w:p w:rsidR="17F1EB99" w:rsidP="17F1EB99" w:rsidRDefault="17F1EB99" w14:paraId="4DC0FEB4" w14:textId="5BD0AD6A">
      <w:pPr>
        <w:rPr>
          <w:rFonts w:ascii="Arial" w:hAnsi="Arial" w:eastAsia="Arial" w:cs="Arial"/>
          <w:noProof w:val="0"/>
          <w:color w:val="000000" w:themeColor="text1" w:themeTint="FF" w:themeShade="FF"/>
          <w:sz w:val="24"/>
          <w:szCs w:val="24"/>
          <w:lang w:val="en-GB"/>
        </w:rPr>
      </w:pPr>
    </w:p>
    <w:p w:rsidR="17F1EB99" w:rsidP="17F1EB99" w:rsidRDefault="17F1EB99" w14:paraId="4A8AC829" w14:textId="432B5CF1">
      <w:pPr>
        <w:rPr>
          <w:rFonts w:ascii="Arial" w:hAnsi="Arial" w:eastAsia="Arial" w:cs="Arial"/>
          <w:noProof w:val="0"/>
          <w:color w:val="000000" w:themeColor="text1" w:themeTint="FF" w:themeShade="FF"/>
          <w:sz w:val="24"/>
          <w:szCs w:val="24"/>
          <w:lang w:val="en-GB"/>
        </w:rPr>
      </w:pPr>
    </w:p>
    <w:p w:rsidR="17F1EB99" w:rsidP="17F1EB99" w:rsidRDefault="17F1EB99" w14:paraId="79541A61" w14:textId="20D7ECC2">
      <w:pPr>
        <w:rPr>
          <w:rFonts w:ascii="Arial" w:hAnsi="Arial" w:eastAsia="Arial" w:cs="Arial"/>
          <w:noProof w:val="0"/>
          <w:color w:val="000000" w:themeColor="text1" w:themeTint="FF" w:themeShade="FF"/>
          <w:sz w:val="24"/>
          <w:szCs w:val="24"/>
          <w:lang w:val="en-GB"/>
        </w:rPr>
      </w:pPr>
    </w:p>
    <w:p w:rsidR="17F1EB99" w:rsidP="17F1EB99" w:rsidRDefault="17F1EB99" w14:paraId="21E40C79" w14:textId="7B26FE84">
      <w:pPr>
        <w:rPr>
          <w:rFonts w:ascii="Arial" w:hAnsi="Arial" w:eastAsia="Arial" w:cs="Arial"/>
          <w:noProof w:val="0"/>
          <w:color w:val="000000" w:themeColor="text1" w:themeTint="FF" w:themeShade="FF"/>
          <w:sz w:val="24"/>
          <w:szCs w:val="24"/>
          <w:lang w:val="en-GB"/>
        </w:rPr>
      </w:pPr>
    </w:p>
    <w:p w:rsidR="17F1EB99" w:rsidP="17F1EB99" w:rsidRDefault="17F1EB99" w14:paraId="77689A99" w14:textId="03FA9FA7">
      <w:pPr>
        <w:rPr>
          <w:rFonts w:ascii="Arial" w:hAnsi="Arial" w:eastAsia="Arial" w:cs="Arial"/>
          <w:noProof w:val="0"/>
          <w:color w:val="000000" w:themeColor="text1" w:themeTint="FF" w:themeShade="FF"/>
          <w:sz w:val="24"/>
          <w:szCs w:val="24"/>
          <w:lang w:val="en-GB"/>
        </w:rPr>
      </w:pPr>
    </w:p>
    <w:p w:rsidR="17F1EB99" w:rsidP="17F1EB99" w:rsidRDefault="17F1EB99" w14:paraId="2AF4C201" w14:textId="04E99576">
      <w:pPr>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7B4664"/>
    <w:rsid w:val="03C0EAB8"/>
    <w:rsid w:val="03C40771"/>
    <w:rsid w:val="1274DC41"/>
    <w:rsid w:val="14929A20"/>
    <w:rsid w:val="14F10BAA"/>
    <w:rsid w:val="155814AF"/>
    <w:rsid w:val="17F1EB99"/>
    <w:rsid w:val="183BC441"/>
    <w:rsid w:val="1B28B478"/>
    <w:rsid w:val="23294F85"/>
    <w:rsid w:val="2ABF99CC"/>
    <w:rsid w:val="2CA7BB75"/>
    <w:rsid w:val="2DB429E1"/>
    <w:rsid w:val="348D2335"/>
    <w:rsid w:val="3A7DAB82"/>
    <w:rsid w:val="3D17B12E"/>
    <w:rsid w:val="493432F1"/>
    <w:rsid w:val="4BE426A8"/>
    <w:rsid w:val="519A135E"/>
    <w:rsid w:val="54121756"/>
    <w:rsid w:val="5B078EE4"/>
    <w:rsid w:val="5CAE681C"/>
    <w:rsid w:val="5E22ED68"/>
    <w:rsid w:val="5E9F2F95"/>
    <w:rsid w:val="619DABB3"/>
    <w:rsid w:val="7322B2BD"/>
    <w:rsid w:val="747B4664"/>
    <w:rsid w:val="75F14CB3"/>
    <w:rsid w:val="766B603A"/>
    <w:rsid w:val="7EBB53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B4664"/>
  <w15:chartTrackingRefBased/>
  <w15:docId w15:val="{8D1FC748-F4C9-4768-AB0C-49FCFC56096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Nargis Ahmed (2329515)</dc:creator>
  <keywords/>
  <dc:description/>
  <lastModifiedBy>Nargis Ahmed (2329515)</lastModifiedBy>
  <revision>2</revision>
  <dcterms:created xsi:type="dcterms:W3CDTF">2026-03-16T19:46:00.5536383Z</dcterms:created>
  <dcterms:modified xsi:type="dcterms:W3CDTF">2026-03-16T20:18:25.5735733Z</dcterms:modified>
</coreProperties>
</file>