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2739018"/>
        <w:docPartObj>
          <w:docPartGallery w:val="Cover Pages"/>
          <w:docPartUnique/>
        </w:docPartObj>
      </w:sdtPr>
      <w:sdtEndPr>
        <w:rPr>
          <w:rFonts w:ascii="Arial" w:hAnsi="Arial" w:cs="Arial"/>
          <w:sz w:val="24"/>
          <w:szCs w:val="24"/>
        </w:rPr>
      </w:sdtEndPr>
      <w:sdtContent>
        <w:p w14:paraId="0BB1E590" w14:textId="4CAEB510" w:rsidR="004723B4" w:rsidRDefault="004723B4">
          <w:r>
            <w:rPr>
              <w:noProof/>
            </w:rPr>
            <mc:AlternateContent>
              <mc:Choice Requires="wpg">
                <w:drawing>
                  <wp:anchor distT="0" distB="0" distL="114300" distR="114300" simplePos="0" relativeHeight="251662336" behindDoc="0" locked="0" layoutInCell="1" allowOverlap="1" wp14:anchorId="42C06E26" wp14:editId="6B4E816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A698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DC7C900" wp14:editId="3476EAD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1E8C558F" w14:textId="372F044F" w:rsidR="004723B4" w:rsidRDefault="00C3506A">
                                    <w:pPr>
                                      <w:pStyle w:val="NoSpacing"/>
                                      <w:jc w:val="right"/>
                                      <w:rPr>
                                        <w:color w:val="595959" w:themeColor="text1" w:themeTint="A6"/>
                                        <w:sz w:val="28"/>
                                        <w:szCs w:val="28"/>
                                      </w:rPr>
                                    </w:pPr>
                                    <w:r>
                                      <w:rPr>
                                        <w:color w:val="595959" w:themeColor="text1" w:themeTint="A6"/>
                                        <w:sz w:val="28"/>
                                        <w:szCs w:val="28"/>
                                      </w:rPr>
                                      <w:t xml:space="preserve">     </w:t>
                                    </w:r>
                                  </w:p>
                                </w:sdtContent>
                              </w:sdt>
                              <w:p w14:paraId="08BB1769" w14:textId="744DADA0" w:rsidR="004723B4" w:rsidRDefault="00000000" w:rsidP="00C3506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3506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C7C90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1E8C558F" w14:textId="372F044F" w:rsidR="004723B4" w:rsidRDefault="00C3506A">
                              <w:pPr>
                                <w:pStyle w:val="NoSpacing"/>
                                <w:jc w:val="right"/>
                                <w:rPr>
                                  <w:color w:val="595959" w:themeColor="text1" w:themeTint="A6"/>
                                  <w:sz w:val="28"/>
                                  <w:szCs w:val="28"/>
                                </w:rPr>
                              </w:pPr>
                              <w:r>
                                <w:rPr>
                                  <w:color w:val="595959" w:themeColor="text1" w:themeTint="A6"/>
                                  <w:sz w:val="28"/>
                                  <w:szCs w:val="28"/>
                                </w:rPr>
                                <w:t xml:space="preserve">     </w:t>
                              </w:r>
                            </w:p>
                          </w:sdtContent>
                        </w:sdt>
                        <w:p w14:paraId="08BB1769" w14:textId="744DADA0" w:rsidR="004723B4" w:rsidRDefault="00000000" w:rsidP="00C3506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3506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1B9B16" wp14:editId="2B196D3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DBD10" w14:textId="5C4E5E94" w:rsidR="004723B4" w:rsidRPr="00C3506A" w:rsidRDefault="004723B4">
                                <w:pPr>
                                  <w:pStyle w:val="NoSpacing"/>
                                  <w:jc w:val="right"/>
                                  <w:rPr>
                                    <w:color w:val="4472C4" w:themeColor="accent1"/>
                                    <w:sz w:val="48"/>
                                    <w:szCs w:val="48"/>
                                  </w:rPr>
                                </w:pPr>
                              </w:p>
                              <w:sdt>
                                <w:sdtPr>
                                  <w:rPr>
                                    <w:color w:val="595959" w:themeColor="text1" w:themeTint="A6"/>
                                    <w:sz w:val="48"/>
                                    <w:szCs w:val="48"/>
                                  </w:rPr>
                                  <w:alias w:val="Abstract"/>
                                  <w:tag w:val=""/>
                                  <w:id w:val="1375273687"/>
                                  <w:dataBinding w:prefixMappings="xmlns:ns0='http://schemas.microsoft.com/office/2006/coverPageProps' " w:xpath="/ns0:CoverPageProperties[1]/ns0:Abstract[1]" w:storeItemID="{55AF091B-3C7A-41E3-B477-F2FDAA23CFDA}"/>
                                  <w:text w:multiLine="1"/>
                                </w:sdtPr>
                                <w:sdtContent>
                                  <w:p w14:paraId="4ECABED7" w14:textId="79A99135" w:rsidR="004723B4" w:rsidRDefault="00C3506A">
                                    <w:pPr>
                                      <w:pStyle w:val="NoSpacing"/>
                                      <w:jc w:val="right"/>
                                      <w:rPr>
                                        <w:color w:val="595959" w:themeColor="text1" w:themeTint="A6"/>
                                        <w:sz w:val="20"/>
                                        <w:szCs w:val="20"/>
                                      </w:rPr>
                                    </w:pPr>
                                    <w:r w:rsidRPr="00C3506A">
                                      <w:rPr>
                                        <w:color w:val="595959" w:themeColor="text1" w:themeTint="A6"/>
                                        <w:sz w:val="48"/>
                                        <w:szCs w:val="48"/>
                                      </w:rPr>
                                      <w:t>Assignment 1</w:t>
                                    </w:r>
                                    <w:r w:rsidRPr="00C3506A">
                                      <w:rPr>
                                        <w:color w:val="595959" w:themeColor="text1" w:themeTint="A6"/>
                                        <w:sz w:val="48"/>
                                        <w:szCs w:val="48"/>
                                      </w:rPr>
                                      <w:br/>
                                      <w:t>Student-Alina Coman</w:t>
                                    </w:r>
                                    <w:r w:rsidRPr="00C3506A">
                                      <w:rPr>
                                        <w:color w:val="595959" w:themeColor="text1" w:themeTint="A6"/>
                                        <w:sz w:val="48"/>
                                        <w:szCs w:val="48"/>
                                      </w:rPr>
                                      <w:br/>
                                      <w:t>(1919781)</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1B9B1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C7DBD10" w14:textId="5C4E5E94" w:rsidR="004723B4" w:rsidRPr="00C3506A" w:rsidRDefault="004723B4">
                          <w:pPr>
                            <w:pStyle w:val="NoSpacing"/>
                            <w:jc w:val="right"/>
                            <w:rPr>
                              <w:color w:val="4472C4" w:themeColor="accent1"/>
                              <w:sz w:val="48"/>
                              <w:szCs w:val="48"/>
                            </w:rPr>
                          </w:pPr>
                        </w:p>
                        <w:sdt>
                          <w:sdtPr>
                            <w:rPr>
                              <w:color w:val="595959" w:themeColor="text1" w:themeTint="A6"/>
                              <w:sz w:val="48"/>
                              <w:szCs w:val="48"/>
                            </w:rPr>
                            <w:alias w:val="Abstract"/>
                            <w:tag w:val=""/>
                            <w:id w:val="1375273687"/>
                            <w:dataBinding w:prefixMappings="xmlns:ns0='http://schemas.microsoft.com/office/2006/coverPageProps' " w:xpath="/ns0:CoverPageProperties[1]/ns0:Abstract[1]" w:storeItemID="{55AF091B-3C7A-41E3-B477-F2FDAA23CFDA}"/>
                            <w:text w:multiLine="1"/>
                          </w:sdtPr>
                          <w:sdtContent>
                            <w:p w14:paraId="4ECABED7" w14:textId="79A99135" w:rsidR="004723B4" w:rsidRDefault="00C3506A">
                              <w:pPr>
                                <w:pStyle w:val="NoSpacing"/>
                                <w:jc w:val="right"/>
                                <w:rPr>
                                  <w:color w:val="595959" w:themeColor="text1" w:themeTint="A6"/>
                                  <w:sz w:val="20"/>
                                  <w:szCs w:val="20"/>
                                </w:rPr>
                              </w:pPr>
                              <w:r w:rsidRPr="00C3506A">
                                <w:rPr>
                                  <w:color w:val="595959" w:themeColor="text1" w:themeTint="A6"/>
                                  <w:sz w:val="48"/>
                                  <w:szCs w:val="48"/>
                                </w:rPr>
                                <w:t>Assignment 1</w:t>
                              </w:r>
                              <w:r w:rsidRPr="00C3506A">
                                <w:rPr>
                                  <w:color w:val="595959" w:themeColor="text1" w:themeTint="A6"/>
                                  <w:sz w:val="48"/>
                                  <w:szCs w:val="48"/>
                                </w:rPr>
                                <w:br/>
                                <w:t>Student-Alina Coman</w:t>
                              </w:r>
                              <w:r w:rsidRPr="00C3506A">
                                <w:rPr>
                                  <w:color w:val="595959" w:themeColor="text1" w:themeTint="A6"/>
                                  <w:sz w:val="48"/>
                                  <w:szCs w:val="48"/>
                                </w:rPr>
                                <w:br/>
                                <w:t>(1919781)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7EAE3F" wp14:editId="5BEF584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6B400" w14:textId="63D8B7B0" w:rsidR="004723B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506A">
                                      <w:rPr>
                                        <w:caps/>
                                        <w:color w:val="4472C4" w:themeColor="accent1"/>
                                        <w:sz w:val="64"/>
                                        <w:szCs w:val="64"/>
                                      </w:rPr>
                                      <w:t>International financial management</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346DB8" w14:textId="47A87353" w:rsidR="004723B4" w:rsidRDefault="00C3506A">
                                    <w:pPr>
                                      <w:jc w:val="right"/>
                                      <w:rPr>
                                        <w:smallCaps/>
                                        <w:color w:val="404040" w:themeColor="text1" w:themeTint="BF"/>
                                        <w:sz w:val="36"/>
                                        <w:szCs w:val="36"/>
                                      </w:rPr>
                                    </w:pPr>
                                    <w:r w:rsidRPr="00C3506A">
                                      <w:t xml:space="preserve">Lecturer - Isaiah </w:t>
                                    </w:r>
                                    <w:proofErr w:type="spellStart"/>
                                    <w:r w:rsidRPr="00C3506A">
                                      <w:t>Oino</w:t>
                                    </w:r>
                                    <w:proofErr w:type="spellEnd"/>
                                    <w:r w:rsidR="00DC2AE1">
                                      <w:t xml:space="preserve"> Module cod-LCBB6002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7EAE3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B06B400" w14:textId="63D8B7B0" w:rsidR="004723B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3506A">
                                <w:rPr>
                                  <w:caps/>
                                  <w:color w:val="4472C4" w:themeColor="accent1"/>
                                  <w:sz w:val="64"/>
                                  <w:szCs w:val="64"/>
                                </w:rPr>
                                <w:t>International financial management</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B346DB8" w14:textId="47A87353" w:rsidR="004723B4" w:rsidRDefault="00C3506A">
                              <w:pPr>
                                <w:jc w:val="right"/>
                                <w:rPr>
                                  <w:smallCaps/>
                                  <w:color w:val="404040" w:themeColor="text1" w:themeTint="BF"/>
                                  <w:sz w:val="36"/>
                                  <w:szCs w:val="36"/>
                                </w:rPr>
                              </w:pPr>
                              <w:r w:rsidRPr="00C3506A">
                                <w:t xml:space="preserve">Lecturer - Isaiah </w:t>
                              </w:r>
                              <w:proofErr w:type="spellStart"/>
                              <w:r w:rsidRPr="00C3506A">
                                <w:t>Oino</w:t>
                              </w:r>
                              <w:proofErr w:type="spellEnd"/>
                              <w:r w:rsidR="00DC2AE1">
                                <w:t xml:space="preserve"> Module cod-LCBB6002</w:t>
                              </w:r>
                            </w:p>
                          </w:sdtContent>
                        </w:sdt>
                      </w:txbxContent>
                    </v:textbox>
                    <w10:wrap type="square" anchorx="page" anchory="page"/>
                  </v:shape>
                </w:pict>
              </mc:Fallback>
            </mc:AlternateContent>
          </w:r>
        </w:p>
        <w:p w14:paraId="66607C45" w14:textId="5D5597B8" w:rsidR="004723B4" w:rsidRDefault="004723B4">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22"/>
          <w:szCs w:val="22"/>
          <w:lang w:val="en-GB"/>
        </w:rPr>
        <w:id w:val="98921895"/>
        <w:docPartObj>
          <w:docPartGallery w:val="Table of Contents"/>
          <w:docPartUnique/>
        </w:docPartObj>
      </w:sdtPr>
      <w:sdtEndPr>
        <w:rPr>
          <w:b/>
          <w:bCs/>
          <w:noProof/>
        </w:rPr>
      </w:sdtEndPr>
      <w:sdtContent>
        <w:p w14:paraId="5A358E45" w14:textId="6E2B01D9" w:rsidR="0069652B" w:rsidRDefault="0069652B">
          <w:pPr>
            <w:pStyle w:val="TOCHeading"/>
          </w:pPr>
          <w:r>
            <w:t>Contents</w:t>
          </w:r>
        </w:p>
        <w:p w14:paraId="41950454" w14:textId="33FD589C" w:rsidR="009B0655" w:rsidRDefault="0069652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0608280" w:history="1">
            <w:r w:rsidR="009B0655" w:rsidRPr="00515811">
              <w:rPr>
                <w:rStyle w:val="Hyperlink"/>
                <w:noProof/>
              </w:rPr>
              <w:t>Introduction</w:t>
            </w:r>
            <w:r w:rsidR="009B0655">
              <w:rPr>
                <w:noProof/>
                <w:webHidden/>
              </w:rPr>
              <w:tab/>
            </w:r>
            <w:r w:rsidR="009B0655">
              <w:rPr>
                <w:noProof/>
                <w:webHidden/>
              </w:rPr>
              <w:fldChar w:fldCharType="begin"/>
            </w:r>
            <w:r w:rsidR="009B0655">
              <w:rPr>
                <w:noProof/>
                <w:webHidden/>
              </w:rPr>
              <w:instrText xml:space="preserve"> PAGEREF _Toc110608280 \h </w:instrText>
            </w:r>
            <w:r w:rsidR="009B0655">
              <w:rPr>
                <w:noProof/>
                <w:webHidden/>
              </w:rPr>
            </w:r>
            <w:r w:rsidR="009B0655">
              <w:rPr>
                <w:noProof/>
                <w:webHidden/>
              </w:rPr>
              <w:fldChar w:fldCharType="separate"/>
            </w:r>
            <w:r w:rsidR="009B0655">
              <w:rPr>
                <w:noProof/>
                <w:webHidden/>
              </w:rPr>
              <w:t>2</w:t>
            </w:r>
            <w:r w:rsidR="009B0655">
              <w:rPr>
                <w:noProof/>
                <w:webHidden/>
              </w:rPr>
              <w:fldChar w:fldCharType="end"/>
            </w:r>
          </w:hyperlink>
        </w:p>
        <w:p w14:paraId="0CD3E46F" w14:textId="0AF506D4" w:rsidR="009B0655" w:rsidRDefault="00000000">
          <w:pPr>
            <w:pStyle w:val="TOC1"/>
            <w:tabs>
              <w:tab w:val="right" w:leader="dot" w:pos="9016"/>
            </w:tabs>
            <w:rPr>
              <w:rFonts w:cstheme="minorBidi"/>
              <w:noProof/>
              <w:lang w:val="en-GB" w:eastAsia="en-GB"/>
            </w:rPr>
          </w:pPr>
          <w:hyperlink w:anchor="_Toc110608281" w:history="1">
            <w:r w:rsidR="009B0655" w:rsidRPr="00515811">
              <w:rPr>
                <w:rStyle w:val="Hyperlink"/>
                <w:noProof/>
              </w:rPr>
              <w:t>The importance of International Financial Management</w:t>
            </w:r>
            <w:r w:rsidR="009B0655">
              <w:rPr>
                <w:noProof/>
                <w:webHidden/>
              </w:rPr>
              <w:tab/>
            </w:r>
            <w:r w:rsidR="009B0655">
              <w:rPr>
                <w:noProof/>
                <w:webHidden/>
              </w:rPr>
              <w:fldChar w:fldCharType="begin"/>
            </w:r>
            <w:r w:rsidR="009B0655">
              <w:rPr>
                <w:noProof/>
                <w:webHidden/>
              </w:rPr>
              <w:instrText xml:space="preserve"> PAGEREF _Toc110608281 \h </w:instrText>
            </w:r>
            <w:r w:rsidR="009B0655">
              <w:rPr>
                <w:noProof/>
                <w:webHidden/>
              </w:rPr>
            </w:r>
            <w:r w:rsidR="009B0655">
              <w:rPr>
                <w:noProof/>
                <w:webHidden/>
              </w:rPr>
              <w:fldChar w:fldCharType="separate"/>
            </w:r>
            <w:r w:rsidR="009B0655">
              <w:rPr>
                <w:noProof/>
                <w:webHidden/>
              </w:rPr>
              <w:t>3</w:t>
            </w:r>
            <w:r w:rsidR="009B0655">
              <w:rPr>
                <w:noProof/>
                <w:webHidden/>
              </w:rPr>
              <w:fldChar w:fldCharType="end"/>
            </w:r>
          </w:hyperlink>
        </w:p>
        <w:p w14:paraId="37EF289A" w14:textId="27CD1763" w:rsidR="009B0655" w:rsidRDefault="00000000">
          <w:pPr>
            <w:pStyle w:val="TOC1"/>
            <w:tabs>
              <w:tab w:val="right" w:leader="dot" w:pos="9016"/>
            </w:tabs>
            <w:rPr>
              <w:rFonts w:cstheme="minorBidi"/>
              <w:noProof/>
              <w:lang w:val="en-GB" w:eastAsia="en-GB"/>
            </w:rPr>
          </w:pPr>
          <w:hyperlink w:anchor="_Toc110608282" w:history="1">
            <w:r w:rsidR="009B0655" w:rsidRPr="00515811">
              <w:rPr>
                <w:rStyle w:val="Hyperlink"/>
                <w:noProof/>
              </w:rPr>
              <w:t>Challenges on International markets for Nestle</w:t>
            </w:r>
            <w:r w:rsidR="009B0655">
              <w:rPr>
                <w:noProof/>
                <w:webHidden/>
              </w:rPr>
              <w:tab/>
            </w:r>
            <w:r w:rsidR="009B0655">
              <w:rPr>
                <w:noProof/>
                <w:webHidden/>
              </w:rPr>
              <w:fldChar w:fldCharType="begin"/>
            </w:r>
            <w:r w:rsidR="009B0655">
              <w:rPr>
                <w:noProof/>
                <w:webHidden/>
              </w:rPr>
              <w:instrText xml:space="preserve"> PAGEREF _Toc110608282 \h </w:instrText>
            </w:r>
            <w:r w:rsidR="009B0655">
              <w:rPr>
                <w:noProof/>
                <w:webHidden/>
              </w:rPr>
            </w:r>
            <w:r w:rsidR="009B0655">
              <w:rPr>
                <w:noProof/>
                <w:webHidden/>
              </w:rPr>
              <w:fldChar w:fldCharType="separate"/>
            </w:r>
            <w:r w:rsidR="009B0655">
              <w:rPr>
                <w:noProof/>
                <w:webHidden/>
              </w:rPr>
              <w:t>3</w:t>
            </w:r>
            <w:r w:rsidR="009B0655">
              <w:rPr>
                <w:noProof/>
                <w:webHidden/>
              </w:rPr>
              <w:fldChar w:fldCharType="end"/>
            </w:r>
          </w:hyperlink>
        </w:p>
        <w:p w14:paraId="6CF57136" w14:textId="27E913FF" w:rsidR="009B0655" w:rsidRDefault="00000000">
          <w:pPr>
            <w:pStyle w:val="TOC1"/>
            <w:tabs>
              <w:tab w:val="right" w:leader="dot" w:pos="9016"/>
            </w:tabs>
            <w:rPr>
              <w:rFonts w:cstheme="minorBidi"/>
              <w:noProof/>
              <w:lang w:val="en-GB" w:eastAsia="en-GB"/>
            </w:rPr>
          </w:pPr>
          <w:hyperlink w:anchor="_Toc110608283" w:history="1">
            <w:r w:rsidR="009B0655" w:rsidRPr="00515811">
              <w:rPr>
                <w:rStyle w:val="Hyperlink"/>
                <w:noProof/>
              </w:rPr>
              <w:t>Dividend policies</w:t>
            </w:r>
            <w:r w:rsidR="009B0655">
              <w:rPr>
                <w:noProof/>
                <w:webHidden/>
              </w:rPr>
              <w:tab/>
            </w:r>
            <w:r w:rsidR="009B0655">
              <w:rPr>
                <w:noProof/>
                <w:webHidden/>
              </w:rPr>
              <w:fldChar w:fldCharType="begin"/>
            </w:r>
            <w:r w:rsidR="009B0655">
              <w:rPr>
                <w:noProof/>
                <w:webHidden/>
              </w:rPr>
              <w:instrText xml:space="preserve"> PAGEREF _Toc110608283 \h </w:instrText>
            </w:r>
            <w:r w:rsidR="009B0655">
              <w:rPr>
                <w:noProof/>
                <w:webHidden/>
              </w:rPr>
            </w:r>
            <w:r w:rsidR="009B0655">
              <w:rPr>
                <w:noProof/>
                <w:webHidden/>
              </w:rPr>
              <w:fldChar w:fldCharType="separate"/>
            </w:r>
            <w:r w:rsidR="009B0655">
              <w:rPr>
                <w:noProof/>
                <w:webHidden/>
              </w:rPr>
              <w:t>4</w:t>
            </w:r>
            <w:r w:rsidR="009B0655">
              <w:rPr>
                <w:noProof/>
                <w:webHidden/>
              </w:rPr>
              <w:fldChar w:fldCharType="end"/>
            </w:r>
          </w:hyperlink>
        </w:p>
        <w:p w14:paraId="1F051995" w14:textId="60C34530" w:rsidR="009B0655" w:rsidRDefault="00000000">
          <w:pPr>
            <w:pStyle w:val="TOC1"/>
            <w:tabs>
              <w:tab w:val="right" w:leader="dot" w:pos="9016"/>
            </w:tabs>
            <w:rPr>
              <w:rFonts w:cstheme="minorBidi"/>
              <w:noProof/>
              <w:lang w:val="en-GB" w:eastAsia="en-GB"/>
            </w:rPr>
          </w:pPr>
          <w:hyperlink w:anchor="_Toc110608284" w:history="1">
            <w:r w:rsidR="009B0655" w:rsidRPr="00515811">
              <w:rPr>
                <w:rStyle w:val="Hyperlink"/>
                <w:noProof/>
              </w:rPr>
              <w:t>Efficient Market Hypothesis</w:t>
            </w:r>
            <w:r w:rsidR="009B0655">
              <w:rPr>
                <w:noProof/>
                <w:webHidden/>
              </w:rPr>
              <w:tab/>
            </w:r>
            <w:r w:rsidR="009B0655">
              <w:rPr>
                <w:noProof/>
                <w:webHidden/>
              </w:rPr>
              <w:fldChar w:fldCharType="begin"/>
            </w:r>
            <w:r w:rsidR="009B0655">
              <w:rPr>
                <w:noProof/>
                <w:webHidden/>
              </w:rPr>
              <w:instrText xml:space="preserve"> PAGEREF _Toc110608284 \h </w:instrText>
            </w:r>
            <w:r w:rsidR="009B0655">
              <w:rPr>
                <w:noProof/>
                <w:webHidden/>
              </w:rPr>
            </w:r>
            <w:r w:rsidR="009B0655">
              <w:rPr>
                <w:noProof/>
                <w:webHidden/>
              </w:rPr>
              <w:fldChar w:fldCharType="separate"/>
            </w:r>
            <w:r w:rsidR="009B0655">
              <w:rPr>
                <w:noProof/>
                <w:webHidden/>
              </w:rPr>
              <w:t>6</w:t>
            </w:r>
            <w:r w:rsidR="009B0655">
              <w:rPr>
                <w:noProof/>
                <w:webHidden/>
              </w:rPr>
              <w:fldChar w:fldCharType="end"/>
            </w:r>
          </w:hyperlink>
        </w:p>
        <w:p w14:paraId="21B33170" w14:textId="24C72AC2" w:rsidR="009B0655" w:rsidRDefault="00000000">
          <w:pPr>
            <w:pStyle w:val="TOC1"/>
            <w:tabs>
              <w:tab w:val="right" w:leader="dot" w:pos="9016"/>
            </w:tabs>
            <w:rPr>
              <w:rFonts w:cstheme="minorBidi"/>
              <w:noProof/>
              <w:lang w:val="en-GB" w:eastAsia="en-GB"/>
            </w:rPr>
          </w:pPr>
          <w:hyperlink w:anchor="_Toc110608285" w:history="1">
            <w:r w:rsidR="009B0655" w:rsidRPr="00515811">
              <w:rPr>
                <w:rStyle w:val="Hyperlink"/>
                <w:noProof/>
              </w:rPr>
              <w:t>Investment Appraisal</w:t>
            </w:r>
            <w:r w:rsidR="009B0655">
              <w:rPr>
                <w:noProof/>
                <w:webHidden/>
              </w:rPr>
              <w:tab/>
            </w:r>
            <w:r w:rsidR="009B0655">
              <w:rPr>
                <w:noProof/>
                <w:webHidden/>
              </w:rPr>
              <w:fldChar w:fldCharType="begin"/>
            </w:r>
            <w:r w:rsidR="009B0655">
              <w:rPr>
                <w:noProof/>
                <w:webHidden/>
              </w:rPr>
              <w:instrText xml:space="preserve"> PAGEREF _Toc110608285 \h </w:instrText>
            </w:r>
            <w:r w:rsidR="009B0655">
              <w:rPr>
                <w:noProof/>
                <w:webHidden/>
              </w:rPr>
            </w:r>
            <w:r w:rsidR="009B0655">
              <w:rPr>
                <w:noProof/>
                <w:webHidden/>
              </w:rPr>
              <w:fldChar w:fldCharType="separate"/>
            </w:r>
            <w:r w:rsidR="009B0655">
              <w:rPr>
                <w:noProof/>
                <w:webHidden/>
              </w:rPr>
              <w:t>6</w:t>
            </w:r>
            <w:r w:rsidR="009B0655">
              <w:rPr>
                <w:noProof/>
                <w:webHidden/>
              </w:rPr>
              <w:fldChar w:fldCharType="end"/>
            </w:r>
          </w:hyperlink>
        </w:p>
        <w:p w14:paraId="727C5406" w14:textId="16DF9BAD" w:rsidR="009B0655" w:rsidRDefault="00000000">
          <w:pPr>
            <w:pStyle w:val="TOC1"/>
            <w:tabs>
              <w:tab w:val="right" w:leader="dot" w:pos="9016"/>
            </w:tabs>
            <w:rPr>
              <w:rFonts w:cstheme="minorBidi"/>
              <w:noProof/>
              <w:lang w:val="en-GB" w:eastAsia="en-GB"/>
            </w:rPr>
          </w:pPr>
          <w:hyperlink w:anchor="_Toc110608286" w:history="1">
            <w:r w:rsidR="009B0655" w:rsidRPr="00515811">
              <w:rPr>
                <w:rStyle w:val="Hyperlink"/>
                <w:noProof/>
              </w:rPr>
              <w:t>Conclusion</w:t>
            </w:r>
            <w:r w:rsidR="009B0655">
              <w:rPr>
                <w:noProof/>
                <w:webHidden/>
              </w:rPr>
              <w:tab/>
            </w:r>
            <w:r w:rsidR="009B0655">
              <w:rPr>
                <w:noProof/>
                <w:webHidden/>
              </w:rPr>
              <w:fldChar w:fldCharType="begin"/>
            </w:r>
            <w:r w:rsidR="009B0655">
              <w:rPr>
                <w:noProof/>
                <w:webHidden/>
              </w:rPr>
              <w:instrText xml:space="preserve"> PAGEREF _Toc110608286 \h </w:instrText>
            </w:r>
            <w:r w:rsidR="009B0655">
              <w:rPr>
                <w:noProof/>
                <w:webHidden/>
              </w:rPr>
            </w:r>
            <w:r w:rsidR="009B0655">
              <w:rPr>
                <w:noProof/>
                <w:webHidden/>
              </w:rPr>
              <w:fldChar w:fldCharType="separate"/>
            </w:r>
            <w:r w:rsidR="009B0655">
              <w:rPr>
                <w:noProof/>
                <w:webHidden/>
              </w:rPr>
              <w:t>7</w:t>
            </w:r>
            <w:r w:rsidR="009B0655">
              <w:rPr>
                <w:noProof/>
                <w:webHidden/>
              </w:rPr>
              <w:fldChar w:fldCharType="end"/>
            </w:r>
          </w:hyperlink>
        </w:p>
        <w:p w14:paraId="26B06F2E" w14:textId="61BF36DD" w:rsidR="009B0655" w:rsidRDefault="00000000">
          <w:pPr>
            <w:pStyle w:val="TOC1"/>
            <w:tabs>
              <w:tab w:val="right" w:leader="dot" w:pos="9016"/>
            </w:tabs>
            <w:rPr>
              <w:rFonts w:cstheme="minorBidi"/>
              <w:noProof/>
              <w:lang w:val="en-GB" w:eastAsia="en-GB"/>
            </w:rPr>
          </w:pPr>
          <w:hyperlink w:anchor="_Toc110608287" w:history="1">
            <w:r w:rsidR="009B0655" w:rsidRPr="00515811">
              <w:rPr>
                <w:rStyle w:val="Hyperlink"/>
                <w:noProof/>
              </w:rPr>
              <w:t>References</w:t>
            </w:r>
            <w:r w:rsidR="009B0655">
              <w:rPr>
                <w:noProof/>
                <w:webHidden/>
              </w:rPr>
              <w:tab/>
            </w:r>
            <w:r w:rsidR="009B0655">
              <w:rPr>
                <w:noProof/>
                <w:webHidden/>
              </w:rPr>
              <w:fldChar w:fldCharType="begin"/>
            </w:r>
            <w:r w:rsidR="009B0655">
              <w:rPr>
                <w:noProof/>
                <w:webHidden/>
              </w:rPr>
              <w:instrText xml:space="preserve"> PAGEREF _Toc110608287 \h </w:instrText>
            </w:r>
            <w:r w:rsidR="009B0655">
              <w:rPr>
                <w:noProof/>
                <w:webHidden/>
              </w:rPr>
            </w:r>
            <w:r w:rsidR="009B0655">
              <w:rPr>
                <w:noProof/>
                <w:webHidden/>
              </w:rPr>
              <w:fldChar w:fldCharType="separate"/>
            </w:r>
            <w:r w:rsidR="009B0655">
              <w:rPr>
                <w:noProof/>
                <w:webHidden/>
              </w:rPr>
              <w:t>8</w:t>
            </w:r>
            <w:r w:rsidR="009B0655">
              <w:rPr>
                <w:noProof/>
                <w:webHidden/>
              </w:rPr>
              <w:fldChar w:fldCharType="end"/>
            </w:r>
          </w:hyperlink>
        </w:p>
        <w:p w14:paraId="539FDA76" w14:textId="59A5FB12" w:rsidR="0069652B" w:rsidRDefault="0069652B">
          <w:r>
            <w:rPr>
              <w:b/>
              <w:bCs/>
              <w:noProof/>
            </w:rPr>
            <w:fldChar w:fldCharType="end"/>
          </w:r>
        </w:p>
      </w:sdtContent>
    </w:sdt>
    <w:p w14:paraId="69AAD176" w14:textId="77777777" w:rsidR="0069652B" w:rsidRDefault="0069652B" w:rsidP="0009088D">
      <w:pPr>
        <w:rPr>
          <w:rFonts w:ascii="Arial" w:hAnsi="Arial" w:cs="Arial"/>
          <w:sz w:val="24"/>
          <w:szCs w:val="24"/>
        </w:rPr>
      </w:pPr>
    </w:p>
    <w:p w14:paraId="04F377B7" w14:textId="77777777" w:rsidR="0069652B" w:rsidRDefault="0069652B" w:rsidP="0009088D">
      <w:pPr>
        <w:rPr>
          <w:rFonts w:ascii="Arial" w:hAnsi="Arial" w:cs="Arial"/>
          <w:sz w:val="24"/>
          <w:szCs w:val="24"/>
        </w:rPr>
      </w:pPr>
    </w:p>
    <w:p w14:paraId="59A42C31" w14:textId="77777777" w:rsidR="0069652B" w:rsidRDefault="0069652B" w:rsidP="0009088D">
      <w:pPr>
        <w:rPr>
          <w:rFonts w:ascii="Arial" w:hAnsi="Arial" w:cs="Arial"/>
          <w:sz w:val="24"/>
          <w:szCs w:val="24"/>
        </w:rPr>
      </w:pPr>
    </w:p>
    <w:p w14:paraId="5AE48118" w14:textId="77777777" w:rsidR="0069652B" w:rsidRDefault="0069652B" w:rsidP="0009088D">
      <w:pPr>
        <w:rPr>
          <w:rFonts w:ascii="Arial" w:hAnsi="Arial" w:cs="Arial"/>
          <w:sz w:val="24"/>
          <w:szCs w:val="24"/>
        </w:rPr>
      </w:pPr>
    </w:p>
    <w:p w14:paraId="32B35B58" w14:textId="77777777" w:rsidR="0069652B" w:rsidRDefault="0069652B" w:rsidP="0009088D">
      <w:pPr>
        <w:rPr>
          <w:rFonts w:ascii="Arial" w:hAnsi="Arial" w:cs="Arial"/>
          <w:sz w:val="24"/>
          <w:szCs w:val="24"/>
        </w:rPr>
      </w:pPr>
    </w:p>
    <w:p w14:paraId="6CF8E5E3" w14:textId="77777777" w:rsidR="0069652B" w:rsidRDefault="0069652B" w:rsidP="0009088D">
      <w:pPr>
        <w:rPr>
          <w:rFonts w:ascii="Arial" w:hAnsi="Arial" w:cs="Arial"/>
          <w:sz w:val="24"/>
          <w:szCs w:val="24"/>
        </w:rPr>
      </w:pPr>
    </w:p>
    <w:p w14:paraId="21F0ABA1" w14:textId="77777777" w:rsidR="0069652B" w:rsidRDefault="0069652B" w:rsidP="0009088D">
      <w:pPr>
        <w:rPr>
          <w:rFonts w:ascii="Arial" w:hAnsi="Arial" w:cs="Arial"/>
          <w:sz w:val="24"/>
          <w:szCs w:val="24"/>
        </w:rPr>
      </w:pPr>
    </w:p>
    <w:p w14:paraId="58FCD52F" w14:textId="77777777" w:rsidR="0069652B" w:rsidRDefault="0069652B" w:rsidP="0009088D">
      <w:pPr>
        <w:rPr>
          <w:rFonts w:ascii="Arial" w:hAnsi="Arial" w:cs="Arial"/>
          <w:sz w:val="24"/>
          <w:szCs w:val="24"/>
        </w:rPr>
      </w:pPr>
    </w:p>
    <w:p w14:paraId="5AE8B271" w14:textId="77777777" w:rsidR="0069652B" w:rsidRDefault="0069652B" w:rsidP="0009088D">
      <w:pPr>
        <w:rPr>
          <w:rFonts w:ascii="Arial" w:hAnsi="Arial" w:cs="Arial"/>
          <w:sz w:val="24"/>
          <w:szCs w:val="24"/>
        </w:rPr>
      </w:pPr>
    </w:p>
    <w:p w14:paraId="5D01CD27" w14:textId="77777777" w:rsidR="0069652B" w:rsidRDefault="0069652B" w:rsidP="0009088D">
      <w:pPr>
        <w:rPr>
          <w:rFonts w:ascii="Arial" w:hAnsi="Arial" w:cs="Arial"/>
          <w:sz w:val="24"/>
          <w:szCs w:val="24"/>
        </w:rPr>
      </w:pPr>
    </w:p>
    <w:p w14:paraId="04A501CD" w14:textId="77777777" w:rsidR="0069652B" w:rsidRDefault="0069652B" w:rsidP="0009088D">
      <w:pPr>
        <w:rPr>
          <w:rFonts w:ascii="Arial" w:hAnsi="Arial" w:cs="Arial"/>
          <w:sz w:val="24"/>
          <w:szCs w:val="24"/>
        </w:rPr>
      </w:pPr>
    </w:p>
    <w:p w14:paraId="2012FBBF" w14:textId="77777777" w:rsidR="0069652B" w:rsidRDefault="0069652B" w:rsidP="0009088D">
      <w:pPr>
        <w:rPr>
          <w:rFonts w:ascii="Arial" w:hAnsi="Arial" w:cs="Arial"/>
          <w:sz w:val="24"/>
          <w:szCs w:val="24"/>
        </w:rPr>
      </w:pPr>
    </w:p>
    <w:p w14:paraId="16E85B0A" w14:textId="77777777" w:rsidR="0069652B" w:rsidRDefault="0069652B" w:rsidP="0009088D">
      <w:pPr>
        <w:rPr>
          <w:rFonts w:ascii="Arial" w:hAnsi="Arial" w:cs="Arial"/>
          <w:sz w:val="24"/>
          <w:szCs w:val="24"/>
        </w:rPr>
      </w:pPr>
    </w:p>
    <w:p w14:paraId="7A6C5B2E" w14:textId="77777777" w:rsidR="0069652B" w:rsidRDefault="0069652B" w:rsidP="0009088D">
      <w:pPr>
        <w:rPr>
          <w:rFonts w:ascii="Arial" w:hAnsi="Arial" w:cs="Arial"/>
          <w:sz w:val="24"/>
          <w:szCs w:val="24"/>
        </w:rPr>
      </w:pPr>
    </w:p>
    <w:p w14:paraId="69AF1C4D" w14:textId="77777777" w:rsidR="0069652B" w:rsidRDefault="0069652B" w:rsidP="0009088D">
      <w:pPr>
        <w:rPr>
          <w:rFonts w:ascii="Arial" w:hAnsi="Arial" w:cs="Arial"/>
          <w:sz w:val="24"/>
          <w:szCs w:val="24"/>
        </w:rPr>
      </w:pPr>
    </w:p>
    <w:p w14:paraId="3D9FCE26" w14:textId="77777777" w:rsidR="0069652B" w:rsidRDefault="0069652B" w:rsidP="0009088D">
      <w:pPr>
        <w:rPr>
          <w:rFonts w:ascii="Arial" w:hAnsi="Arial" w:cs="Arial"/>
          <w:sz w:val="24"/>
          <w:szCs w:val="24"/>
        </w:rPr>
      </w:pPr>
    </w:p>
    <w:p w14:paraId="41A28226" w14:textId="77777777" w:rsidR="0069652B" w:rsidRDefault="0069652B" w:rsidP="0009088D">
      <w:pPr>
        <w:rPr>
          <w:rFonts w:ascii="Arial" w:hAnsi="Arial" w:cs="Arial"/>
          <w:sz w:val="24"/>
          <w:szCs w:val="24"/>
        </w:rPr>
      </w:pPr>
    </w:p>
    <w:p w14:paraId="2FE2B5F6" w14:textId="77777777" w:rsidR="0069652B" w:rsidRDefault="0069652B" w:rsidP="0009088D">
      <w:pPr>
        <w:rPr>
          <w:rFonts w:ascii="Arial" w:hAnsi="Arial" w:cs="Arial"/>
          <w:sz w:val="24"/>
          <w:szCs w:val="24"/>
        </w:rPr>
      </w:pPr>
    </w:p>
    <w:p w14:paraId="612E9814" w14:textId="77777777" w:rsidR="0069652B" w:rsidRDefault="0069652B" w:rsidP="0009088D">
      <w:pPr>
        <w:rPr>
          <w:rFonts w:ascii="Arial" w:hAnsi="Arial" w:cs="Arial"/>
          <w:sz w:val="24"/>
          <w:szCs w:val="24"/>
        </w:rPr>
      </w:pPr>
    </w:p>
    <w:p w14:paraId="696DE118" w14:textId="77777777" w:rsidR="0069652B" w:rsidRDefault="0069652B" w:rsidP="0009088D">
      <w:pPr>
        <w:rPr>
          <w:rFonts w:ascii="Arial" w:hAnsi="Arial" w:cs="Arial"/>
          <w:sz w:val="24"/>
          <w:szCs w:val="24"/>
        </w:rPr>
      </w:pPr>
    </w:p>
    <w:p w14:paraId="29F0EA04" w14:textId="77777777" w:rsidR="0069652B" w:rsidRDefault="0069652B" w:rsidP="0009088D">
      <w:pPr>
        <w:rPr>
          <w:rFonts w:ascii="Arial" w:hAnsi="Arial" w:cs="Arial"/>
          <w:sz w:val="24"/>
          <w:szCs w:val="24"/>
        </w:rPr>
      </w:pPr>
    </w:p>
    <w:p w14:paraId="4EE60D88" w14:textId="32D18F23" w:rsidR="00871436" w:rsidRDefault="00871436" w:rsidP="009B0655">
      <w:pPr>
        <w:pStyle w:val="Heading1"/>
      </w:pPr>
      <w:bookmarkStart w:id="0" w:name="_Toc110608280"/>
      <w:r>
        <w:lastRenderedPageBreak/>
        <w:t>Introduction</w:t>
      </w:r>
      <w:bookmarkEnd w:id="0"/>
    </w:p>
    <w:p w14:paraId="647FCF5D" w14:textId="2A864E25" w:rsidR="00C11C00" w:rsidRDefault="00C830A7" w:rsidP="0009088D">
      <w:pPr>
        <w:rPr>
          <w:rFonts w:ascii="Arial" w:hAnsi="Arial" w:cs="Arial"/>
          <w:sz w:val="24"/>
          <w:szCs w:val="24"/>
        </w:rPr>
      </w:pPr>
      <w:r w:rsidRPr="00C830A7">
        <w:rPr>
          <w:rFonts w:ascii="Arial" w:hAnsi="Arial" w:cs="Arial"/>
          <w:sz w:val="24"/>
          <w:szCs w:val="24"/>
        </w:rPr>
        <w:t>Th</w:t>
      </w:r>
      <w:r w:rsidR="004B2AF6">
        <w:rPr>
          <w:rFonts w:ascii="Arial" w:hAnsi="Arial" w:cs="Arial"/>
          <w:sz w:val="24"/>
          <w:szCs w:val="24"/>
        </w:rPr>
        <w:t>is</w:t>
      </w:r>
      <w:r w:rsidRPr="00C830A7">
        <w:rPr>
          <w:rFonts w:ascii="Arial" w:hAnsi="Arial" w:cs="Arial"/>
          <w:sz w:val="24"/>
          <w:szCs w:val="24"/>
        </w:rPr>
        <w:t xml:space="preserve"> report will analyse</w:t>
      </w:r>
      <w:r w:rsidR="00501B58">
        <w:rPr>
          <w:rFonts w:ascii="Arial" w:hAnsi="Arial" w:cs="Arial"/>
          <w:sz w:val="24"/>
          <w:szCs w:val="24"/>
        </w:rPr>
        <w:t xml:space="preserve"> </w:t>
      </w:r>
      <w:r w:rsidRPr="00C830A7">
        <w:rPr>
          <w:rFonts w:ascii="Arial" w:hAnsi="Arial" w:cs="Arial"/>
          <w:sz w:val="24"/>
          <w:szCs w:val="24"/>
        </w:rPr>
        <w:t>the company's market hypothesis, dividend policy and investor appraisal</w:t>
      </w:r>
      <w:r w:rsidR="004B2AF6">
        <w:rPr>
          <w:rFonts w:ascii="Arial" w:hAnsi="Arial" w:cs="Arial"/>
          <w:sz w:val="24"/>
          <w:szCs w:val="24"/>
        </w:rPr>
        <w:t xml:space="preserve"> and a critical analysis of Nestle S.A will be presented.</w:t>
      </w:r>
    </w:p>
    <w:p w14:paraId="2143DD13" w14:textId="12B78135" w:rsidR="0009088D" w:rsidRDefault="0009088D" w:rsidP="0009088D">
      <w:pPr>
        <w:rPr>
          <w:rFonts w:ascii="Arial" w:hAnsi="Arial" w:cs="Arial"/>
          <w:sz w:val="24"/>
          <w:szCs w:val="24"/>
        </w:rPr>
      </w:pPr>
      <w:r w:rsidRPr="007206FD">
        <w:rPr>
          <w:rFonts w:ascii="Arial" w:hAnsi="Arial" w:cs="Arial"/>
          <w:sz w:val="24"/>
          <w:szCs w:val="24"/>
        </w:rPr>
        <w:t>Nestlé is the world's largest and most diverse food and beverage company based in Vevey, Switzerland, and employs approximately 276,000 people globally. Nestlé, as a global corporation, serves a wide range of consumer markets with a 44.9 per cent regional share of global sales, with the Americas as a l</w:t>
      </w:r>
      <w:r w:rsidR="00461B98">
        <w:rPr>
          <w:rFonts w:ascii="Arial" w:hAnsi="Arial" w:cs="Arial"/>
          <w:sz w:val="24"/>
          <w:szCs w:val="24"/>
        </w:rPr>
        <w:t>ea</w:t>
      </w:r>
      <w:r w:rsidRPr="007206FD">
        <w:rPr>
          <w:rFonts w:ascii="Arial" w:hAnsi="Arial" w:cs="Arial"/>
          <w:sz w:val="24"/>
          <w:szCs w:val="24"/>
        </w:rPr>
        <w:t xml:space="preserve">ding market accounting for 26.6 billion Swiss francs, followed by Europe, the Middle East, and Africa (Statista Research Department, 2022). The company's market capitalization is at 336.79 billion market value, with net sales of 93.6 billion USD and a net profit of 16.9 billion CHF. </w:t>
      </w:r>
      <w:r w:rsidR="00BD217B">
        <w:rPr>
          <w:rFonts w:ascii="Arial" w:hAnsi="Arial" w:cs="Arial"/>
          <w:sz w:val="24"/>
          <w:szCs w:val="24"/>
        </w:rPr>
        <w:t>Nestle is c</w:t>
      </w:r>
      <w:r w:rsidRPr="007206FD">
        <w:rPr>
          <w:rFonts w:ascii="Arial" w:hAnsi="Arial" w:cs="Arial"/>
          <w:sz w:val="24"/>
          <w:szCs w:val="24"/>
        </w:rPr>
        <w:t xml:space="preserve">urrently </w:t>
      </w:r>
      <w:r w:rsidR="00BD217B">
        <w:rPr>
          <w:rFonts w:ascii="Arial" w:hAnsi="Arial" w:cs="Arial"/>
          <w:sz w:val="24"/>
          <w:szCs w:val="24"/>
        </w:rPr>
        <w:t xml:space="preserve">the second largest worldwide </w:t>
      </w:r>
      <w:r w:rsidRPr="007206FD">
        <w:rPr>
          <w:rFonts w:ascii="Arial" w:hAnsi="Arial" w:cs="Arial"/>
          <w:sz w:val="24"/>
          <w:szCs w:val="24"/>
        </w:rPr>
        <w:t xml:space="preserve">food and beverage industry with </w:t>
      </w:r>
      <w:r w:rsidR="00BD217B">
        <w:rPr>
          <w:rFonts w:ascii="Arial" w:hAnsi="Arial" w:cs="Arial"/>
          <w:sz w:val="24"/>
          <w:szCs w:val="24"/>
        </w:rPr>
        <w:t xml:space="preserve">43,476 billion </w:t>
      </w:r>
      <w:r w:rsidR="00670825">
        <w:rPr>
          <w:rFonts w:ascii="Arial" w:hAnsi="Arial" w:cs="Arial"/>
          <w:sz w:val="24"/>
          <w:szCs w:val="24"/>
        </w:rPr>
        <w:t>revenues</w:t>
      </w:r>
      <w:r w:rsidR="00BD217B">
        <w:rPr>
          <w:rFonts w:ascii="Arial" w:hAnsi="Arial" w:cs="Arial"/>
          <w:sz w:val="24"/>
          <w:szCs w:val="24"/>
        </w:rPr>
        <w:t xml:space="preserve"> coming from beverage sector and market leader in 2019 with 93.1 billion </w:t>
      </w:r>
      <w:r w:rsidR="00670825">
        <w:rPr>
          <w:rFonts w:ascii="Arial" w:hAnsi="Arial" w:cs="Arial"/>
          <w:sz w:val="24"/>
          <w:szCs w:val="24"/>
        </w:rPr>
        <w:t>revenues</w:t>
      </w:r>
      <w:r w:rsidR="00BD217B">
        <w:rPr>
          <w:rFonts w:ascii="Arial" w:hAnsi="Arial" w:cs="Arial"/>
          <w:sz w:val="24"/>
          <w:szCs w:val="24"/>
        </w:rPr>
        <w:t xml:space="preserve"> </w:t>
      </w:r>
      <w:sdt>
        <w:sdtPr>
          <w:rPr>
            <w:rFonts w:ascii="Arial" w:hAnsi="Arial" w:cs="Arial"/>
            <w:sz w:val="24"/>
            <w:szCs w:val="24"/>
          </w:rPr>
          <w:id w:val="-1878930049"/>
          <w:citation/>
        </w:sdtPr>
        <w:sdtContent>
          <w:r w:rsidR="00BD217B">
            <w:rPr>
              <w:rFonts w:ascii="Arial" w:hAnsi="Arial" w:cs="Arial"/>
              <w:sz w:val="24"/>
              <w:szCs w:val="24"/>
            </w:rPr>
            <w:fldChar w:fldCharType="begin"/>
          </w:r>
          <w:r w:rsidR="00BD217B">
            <w:rPr>
              <w:rFonts w:ascii="Arial" w:hAnsi="Arial" w:cs="Arial"/>
              <w:sz w:val="24"/>
              <w:szCs w:val="24"/>
            </w:rPr>
            <w:instrText xml:space="preserve"> CITATION Nil22 \l 2057 </w:instrText>
          </w:r>
          <w:r w:rsidR="00BD217B">
            <w:rPr>
              <w:rFonts w:ascii="Arial" w:hAnsi="Arial" w:cs="Arial"/>
              <w:sz w:val="24"/>
              <w:szCs w:val="24"/>
            </w:rPr>
            <w:fldChar w:fldCharType="separate"/>
          </w:r>
          <w:r w:rsidR="00BD217B" w:rsidRPr="00BD217B">
            <w:rPr>
              <w:rFonts w:ascii="Arial" w:hAnsi="Arial" w:cs="Arial"/>
              <w:noProof/>
              <w:sz w:val="24"/>
              <w:szCs w:val="24"/>
            </w:rPr>
            <w:t>(Wunsch, 2022)</w:t>
          </w:r>
          <w:r w:rsidR="00BD217B">
            <w:rPr>
              <w:rFonts w:ascii="Arial" w:hAnsi="Arial" w:cs="Arial"/>
              <w:sz w:val="24"/>
              <w:szCs w:val="24"/>
            </w:rPr>
            <w:fldChar w:fldCharType="end"/>
          </w:r>
        </w:sdtContent>
      </w:sdt>
      <w:r w:rsidR="00BD217B">
        <w:rPr>
          <w:rFonts w:ascii="Arial" w:hAnsi="Arial" w:cs="Arial"/>
          <w:sz w:val="24"/>
          <w:szCs w:val="24"/>
        </w:rPr>
        <w:t>.</w:t>
      </w:r>
      <w:r w:rsidR="00670825">
        <w:rPr>
          <w:rFonts w:ascii="Arial" w:hAnsi="Arial" w:cs="Arial"/>
          <w:sz w:val="24"/>
          <w:szCs w:val="24"/>
        </w:rPr>
        <w:t xml:space="preserve"> The food and beverage industry has a high competition and Nestle competitors are listed on the figures bellow.</w:t>
      </w:r>
    </w:p>
    <w:p w14:paraId="24E48973" w14:textId="22321E95" w:rsidR="00670825" w:rsidRDefault="00670825" w:rsidP="0009088D">
      <w:pPr>
        <w:rPr>
          <w:noProof/>
        </w:rPr>
      </w:pPr>
      <w:r w:rsidRPr="00670825">
        <w:rPr>
          <w:rFonts w:ascii="Arial" w:hAnsi="Arial" w:cs="Arial"/>
          <w:noProof/>
          <w:sz w:val="24"/>
          <w:szCs w:val="24"/>
        </w:rPr>
        <w:drawing>
          <wp:inline distT="0" distB="0" distL="0" distR="0" wp14:anchorId="51BD4A27" wp14:editId="796EEF33">
            <wp:extent cx="2705864" cy="161411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52189" cy="1641749"/>
                    </a:xfrm>
                    <a:prstGeom prst="rect">
                      <a:avLst/>
                    </a:prstGeom>
                  </pic:spPr>
                </pic:pic>
              </a:graphicData>
            </a:graphic>
          </wp:inline>
        </w:drawing>
      </w:r>
      <w:r w:rsidRPr="00670825">
        <w:rPr>
          <w:noProof/>
        </w:rPr>
        <w:t xml:space="preserve"> </w:t>
      </w:r>
      <w:r w:rsidRPr="00670825">
        <w:rPr>
          <w:rFonts w:ascii="Arial" w:hAnsi="Arial" w:cs="Arial"/>
          <w:noProof/>
          <w:sz w:val="24"/>
          <w:szCs w:val="24"/>
        </w:rPr>
        <w:drawing>
          <wp:inline distT="0" distB="0" distL="0" distR="0" wp14:anchorId="6CFC3366" wp14:editId="491B7994">
            <wp:extent cx="2358119" cy="171748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09296" cy="1754756"/>
                    </a:xfrm>
                    <a:prstGeom prst="rect">
                      <a:avLst/>
                    </a:prstGeom>
                  </pic:spPr>
                </pic:pic>
              </a:graphicData>
            </a:graphic>
          </wp:inline>
        </w:drawing>
      </w:r>
    </w:p>
    <w:p w14:paraId="77CC0D99" w14:textId="3FE521CF" w:rsidR="002753EE" w:rsidRPr="007206FD" w:rsidRDefault="00671B92" w:rsidP="002753EE">
      <w:pPr>
        <w:jc w:val="center"/>
        <w:rPr>
          <w:rFonts w:ascii="Arial" w:hAnsi="Arial" w:cs="Arial"/>
          <w:sz w:val="24"/>
          <w:szCs w:val="24"/>
        </w:rPr>
      </w:pPr>
      <w:r w:rsidRPr="00671B92">
        <w:rPr>
          <w:rFonts w:ascii="Arial" w:hAnsi="Arial" w:cs="Arial"/>
          <w:noProof/>
        </w:rPr>
        <w:t>(Wunsch, 2022)</w:t>
      </w:r>
      <w:r w:rsidRPr="00671B92">
        <w:rPr>
          <w:rFonts w:ascii="Arial" w:hAnsi="Arial" w:cs="Arial"/>
          <w:noProof/>
          <w:sz w:val="24"/>
          <w:szCs w:val="24"/>
        </w:rPr>
        <w:t xml:space="preserve"> (Ridder, 20</w:t>
      </w:r>
      <w:r w:rsidRPr="002753EE">
        <w:rPr>
          <w:rFonts w:ascii="Arial" w:hAnsi="Arial" w:cs="Arial"/>
          <w:noProof/>
          <w:sz w:val="24"/>
          <w:szCs w:val="24"/>
        </w:rPr>
        <w:t>22)</w:t>
      </w:r>
    </w:p>
    <w:p w14:paraId="0F5CA824" w14:textId="2D55C9AA" w:rsidR="00A10718" w:rsidRDefault="0009088D" w:rsidP="0009088D">
      <w:pPr>
        <w:rPr>
          <w:rFonts w:ascii="Arial" w:hAnsi="Arial" w:cs="Arial"/>
          <w:sz w:val="24"/>
          <w:szCs w:val="24"/>
        </w:rPr>
      </w:pPr>
      <w:r w:rsidRPr="007206FD">
        <w:rPr>
          <w:rFonts w:ascii="Arial" w:hAnsi="Arial" w:cs="Arial"/>
          <w:sz w:val="24"/>
          <w:szCs w:val="24"/>
        </w:rPr>
        <w:t xml:space="preserve">Nestlé owns and operates a diverse range of food and beverage brands. Nestlé Toll House, Gerber, and Nescafé are some of its most well-known brands. The powdered and liquid beverage categories account for most of the group's sales, followed by Pet </w:t>
      </w:r>
      <w:r w:rsidRPr="00444BE8">
        <w:rPr>
          <w:rFonts w:ascii="Arial" w:hAnsi="Arial" w:cs="Arial"/>
          <w:sz w:val="24"/>
          <w:szCs w:val="24"/>
        </w:rPr>
        <w:t xml:space="preserve">Care products. In 2021, Nestle was the sixth largest confectionary company, divided into chocolate, sugar confectionary and biscuits. KitKat, Smarties, and Aero are a few of the confectionary brands owned by Nestle. The chocolate sector was the largest of these categories in 2021, with sales of more than 5.7 billion Swiss francs. (Wunsch, 2022). Nestle's most significant competitors in the </w:t>
      </w:r>
      <w:r w:rsidR="00E208F9">
        <w:rPr>
          <w:rFonts w:ascii="Arial" w:hAnsi="Arial" w:cs="Arial"/>
          <w:sz w:val="24"/>
          <w:szCs w:val="24"/>
        </w:rPr>
        <w:t xml:space="preserve">food and </w:t>
      </w:r>
      <w:r w:rsidRPr="00444BE8">
        <w:rPr>
          <w:rFonts w:ascii="Arial" w:hAnsi="Arial" w:cs="Arial"/>
          <w:sz w:val="24"/>
          <w:szCs w:val="24"/>
        </w:rPr>
        <w:t>beverage industry are Anheuser-Busch InBev, Coca Cola and PepsiCo, based on Statista research 2020 (Ridder, 2022).</w:t>
      </w:r>
    </w:p>
    <w:p w14:paraId="4F264929" w14:textId="0AC569CD" w:rsidR="00085593" w:rsidRDefault="00085593" w:rsidP="009B0655">
      <w:pPr>
        <w:pStyle w:val="Heading1"/>
      </w:pPr>
      <w:bookmarkStart w:id="1" w:name="_Toc110608281"/>
      <w:r>
        <w:t>The importance of International Financial Management</w:t>
      </w:r>
      <w:bookmarkEnd w:id="1"/>
    </w:p>
    <w:p w14:paraId="70DCCE93" w14:textId="6D18624F" w:rsidR="00F80897" w:rsidRDefault="00BB5234" w:rsidP="002662BD">
      <w:pPr>
        <w:rPr>
          <w:rFonts w:ascii="Arial" w:hAnsi="Arial" w:cs="Arial"/>
          <w:sz w:val="24"/>
          <w:szCs w:val="24"/>
        </w:rPr>
      </w:pPr>
      <w:r w:rsidRPr="00C830A7">
        <w:rPr>
          <w:rFonts w:ascii="Arial" w:hAnsi="Arial" w:cs="Arial"/>
          <w:sz w:val="24"/>
          <w:szCs w:val="24"/>
        </w:rPr>
        <w:t xml:space="preserve">The world continues to develop, and globalisation is increasing accordingly. Every country depends on one another. Developed countries seek low-cost labour from developing countries while developing countries seek services and products. International finance is critical when </w:t>
      </w:r>
      <w:r>
        <w:rPr>
          <w:rFonts w:ascii="Arial" w:hAnsi="Arial" w:cs="Arial"/>
          <w:sz w:val="24"/>
          <w:szCs w:val="24"/>
        </w:rPr>
        <w:t xml:space="preserve">multinational corporations (MNC) are </w:t>
      </w:r>
      <w:r w:rsidRPr="00C830A7">
        <w:rPr>
          <w:rFonts w:ascii="Arial" w:hAnsi="Arial" w:cs="Arial"/>
          <w:sz w:val="24"/>
          <w:szCs w:val="24"/>
        </w:rPr>
        <w:t>trading deals between two countries to ensure no regulatory violations are present, and local government intervention ensures that both parties do not face competition</w:t>
      </w:r>
      <w:r>
        <w:rPr>
          <w:rFonts w:ascii="Arial" w:hAnsi="Arial" w:cs="Arial"/>
          <w:sz w:val="24"/>
          <w:szCs w:val="24"/>
        </w:rPr>
        <w:t xml:space="preserve"> </w:t>
      </w:r>
      <w:sdt>
        <w:sdtPr>
          <w:rPr>
            <w:rFonts w:ascii="Arial" w:hAnsi="Arial" w:cs="Arial"/>
            <w:sz w:val="24"/>
            <w:szCs w:val="24"/>
          </w:rPr>
          <w:id w:val="1134672465"/>
          <w:citation/>
        </w:sdtPr>
        <w:sdtContent>
          <w:r>
            <w:rPr>
              <w:rFonts w:ascii="Arial" w:hAnsi="Arial" w:cs="Arial"/>
              <w:sz w:val="24"/>
              <w:szCs w:val="24"/>
            </w:rPr>
            <w:fldChar w:fldCharType="begin"/>
          </w:r>
          <w:r>
            <w:rPr>
              <w:rFonts w:ascii="Arial" w:hAnsi="Arial" w:cs="Arial"/>
              <w:sz w:val="24"/>
              <w:szCs w:val="24"/>
              <w:lang w:val="en-US"/>
            </w:rPr>
            <w:instrText xml:space="preserve">CITATION Fai15 \l 1033 </w:instrText>
          </w:r>
          <w:r>
            <w:rPr>
              <w:rFonts w:ascii="Arial" w:hAnsi="Arial" w:cs="Arial"/>
              <w:sz w:val="24"/>
              <w:szCs w:val="24"/>
            </w:rPr>
            <w:fldChar w:fldCharType="separate"/>
          </w:r>
          <w:r w:rsidRPr="0059321D">
            <w:rPr>
              <w:rFonts w:ascii="Arial" w:hAnsi="Arial" w:cs="Arial"/>
              <w:noProof/>
              <w:sz w:val="24"/>
              <w:szCs w:val="24"/>
              <w:lang w:val="en-US"/>
            </w:rPr>
            <w:t>(Hamdi, 2015)</w:t>
          </w:r>
          <w:r>
            <w:rPr>
              <w:rFonts w:ascii="Arial" w:hAnsi="Arial" w:cs="Arial"/>
              <w:sz w:val="24"/>
              <w:szCs w:val="24"/>
            </w:rPr>
            <w:fldChar w:fldCharType="end"/>
          </w:r>
        </w:sdtContent>
      </w:sdt>
      <w:r w:rsidRPr="00C830A7">
        <w:rPr>
          <w:rFonts w:ascii="Arial" w:hAnsi="Arial" w:cs="Arial"/>
          <w:sz w:val="24"/>
          <w:szCs w:val="24"/>
        </w:rPr>
        <w:t>.</w:t>
      </w:r>
      <w:r>
        <w:rPr>
          <w:rFonts w:ascii="Arial" w:hAnsi="Arial" w:cs="Arial"/>
          <w:sz w:val="24"/>
          <w:szCs w:val="24"/>
        </w:rPr>
        <w:t xml:space="preserve"> Multinational corporations are regional companies looking to expand internationally opening subsidiaries in different international markets.</w:t>
      </w:r>
      <w:r w:rsidR="00D74548">
        <w:rPr>
          <w:rFonts w:ascii="Arial" w:hAnsi="Arial" w:cs="Arial"/>
          <w:sz w:val="24"/>
          <w:szCs w:val="24"/>
        </w:rPr>
        <w:t xml:space="preserve"> When MNC are </w:t>
      </w:r>
      <w:r w:rsidR="00D74548">
        <w:rPr>
          <w:rFonts w:ascii="Arial" w:hAnsi="Arial" w:cs="Arial"/>
          <w:sz w:val="24"/>
          <w:szCs w:val="24"/>
        </w:rPr>
        <w:lastRenderedPageBreak/>
        <w:t xml:space="preserve">trading their products or services internationally they face various risk as </w:t>
      </w:r>
      <w:r w:rsidR="00D74548" w:rsidRPr="00444BE8">
        <w:rPr>
          <w:rFonts w:ascii="Arial" w:hAnsi="Arial" w:cs="Arial"/>
          <w:color w:val="0E101A"/>
          <w:sz w:val="24"/>
          <w:szCs w:val="24"/>
        </w:rPr>
        <w:t xml:space="preserve">foreign exchange, market flaws, </w:t>
      </w:r>
      <w:r w:rsidR="00137542">
        <w:rPr>
          <w:rFonts w:ascii="Arial" w:hAnsi="Arial" w:cs="Arial"/>
          <w:color w:val="0E101A"/>
          <w:sz w:val="24"/>
          <w:szCs w:val="24"/>
        </w:rPr>
        <w:t>legal</w:t>
      </w:r>
      <w:r w:rsidR="00D74548" w:rsidRPr="00444BE8">
        <w:rPr>
          <w:rFonts w:ascii="Arial" w:hAnsi="Arial" w:cs="Arial"/>
          <w:color w:val="0E101A"/>
          <w:sz w:val="24"/>
          <w:szCs w:val="24"/>
        </w:rPr>
        <w:t xml:space="preserve"> and political risks</w:t>
      </w:r>
      <w:r w:rsidR="00137542">
        <w:rPr>
          <w:rFonts w:ascii="Arial" w:hAnsi="Arial" w:cs="Arial"/>
          <w:color w:val="0E101A"/>
          <w:sz w:val="24"/>
          <w:szCs w:val="24"/>
        </w:rPr>
        <w:t xml:space="preserve">, and economical </w:t>
      </w:r>
      <w:r w:rsidR="00085593">
        <w:rPr>
          <w:rFonts w:ascii="Arial" w:hAnsi="Arial" w:cs="Arial"/>
          <w:color w:val="0E101A"/>
          <w:sz w:val="24"/>
          <w:szCs w:val="24"/>
        </w:rPr>
        <w:t>risks</w:t>
      </w:r>
      <w:r w:rsidR="00D74548">
        <w:rPr>
          <w:rFonts w:ascii="Arial" w:hAnsi="Arial" w:cs="Arial"/>
          <w:color w:val="0E101A"/>
          <w:sz w:val="24"/>
          <w:szCs w:val="24"/>
        </w:rPr>
        <w:t xml:space="preserve"> which can </w:t>
      </w:r>
      <w:r w:rsidR="00F52CF8">
        <w:rPr>
          <w:rFonts w:ascii="Arial" w:hAnsi="Arial" w:cs="Arial"/>
          <w:color w:val="0E101A"/>
          <w:sz w:val="24"/>
          <w:szCs w:val="24"/>
        </w:rPr>
        <w:t xml:space="preserve">result in positive or negative </w:t>
      </w:r>
      <w:r w:rsidR="00D74548">
        <w:rPr>
          <w:rFonts w:ascii="Arial" w:hAnsi="Arial" w:cs="Arial"/>
          <w:color w:val="0E101A"/>
          <w:sz w:val="24"/>
          <w:szCs w:val="24"/>
        </w:rPr>
        <w:t>challenges on international markets for any corporation worldwide</w:t>
      </w:r>
      <w:sdt>
        <w:sdtPr>
          <w:rPr>
            <w:rFonts w:ascii="Arial" w:hAnsi="Arial" w:cs="Arial"/>
            <w:color w:val="0E101A"/>
            <w:sz w:val="24"/>
            <w:szCs w:val="24"/>
          </w:rPr>
          <w:id w:val="1825080828"/>
          <w:citation/>
        </w:sdtPr>
        <w:sdtContent>
          <w:r w:rsidR="00D74548">
            <w:rPr>
              <w:rFonts w:ascii="Arial" w:hAnsi="Arial" w:cs="Arial"/>
              <w:color w:val="0E101A"/>
              <w:sz w:val="24"/>
              <w:szCs w:val="24"/>
            </w:rPr>
            <w:fldChar w:fldCharType="begin"/>
          </w:r>
          <w:r w:rsidR="00D74548">
            <w:rPr>
              <w:rFonts w:ascii="Arial" w:hAnsi="Arial" w:cs="Arial"/>
              <w:color w:val="0E101A"/>
              <w:sz w:val="24"/>
              <w:szCs w:val="24"/>
            </w:rPr>
            <w:instrText xml:space="preserve"> CITATION Bek13 \l 2057 </w:instrText>
          </w:r>
          <w:r w:rsidR="00D74548">
            <w:rPr>
              <w:rFonts w:ascii="Arial" w:hAnsi="Arial" w:cs="Arial"/>
              <w:color w:val="0E101A"/>
              <w:sz w:val="24"/>
              <w:szCs w:val="24"/>
            </w:rPr>
            <w:fldChar w:fldCharType="separate"/>
          </w:r>
          <w:r w:rsidR="00D74548">
            <w:rPr>
              <w:rFonts w:ascii="Arial" w:hAnsi="Arial" w:cs="Arial"/>
              <w:noProof/>
              <w:color w:val="0E101A"/>
              <w:sz w:val="24"/>
              <w:szCs w:val="24"/>
            </w:rPr>
            <w:t xml:space="preserve"> </w:t>
          </w:r>
          <w:r w:rsidR="00D74548" w:rsidRPr="005D3856">
            <w:rPr>
              <w:rFonts w:ascii="Arial" w:hAnsi="Arial" w:cs="Arial"/>
              <w:noProof/>
              <w:color w:val="0E101A"/>
              <w:sz w:val="24"/>
              <w:szCs w:val="24"/>
            </w:rPr>
            <w:t>(Bekaert, 2013)</w:t>
          </w:r>
          <w:r w:rsidR="00D74548">
            <w:rPr>
              <w:rFonts w:ascii="Arial" w:hAnsi="Arial" w:cs="Arial"/>
              <w:color w:val="0E101A"/>
              <w:sz w:val="24"/>
              <w:szCs w:val="24"/>
            </w:rPr>
            <w:fldChar w:fldCharType="end"/>
          </w:r>
        </w:sdtContent>
      </w:sdt>
      <w:r w:rsidR="00D74548">
        <w:rPr>
          <w:rFonts w:ascii="Arial" w:hAnsi="Arial" w:cs="Arial"/>
          <w:color w:val="0E101A"/>
          <w:sz w:val="24"/>
          <w:szCs w:val="24"/>
        </w:rPr>
        <w:t>.</w:t>
      </w:r>
      <w:r w:rsidR="007241AB">
        <w:rPr>
          <w:rFonts w:ascii="Arial" w:hAnsi="Arial" w:cs="Arial"/>
          <w:color w:val="0E101A"/>
          <w:sz w:val="24"/>
          <w:szCs w:val="24"/>
        </w:rPr>
        <w:t xml:space="preserve"> </w:t>
      </w:r>
      <w:r w:rsidR="00C37B71" w:rsidRPr="00444BE8">
        <w:rPr>
          <w:rFonts w:ascii="Arial" w:hAnsi="Arial" w:cs="Arial"/>
          <w:color w:val="0E101A"/>
          <w:sz w:val="24"/>
          <w:szCs w:val="24"/>
        </w:rPr>
        <w:t xml:space="preserve">The advanced telecommunications and technology </w:t>
      </w:r>
      <w:r w:rsidR="00C37B71">
        <w:rPr>
          <w:rFonts w:ascii="Arial" w:hAnsi="Arial" w:cs="Arial"/>
          <w:color w:val="0E101A"/>
          <w:sz w:val="24"/>
          <w:szCs w:val="24"/>
        </w:rPr>
        <w:t xml:space="preserve">which </w:t>
      </w:r>
      <w:r w:rsidR="00C37B71" w:rsidRPr="00444BE8">
        <w:rPr>
          <w:rFonts w:ascii="Arial" w:hAnsi="Arial" w:cs="Arial"/>
          <w:color w:val="0E101A"/>
          <w:sz w:val="24"/>
          <w:szCs w:val="24"/>
        </w:rPr>
        <w:t>improved accessibility and price fluctuation</w:t>
      </w:r>
      <w:r w:rsidR="00C37B71">
        <w:rPr>
          <w:rFonts w:ascii="Arial" w:hAnsi="Arial" w:cs="Arial"/>
          <w:color w:val="0E101A"/>
          <w:sz w:val="24"/>
          <w:szCs w:val="24"/>
        </w:rPr>
        <w:t xml:space="preserve"> has driven</w:t>
      </w:r>
      <w:r w:rsidR="00C37B71" w:rsidRPr="00444BE8">
        <w:rPr>
          <w:rFonts w:ascii="Arial" w:hAnsi="Arial" w:cs="Arial"/>
          <w:color w:val="0E101A"/>
          <w:sz w:val="24"/>
          <w:szCs w:val="24"/>
        </w:rPr>
        <w:t xml:space="preserve"> the flames of globalisation even more. Financial developments like currency derivatives, global stock listings, multi-currency bonds, global mutual funds, and other global market instruments bring in more opportunities for multinational corporations</w:t>
      </w:r>
      <w:r w:rsidR="00C37B71">
        <w:rPr>
          <w:rFonts w:ascii="Arial" w:hAnsi="Arial" w:cs="Arial"/>
          <w:color w:val="0E101A"/>
          <w:sz w:val="24"/>
          <w:szCs w:val="24"/>
        </w:rPr>
        <w:t>. T</w:t>
      </w:r>
      <w:r w:rsidR="00444BE8" w:rsidRPr="00444BE8">
        <w:rPr>
          <w:rFonts w:ascii="Arial" w:hAnsi="Arial" w:cs="Arial"/>
          <w:color w:val="0E101A"/>
          <w:sz w:val="24"/>
          <w:szCs w:val="24"/>
        </w:rPr>
        <w:t>he</w:t>
      </w:r>
      <w:r w:rsidR="007241AB">
        <w:rPr>
          <w:rFonts w:ascii="Arial" w:hAnsi="Arial" w:cs="Arial"/>
          <w:color w:val="0E101A"/>
          <w:sz w:val="24"/>
          <w:szCs w:val="24"/>
        </w:rPr>
        <w:t>refore, the</w:t>
      </w:r>
      <w:r w:rsidR="00444BE8" w:rsidRPr="00444BE8">
        <w:rPr>
          <w:rFonts w:ascii="Arial" w:hAnsi="Arial" w:cs="Arial"/>
          <w:color w:val="0E101A"/>
          <w:sz w:val="24"/>
          <w:szCs w:val="24"/>
        </w:rPr>
        <w:t xml:space="preserve"> financial economics </w:t>
      </w:r>
      <w:r w:rsidR="007241AB">
        <w:rPr>
          <w:rFonts w:ascii="Arial" w:hAnsi="Arial" w:cs="Arial"/>
          <w:color w:val="0E101A"/>
          <w:sz w:val="24"/>
          <w:szCs w:val="24"/>
        </w:rPr>
        <w:t xml:space="preserve">are responsible to </w:t>
      </w:r>
      <w:r w:rsidR="00444BE8" w:rsidRPr="00444BE8">
        <w:rPr>
          <w:rFonts w:ascii="Arial" w:hAnsi="Arial" w:cs="Arial"/>
          <w:color w:val="0E101A"/>
          <w:sz w:val="24"/>
          <w:szCs w:val="24"/>
        </w:rPr>
        <w:t xml:space="preserve">deal with macroeconomic relationships and monetary transactions between two countries in a global corporate setting. </w:t>
      </w:r>
      <w:r w:rsidR="00C37B71">
        <w:rPr>
          <w:rFonts w:ascii="Arial" w:hAnsi="Arial" w:cs="Arial"/>
          <w:color w:val="0E101A"/>
          <w:sz w:val="24"/>
          <w:szCs w:val="24"/>
        </w:rPr>
        <w:t>D</w:t>
      </w:r>
      <w:r w:rsidR="00444BE8" w:rsidRPr="00444BE8">
        <w:rPr>
          <w:rFonts w:ascii="Arial" w:hAnsi="Arial" w:cs="Arial"/>
          <w:color w:val="0E101A"/>
          <w:sz w:val="24"/>
          <w:szCs w:val="24"/>
        </w:rPr>
        <w:t>ue to various national currencies, diverse opportunity sets, political contexts, and imperfect markets</w:t>
      </w:r>
      <w:r w:rsidR="00C37B71">
        <w:rPr>
          <w:rFonts w:ascii="Arial" w:hAnsi="Arial" w:cs="Arial"/>
          <w:color w:val="0E101A"/>
          <w:sz w:val="24"/>
          <w:szCs w:val="24"/>
        </w:rPr>
        <w:t>, e</w:t>
      </w:r>
      <w:r w:rsidR="00444BE8" w:rsidRPr="00444BE8">
        <w:rPr>
          <w:rFonts w:ascii="Arial" w:hAnsi="Arial" w:cs="Arial"/>
          <w:color w:val="0E101A"/>
          <w:sz w:val="24"/>
          <w:szCs w:val="24"/>
        </w:rPr>
        <w:t>very aspect of a business's operations impacts its financial performance</w:t>
      </w:r>
      <w:r w:rsidR="007241AB">
        <w:rPr>
          <w:rFonts w:ascii="Arial" w:hAnsi="Arial" w:cs="Arial"/>
          <w:color w:val="0E101A"/>
          <w:sz w:val="24"/>
          <w:szCs w:val="24"/>
        </w:rPr>
        <w:t xml:space="preserve">, which implement the importance of financial managers and their </w:t>
      </w:r>
      <w:r w:rsidR="006F3D38">
        <w:rPr>
          <w:rFonts w:ascii="Arial" w:hAnsi="Arial" w:cs="Arial"/>
          <w:color w:val="0E101A"/>
          <w:sz w:val="24"/>
          <w:szCs w:val="24"/>
        </w:rPr>
        <w:t xml:space="preserve">decisions for the company </w:t>
      </w:r>
      <w:r w:rsidR="00444BE8" w:rsidRPr="00444BE8">
        <w:rPr>
          <w:rFonts w:ascii="Arial" w:hAnsi="Arial" w:cs="Arial"/>
          <w:color w:val="0E101A"/>
          <w:sz w:val="24"/>
          <w:szCs w:val="24"/>
        </w:rPr>
        <w:t>financial wealth</w:t>
      </w:r>
      <w:r w:rsidR="00083C56" w:rsidRPr="00444BE8">
        <w:rPr>
          <w:rFonts w:ascii="Arial" w:hAnsi="Arial" w:cs="Arial"/>
          <w:sz w:val="24"/>
          <w:szCs w:val="24"/>
        </w:rPr>
        <w:t xml:space="preserve">. </w:t>
      </w:r>
      <w:sdt>
        <w:sdtPr>
          <w:rPr>
            <w:rFonts w:ascii="Arial" w:hAnsi="Arial" w:cs="Arial"/>
            <w:sz w:val="24"/>
            <w:szCs w:val="24"/>
          </w:rPr>
          <w:id w:val="1929928386"/>
          <w:citation/>
        </w:sdtPr>
        <w:sdtContent>
          <w:r w:rsidR="00957760" w:rsidRPr="00444BE8">
            <w:rPr>
              <w:rFonts w:ascii="Arial" w:hAnsi="Arial" w:cs="Arial"/>
              <w:sz w:val="24"/>
              <w:szCs w:val="24"/>
            </w:rPr>
            <w:fldChar w:fldCharType="begin"/>
          </w:r>
          <w:r w:rsidR="00957760" w:rsidRPr="00444BE8">
            <w:rPr>
              <w:rFonts w:ascii="Arial" w:hAnsi="Arial" w:cs="Arial"/>
              <w:sz w:val="24"/>
              <w:szCs w:val="24"/>
            </w:rPr>
            <w:instrText xml:space="preserve"> CITATION Arn13 \l 2057 </w:instrText>
          </w:r>
          <w:r w:rsidR="00957760" w:rsidRPr="00444BE8">
            <w:rPr>
              <w:rFonts w:ascii="Arial" w:hAnsi="Arial" w:cs="Arial"/>
              <w:sz w:val="24"/>
              <w:szCs w:val="24"/>
            </w:rPr>
            <w:fldChar w:fldCharType="separate"/>
          </w:r>
          <w:r w:rsidR="00957760" w:rsidRPr="00444BE8">
            <w:rPr>
              <w:rFonts w:ascii="Arial" w:hAnsi="Arial" w:cs="Arial"/>
              <w:noProof/>
              <w:sz w:val="24"/>
              <w:szCs w:val="24"/>
            </w:rPr>
            <w:t>(Arnold, 2013)</w:t>
          </w:r>
          <w:r w:rsidR="00957760" w:rsidRPr="00444BE8">
            <w:rPr>
              <w:rFonts w:ascii="Arial" w:hAnsi="Arial" w:cs="Arial"/>
              <w:sz w:val="24"/>
              <w:szCs w:val="24"/>
            </w:rPr>
            <w:fldChar w:fldCharType="end"/>
          </w:r>
        </w:sdtContent>
      </w:sdt>
      <w:r w:rsidR="00957760" w:rsidRPr="00444BE8">
        <w:rPr>
          <w:rFonts w:ascii="Arial" w:hAnsi="Arial" w:cs="Arial"/>
          <w:sz w:val="24"/>
          <w:szCs w:val="24"/>
        </w:rPr>
        <w:t>.</w:t>
      </w:r>
    </w:p>
    <w:p w14:paraId="5B806A9B" w14:textId="6551FDDD" w:rsidR="000A3458" w:rsidRDefault="000A3458" w:rsidP="009B0655">
      <w:pPr>
        <w:pStyle w:val="Heading1"/>
      </w:pPr>
      <w:bookmarkStart w:id="2" w:name="_Toc110608282"/>
      <w:r>
        <w:t>Challenges on International markets for Nestle</w:t>
      </w:r>
      <w:bookmarkEnd w:id="2"/>
      <w:r>
        <w:t xml:space="preserve"> </w:t>
      </w:r>
    </w:p>
    <w:p w14:paraId="405026C8" w14:textId="75334DBC" w:rsidR="006F4DA3" w:rsidRDefault="005D7A1C" w:rsidP="00871436">
      <w:pPr>
        <w:rPr>
          <w:rFonts w:ascii="Arial" w:hAnsi="Arial" w:cs="Arial"/>
          <w:sz w:val="24"/>
          <w:szCs w:val="24"/>
        </w:rPr>
      </w:pPr>
      <w:r>
        <w:rPr>
          <w:rFonts w:ascii="Arial" w:hAnsi="Arial" w:cs="Arial"/>
          <w:sz w:val="24"/>
          <w:szCs w:val="24"/>
        </w:rPr>
        <w:t xml:space="preserve">The international markets have significant impact on MNCs financial performance due to the foreign exchange, political risk factors, </w:t>
      </w:r>
      <w:r w:rsidR="009B0655">
        <w:rPr>
          <w:rFonts w:ascii="Arial" w:hAnsi="Arial" w:cs="Arial"/>
          <w:sz w:val="24"/>
          <w:szCs w:val="24"/>
        </w:rPr>
        <w:t>economic</w:t>
      </w:r>
      <w:r>
        <w:rPr>
          <w:rFonts w:ascii="Arial" w:hAnsi="Arial" w:cs="Arial"/>
          <w:sz w:val="24"/>
          <w:szCs w:val="24"/>
        </w:rPr>
        <w:t xml:space="preserve"> factors such as climate and inflation.</w:t>
      </w:r>
      <w:r w:rsidR="003D5A45">
        <w:rPr>
          <w:rFonts w:ascii="Arial" w:hAnsi="Arial" w:cs="Arial"/>
          <w:sz w:val="24"/>
          <w:szCs w:val="24"/>
        </w:rPr>
        <w:t xml:space="preserve"> </w:t>
      </w:r>
      <w:r w:rsidR="00A6754C">
        <w:rPr>
          <w:rFonts w:ascii="Arial" w:hAnsi="Arial" w:cs="Arial"/>
          <w:sz w:val="24"/>
          <w:szCs w:val="24"/>
        </w:rPr>
        <w:t>The foreign exchange</w:t>
      </w:r>
      <w:r>
        <w:rPr>
          <w:rFonts w:ascii="Arial" w:hAnsi="Arial" w:cs="Arial"/>
          <w:sz w:val="24"/>
          <w:szCs w:val="24"/>
        </w:rPr>
        <w:t xml:space="preserve"> can affect the</w:t>
      </w:r>
      <w:r w:rsidR="00A6754C">
        <w:rPr>
          <w:rFonts w:ascii="Arial" w:hAnsi="Arial" w:cs="Arial"/>
          <w:sz w:val="24"/>
          <w:szCs w:val="24"/>
        </w:rPr>
        <w:t xml:space="preserve"> </w:t>
      </w:r>
      <w:r w:rsidR="009D7422">
        <w:rPr>
          <w:rFonts w:ascii="Arial" w:hAnsi="Arial" w:cs="Arial"/>
          <w:sz w:val="24"/>
          <w:szCs w:val="24"/>
        </w:rPr>
        <w:t xml:space="preserve">Multinational corporation financial performance </w:t>
      </w:r>
      <w:r>
        <w:rPr>
          <w:rFonts w:ascii="Arial" w:hAnsi="Arial" w:cs="Arial"/>
          <w:sz w:val="24"/>
          <w:szCs w:val="24"/>
        </w:rPr>
        <w:t xml:space="preserve">because of </w:t>
      </w:r>
      <w:r w:rsidR="009D7422">
        <w:rPr>
          <w:rFonts w:ascii="Arial" w:hAnsi="Arial" w:cs="Arial"/>
          <w:sz w:val="24"/>
          <w:szCs w:val="24"/>
        </w:rPr>
        <w:t>the currency exchange rate fluctuation</w:t>
      </w:r>
      <w:r w:rsidR="004C0879">
        <w:rPr>
          <w:rFonts w:ascii="Arial" w:hAnsi="Arial" w:cs="Arial"/>
          <w:sz w:val="24"/>
          <w:szCs w:val="24"/>
        </w:rPr>
        <w:t xml:space="preserve">, which can result in a risk for the company financial </w:t>
      </w:r>
      <w:r w:rsidR="002468EF">
        <w:rPr>
          <w:rFonts w:ascii="Arial" w:hAnsi="Arial" w:cs="Arial"/>
          <w:sz w:val="24"/>
          <w:szCs w:val="24"/>
        </w:rPr>
        <w:t>health</w:t>
      </w:r>
      <w:sdt>
        <w:sdtPr>
          <w:rPr>
            <w:rFonts w:ascii="Arial" w:hAnsi="Arial" w:cs="Arial"/>
            <w:sz w:val="24"/>
            <w:szCs w:val="24"/>
          </w:rPr>
          <w:id w:val="1559125657"/>
          <w:citation/>
        </w:sdtPr>
        <w:sdtContent>
          <w:r w:rsidR="006073D4">
            <w:rPr>
              <w:rFonts w:ascii="Arial" w:hAnsi="Arial" w:cs="Arial"/>
              <w:sz w:val="24"/>
              <w:szCs w:val="24"/>
            </w:rPr>
            <w:fldChar w:fldCharType="begin"/>
          </w:r>
          <w:r w:rsidR="006073D4">
            <w:rPr>
              <w:rFonts w:ascii="Arial" w:hAnsi="Arial" w:cs="Arial"/>
              <w:sz w:val="24"/>
              <w:szCs w:val="24"/>
            </w:rPr>
            <w:instrText xml:space="preserve"> CITATION Arn13 \l 2057 </w:instrText>
          </w:r>
          <w:r w:rsidR="006073D4">
            <w:rPr>
              <w:rFonts w:ascii="Arial" w:hAnsi="Arial" w:cs="Arial"/>
              <w:sz w:val="24"/>
              <w:szCs w:val="24"/>
            </w:rPr>
            <w:fldChar w:fldCharType="separate"/>
          </w:r>
          <w:r w:rsidR="006073D4">
            <w:rPr>
              <w:rFonts w:ascii="Arial" w:hAnsi="Arial" w:cs="Arial"/>
              <w:noProof/>
              <w:sz w:val="24"/>
              <w:szCs w:val="24"/>
            </w:rPr>
            <w:t xml:space="preserve"> </w:t>
          </w:r>
          <w:r w:rsidR="006073D4" w:rsidRPr="006073D4">
            <w:rPr>
              <w:rFonts w:ascii="Arial" w:hAnsi="Arial" w:cs="Arial"/>
              <w:noProof/>
              <w:sz w:val="24"/>
              <w:szCs w:val="24"/>
            </w:rPr>
            <w:t>(Arnold, 2013)</w:t>
          </w:r>
          <w:r w:rsidR="006073D4">
            <w:rPr>
              <w:rFonts w:ascii="Arial" w:hAnsi="Arial" w:cs="Arial"/>
              <w:sz w:val="24"/>
              <w:szCs w:val="24"/>
            </w:rPr>
            <w:fldChar w:fldCharType="end"/>
          </w:r>
        </w:sdtContent>
      </w:sdt>
      <w:r w:rsidR="009D7422">
        <w:rPr>
          <w:rFonts w:ascii="Arial" w:hAnsi="Arial" w:cs="Arial"/>
          <w:sz w:val="24"/>
          <w:szCs w:val="24"/>
        </w:rPr>
        <w:t>.</w:t>
      </w:r>
      <w:r>
        <w:rPr>
          <w:rFonts w:ascii="Arial" w:hAnsi="Arial" w:cs="Arial"/>
          <w:sz w:val="24"/>
          <w:szCs w:val="24"/>
        </w:rPr>
        <w:t xml:space="preserve"> T</w:t>
      </w:r>
      <w:r w:rsidR="000B30C8">
        <w:rPr>
          <w:rFonts w:ascii="Arial" w:hAnsi="Arial" w:cs="Arial"/>
          <w:sz w:val="24"/>
          <w:szCs w:val="24"/>
        </w:rPr>
        <w:t>he exchange rate fluctuation can increase or decrease sales and company revenue</w:t>
      </w:r>
      <w:r w:rsidR="0007190E">
        <w:rPr>
          <w:rFonts w:ascii="Arial" w:hAnsi="Arial" w:cs="Arial"/>
          <w:sz w:val="24"/>
          <w:szCs w:val="24"/>
        </w:rPr>
        <w:t>.</w:t>
      </w:r>
    </w:p>
    <w:p w14:paraId="34F165A3" w14:textId="14578A49" w:rsidR="00C67E24" w:rsidRDefault="0021593B" w:rsidP="00871436">
      <w:pPr>
        <w:rPr>
          <w:rFonts w:ascii="Arial" w:hAnsi="Arial" w:cs="Arial"/>
          <w:sz w:val="24"/>
          <w:szCs w:val="24"/>
        </w:rPr>
      </w:pPr>
      <w:r>
        <w:rPr>
          <w:rFonts w:ascii="Arial" w:hAnsi="Arial" w:cs="Arial"/>
          <w:sz w:val="24"/>
          <w:szCs w:val="24"/>
        </w:rPr>
        <w:t xml:space="preserve">The business economy is unpredictable due to various factor influencing the businesses profitability and cash </w:t>
      </w:r>
      <w:r w:rsidR="00B006EA">
        <w:rPr>
          <w:rFonts w:ascii="Arial" w:hAnsi="Arial" w:cs="Arial"/>
          <w:sz w:val="24"/>
          <w:szCs w:val="24"/>
        </w:rPr>
        <w:t>flow</w:t>
      </w:r>
      <w:r>
        <w:rPr>
          <w:rFonts w:ascii="Arial" w:hAnsi="Arial" w:cs="Arial"/>
          <w:sz w:val="24"/>
          <w:szCs w:val="24"/>
        </w:rPr>
        <w:t xml:space="preserve"> activities. Therefore, multinational corporations adopt the Hedging strategy to protect the business loss in profit </w:t>
      </w:r>
      <w:r w:rsidR="00470004">
        <w:rPr>
          <w:rFonts w:ascii="Arial" w:hAnsi="Arial" w:cs="Arial"/>
          <w:sz w:val="24"/>
          <w:szCs w:val="24"/>
        </w:rPr>
        <w:t>when trading in foreign exchange markets</w:t>
      </w:r>
      <w:r w:rsidR="00412C94">
        <w:rPr>
          <w:rFonts w:ascii="Arial" w:hAnsi="Arial" w:cs="Arial"/>
          <w:sz w:val="24"/>
          <w:szCs w:val="24"/>
        </w:rPr>
        <w:t xml:space="preserve"> </w:t>
      </w:r>
      <w:sdt>
        <w:sdtPr>
          <w:rPr>
            <w:rFonts w:ascii="Arial" w:hAnsi="Arial" w:cs="Arial"/>
            <w:sz w:val="24"/>
            <w:szCs w:val="24"/>
          </w:rPr>
          <w:id w:val="-1085691919"/>
          <w:citation/>
        </w:sdtPr>
        <w:sdtContent>
          <w:r w:rsidR="00412C94">
            <w:rPr>
              <w:rFonts w:ascii="Arial" w:hAnsi="Arial" w:cs="Arial"/>
              <w:sz w:val="24"/>
              <w:szCs w:val="24"/>
            </w:rPr>
            <w:fldChar w:fldCharType="begin"/>
          </w:r>
          <w:r w:rsidR="00412C94">
            <w:rPr>
              <w:rFonts w:ascii="Arial" w:hAnsi="Arial" w:cs="Arial"/>
              <w:sz w:val="24"/>
              <w:szCs w:val="24"/>
            </w:rPr>
            <w:instrText xml:space="preserve"> CITATION Arn13 \l 2057 </w:instrText>
          </w:r>
          <w:r w:rsidR="00412C94">
            <w:rPr>
              <w:rFonts w:ascii="Arial" w:hAnsi="Arial" w:cs="Arial"/>
              <w:sz w:val="24"/>
              <w:szCs w:val="24"/>
            </w:rPr>
            <w:fldChar w:fldCharType="separate"/>
          </w:r>
          <w:r w:rsidR="00412C94" w:rsidRPr="00412C94">
            <w:rPr>
              <w:rFonts w:ascii="Arial" w:hAnsi="Arial" w:cs="Arial"/>
              <w:noProof/>
              <w:sz w:val="24"/>
              <w:szCs w:val="24"/>
            </w:rPr>
            <w:t>(Arnold, 2013)</w:t>
          </w:r>
          <w:r w:rsidR="00412C94">
            <w:rPr>
              <w:rFonts w:ascii="Arial" w:hAnsi="Arial" w:cs="Arial"/>
              <w:sz w:val="24"/>
              <w:szCs w:val="24"/>
            </w:rPr>
            <w:fldChar w:fldCharType="end"/>
          </w:r>
        </w:sdtContent>
      </w:sdt>
      <w:r w:rsidR="00412C94">
        <w:rPr>
          <w:rFonts w:ascii="Arial" w:hAnsi="Arial" w:cs="Arial"/>
          <w:sz w:val="24"/>
          <w:szCs w:val="24"/>
        </w:rPr>
        <w:t>. Nestle</w:t>
      </w:r>
      <w:r w:rsidR="00292591">
        <w:rPr>
          <w:rFonts w:ascii="Arial" w:hAnsi="Arial" w:cs="Arial"/>
          <w:sz w:val="24"/>
          <w:szCs w:val="24"/>
        </w:rPr>
        <w:t xml:space="preserve"> face the dollar depreciation after pandemic with loss in sales of 3.5 billion </w:t>
      </w:r>
      <w:r w:rsidR="00BF1B79">
        <w:rPr>
          <w:rFonts w:ascii="Arial" w:hAnsi="Arial" w:cs="Arial"/>
          <w:sz w:val="24"/>
          <w:szCs w:val="24"/>
        </w:rPr>
        <w:t>Swiss</w:t>
      </w:r>
      <w:r w:rsidR="00292591">
        <w:rPr>
          <w:rFonts w:ascii="Arial" w:hAnsi="Arial" w:cs="Arial"/>
          <w:sz w:val="24"/>
          <w:szCs w:val="24"/>
        </w:rPr>
        <w:t xml:space="preserve"> francs in foreign exchange market trade after exchange translation form dollar to </w:t>
      </w:r>
      <w:r w:rsidR="00BF1B79">
        <w:rPr>
          <w:rFonts w:ascii="Arial" w:hAnsi="Arial" w:cs="Arial"/>
          <w:sz w:val="24"/>
          <w:szCs w:val="24"/>
        </w:rPr>
        <w:t>Swiss</w:t>
      </w:r>
      <w:r w:rsidR="00292591">
        <w:rPr>
          <w:rFonts w:ascii="Arial" w:hAnsi="Arial" w:cs="Arial"/>
          <w:sz w:val="24"/>
          <w:szCs w:val="24"/>
        </w:rPr>
        <w:t xml:space="preserve"> francs. Due to this </w:t>
      </w:r>
      <w:r w:rsidR="00BF1B79">
        <w:rPr>
          <w:rFonts w:ascii="Arial" w:hAnsi="Arial" w:cs="Arial"/>
          <w:sz w:val="24"/>
          <w:szCs w:val="24"/>
        </w:rPr>
        <w:t>action,</w:t>
      </w:r>
      <w:r w:rsidR="00292591">
        <w:rPr>
          <w:rFonts w:ascii="Arial" w:hAnsi="Arial" w:cs="Arial"/>
          <w:sz w:val="24"/>
          <w:szCs w:val="24"/>
        </w:rPr>
        <w:t xml:space="preserve"> </w:t>
      </w:r>
      <w:r w:rsidR="00412C94">
        <w:rPr>
          <w:rFonts w:ascii="Arial" w:hAnsi="Arial" w:cs="Arial"/>
          <w:sz w:val="24"/>
          <w:szCs w:val="24"/>
        </w:rPr>
        <w:t>the firm apply</w:t>
      </w:r>
      <w:r w:rsidR="00292591">
        <w:rPr>
          <w:rFonts w:ascii="Arial" w:hAnsi="Arial" w:cs="Arial"/>
          <w:sz w:val="24"/>
          <w:szCs w:val="24"/>
        </w:rPr>
        <w:t xml:space="preserve"> the hedging strategies in foreign exchange </w:t>
      </w:r>
      <w:r w:rsidR="00BF1B79">
        <w:rPr>
          <w:rFonts w:ascii="Arial" w:hAnsi="Arial" w:cs="Arial"/>
          <w:sz w:val="24"/>
          <w:szCs w:val="24"/>
        </w:rPr>
        <w:t xml:space="preserve">by cutting of 3.5 billion cash flow in forwarded contracts </w:t>
      </w:r>
      <w:sdt>
        <w:sdtPr>
          <w:rPr>
            <w:rFonts w:ascii="Arial" w:hAnsi="Arial" w:cs="Arial"/>
            <w:sz w:val="24"/>
            <w:szCs w:val="24"/>
          </w:rPr>
          <w:id w:val="-386884947"/>
          <w:citation/>
        </w:sdtPr>
        <w:sdtContent>
          <w:r>
            <w:rPr>
              <w:rFonts w:ascii="Arial" w:hAnsi="Arial" w:cs="Arial"/>
              <w:sz w:val="24"/>
              <w:szCs w:val="24"/>
            </w:rPr>
            <w:fldChar w:fldCharType="begin"/>
          </w:r>
          <w:r>
            <w:rPr>
              <w:rFonts w:ascii="Arial" w:hAnsi="Arial" w:cs="Arial"/>
              <w:sz w:val="24"/>
              <w:szCs w:val="24"/>
            </w:rPr>
            <w:instrText xml:space="preserve"> CITATION Anm21 \l 2057 </w:instrText>
          </w:r>
          <w:r>
            <w:rPr>
              <w:rFonts w:ascii="Arial" w:hAnsi="Arial" w:cs="Arial"/>
              <w:sz w:val="24"/>
              <w:szCs w:val="24"/>
            </w:rPr>
            <w:fldChar w:fldCharType="separate"/>
          </w:r>
          <w:r w:rsidRPr="0021593B">
            <w:rPr>
              <w:rFonts w:ascii="Arial" w:hAnsi="Arial" w:cs="Arial"/>
              <w:noProof/>
              <w:sz w:val="24"/>
              <w:szCs w:val="24"/>
            </w:rPr>
            <w:t>(Karwal, 2021)</w:t>
          </w:r>
          <w:r>
            <w:rPr>
              <w:rFonts w:ascii="Arial" w:hAnsi="Arial" w:cs="Arial"/>
              <w:sz w:val="24"/>
              <w:szCs w:val="24"/>
            </w:rPr>
            <w:fldChar w:fldCharType="end"/>
          </w:r>
        </w:sdtContent>
      </w:sdt>
      <w:r>
        <w:rPr>
          <w:rFonts w:ascii="Arial" w:hAnsi="Arial" w:cs="Arial"/>
          <w:sz w:val="24"/>
          <w:szCs w:val="24"/>
        </w:rPr>
        <w:t>.</w:t>
      </w:r>
      <w:r w:rsidR="0007190E">
        <w:rPr>
          <w:rFonts w:ascii="Arial" w:hAnsi="Arial" w:cs="Arial"/>
          <w:sz w:val="24"/>
          <w:szCs w:val="24"/>
        </w:rPr>
        <w:t xml:space="preserve"> </w:t>
      </w:r>
    </w:p>
    <w:p w14:paraId="781A924F" w14:textId="4FC285B2" w:rsidR="00CC6AD1" w:rsidRDefault="00CC6AD1" w:rsidP="00871436">
      <w:pPr>
        <w:rPr>
          <w:rFonts w:ascii="Arial" w:hAnsi="Arial" w:cs="Arial"/>
          <w:sz w:val="24"/>
          <w:szCs w:val="24"/>
        </w:rPr>
      </w:pPr>
      <w:r w:rsidRPr="004A0155">
        <w:rPr>
          <w:rFonts w:ascii="Arial" w:hAnsi="Arial" w:cs="Arial"/>
          <w:sz w:val="24"/>
          <w:szCs w:val="24"/>
        </w:rPr>
        <w:t>Nestle's overall risk score is 3.62 according to Global Data’s in-house risk methodology, indicating a high-risk profile. The operational and country risk pillars of the organisation have increased its overall risk profile. The financial risk scores have been significantly influenced by low liquidity and an excessive reliance on equity</w:t>
      </w:r>
      <w:sdt>
        <w:sdtPr>
          <w:rPr>
            <w:rFonts w:ascii="Arial" w:hAnsi="Arial" w:cs="Arial"/>
            <w:sz w:val="24"/>
            <w:szCs w:val="24"/>
          </w:rPr>
          <w:id w:val="1489131853"/>
          <w:citation/>
        </w:sdtPr>
        <w:sdtContent>
          <w:r>
            <w:rPr>
              <w:rFonts w:ascii="Arial" w:hAnsi="Arial" w:cs="Arial"/>
              <w:sz w:val="24"/>
              <w:szCs w:val="24"/>
            </w:rPr>
            <w:fldChar w:fldCharType="begin"/>
          </w:r>
          <w:r>
            <w:rPr>
              <w:rFonts w:ascii="Arial" w:hAnsi="Arial" w:cs="Arial"/>
              <w:sz w:val="24"/>
              <w:szCs w:val="24"/>
            </w:rPr>
            <w:instrText xml:space="preserve"> CITATION Glo22 \l 2057 </w:instrText>
          </w:r>
          <w:r>
            <w:rPr>
              <w:rFonts w:ascii="Arial" w:hAnsi="Arial" w:cs="Arial"/>
              <w:sz w:val="24"/>
              <w:szCs w:val="24"/>
            </w:rPr>
            <w:fldChar w:fldCharType="separate"/>
          </w:r>
          <w:r>
            <w:rPr>
              <w:rFonts w:ascii="Arial" w:hAnsi="Arial" w:cs="Arial"/>
              <w:noProof/>
              <w:sz w:val="24"/>
              <w:szCs w:val="24"/>
            </w:rPr>
            <w:t xml:space="preserve"> </w:t>
          </w:r>
          <w:r w:rsidRPr="001F41ED">
            <w:rPr>
              <w:rFonts w:ascii="Arial" w:hAnsi="Arial" w:cs="Arial"/>
              <w:noProof/>
              <w:sz w:val="24"/>
              <w:szCs w:val="24"/>
            </w:rPr>
            <w:t>(GlobalData, 2022)</w:t>
          </w:r>
          <w:r>
            <w:rPr>
              <w:rFonts w:ascii="Arial" w:hAnsi="Arial" w:cs="Arial"/>
              <w:sz w:val="24"/>
              <w:szCs w:val="24"/>
            </w:rPr>
            <w:fldChar w:fldCharType="end"/>
          </w:r>
        </w:sdtContent>
      </w:sdt>
      <w:r w:rsidRPr="004A0155">
        <w:rPr>
          <w:rFonts w:ascii="Arial" w:hAnsi="Arial" w:cs="Arial"/>
          <w:sz w:val="24"/>
          <w:szCs w:val="24"/>
        </w:rPr>
        <w:t>.</w:t>
      </w:r>
      <w:r>
        <w:rPr>
          <w:rFonts w:ascii="Arial" w:hAnsi="Arial" w:cs="Arial"/>
          <w:sz w:val="24"/>
          <w:szCs w:val="24"/>
        </w:rPr>
        <w:t xml:space="preserve"> </w:t>
      </w:r>
      <w:r w:rsidRPr="001102BF">
        <w:rPr>
          <w:rFonts w:ascii="Arial" w:hAnsi="Arial" w:cs="Arial"/>
          <w:sz w:val="24"/>
          <w:szCs w:val="24"/>
        </w:rPr>
        <w:t>The firm is most exposed to the food industry, then the non-alcoholic beverage industry</w:t>
      </w:r>
      <w:r>
        <w:rPr>
          <w:rFonts w:ascii="Arial" w:hAnsi="Arial" w:cs="Arial"/>
          <w:sz w:val="24"/>
          <w:szCs w:val="24"/>
        </w:rPr>
        <w:t xml:space="preserve"> with </w:t>
      </w:r>
      <w:r w:rsidRPr="001102BF">
        <w:rPr>
          <w:rFonts w:ascii="Arial" w:hAnsi="Arial" w:cs="Arial"/>
          <w:sz w:val="24"/>
          <w:szCs w:val="24"/>
        </w:rPr>
        <w:t xml:space="preserve">66 percent of Nestle's income comes from food, </w:t>
      </w:r>
      <w:r>
        <w:rPr>
          <w:rFonts w:ascii="Arial" w:hAnsi="Arial" w:cs="Arial"/>
          <w:sz w:val="24"/>
          <w:szCs w:val="24"/>
        </w:rPr>
        <w:t xml:space="preserve">and </w:t>
      </w:r>
      <w:r w:rsidRPr="001102BF">
        <w:rPr>
          <w:rFonts w:ascii="Arial" w:hAnsi="Arial" w:cs="Arial"/>
          <w:sz w:val="24"/>
          <w:szCs w:val="24"/>
        </w:rPr>
        <w:t>the remaining 14 percent coming from non-alcoholic drinks. The food and non-alcoholic beverage industries have low profit margins and limited growth expectations, giving th</w:t>
      </w:r>
      <w:r w:rsidR="00BD3738">
        <w:rPr>
          <w:rFonts w:ascii="Arial" w:hAnsi="Arial" w:cs="Arial"/>
          <w:sz w:val="24"/>
          <w:szCs w:val="24"/>
        </w:rPr>
        <w:t>e</w:t>
      </w:r>
      <w:r w:rsidRPr="001102BF">
        <w:rPr>
          <w:rFonts w:ascii="Arial" w:hAnsi="Arial" w:cs="Arial"/>
          <w:sz w:val="24"/>
          <w:szCs w:val="24"/>
        </w:rPr>
        <w:t xml:space="preserve"> industry risk score of three on averag</w:t>
      </w:r>
      <w:r>
        <w:rPr>
          <w:rFonts w:ascii="Arial" w:hAnsi="Arial" w:cs="Arial"/>
          <w:sz w:val="24"/>
          <w:szCs w:val="24"/>
        </w:rPr>
        <w:t>e</w:t>
      </w:r>
      <w:sdt>
        <w:sdtPr>
          <w:rPr>
            <w:rFonts w:ascii="Arial" w:hAnsi="Arial" w:cs="Arial"/>
            <w:sz w:val="24"/>
            <w:szCs w:val="24"/>
          </w:rPr>
          <w:id w:val="2028588125"/>
          <w:citation/>
        </w:sdtPr>
        <w:sdtContent>
          <w:r>
            <w:rPr>
              <w:rFonts w:ascii="Arial" w:hAnsi="Arial" w:cs="Arial"/>
              <w:sz w:val="24"/>
              <w:szCs w:val="24"/>
            </w:rPr>
            <w:fldChar w:fldCharType="begin"/>
          </w:r>
          <w:r>
            <w:rPr>
              <w:rFonts w:ascii="Arial" w:hAnsi="Arial" w:cs="Arial"/>
              <w:sz w:val="24"/>
              <w:szCs w:val="24"/>
            </w:rPr>
            <w:instrText xml:space="preserve"> CITATION Glo22 \l 2057 </w:instrText>
          </w:r>
          <w:r>
            <w:rPr>
              <w:rFonts w:ascii="Arial" w:hAnsi="Arial" w:cs="Arial"/>
              <w:sz w:val="24"/>
              <w:szCs w:val="24"/>
            </w:rPr>
            <w:fldChar w:fldCharType="separate"/>
          </w:r>
          <w:r>
            <w:rPr>
              <w:rFonts w:ascii="Arial" w:hAnsi="Arial" w:cs="Arial"/>
              <w:noProof/>
              <w:sz w:val="24"/>
              <w:szCs w:val="24"/>
            </w:rPr>
            <w:t xml:space="preserve"> </w:t>
          </w:r>
          <w:r w:rsidRPr="001F41ED">
            <w:rPr>
              <w:rFonts w:ascii="Arial" w:hAnsi="Arial" w:cs="Arial"/>
              <w:noProof/>
              <w:sz w:val="24"/>
              <w:szCs w:val="24"/>
            </w:rPr>
            <w:t>(GlobalData, 2022)</w:t>
          </w:r>
          <w:r>
            <w:rPr>
              <w:rFonts w:ascii="Arial" w:hAnsi="Arial" w:cs="Arial"/>
              <w:sz w:val="24"/>
              <w:szCs w:val="24"/>
            </w:rPr>
            <w:fldChar w:fldCharType="end"/>
          </w:r>
        </w:sdtContent>
      </w:sdt>
      <w:r w:rsidRPr="001102BF">
        <w:rPr>
          <w:rFonts w:ascii="Arial" w:hAnsi="Arial" w:cs="Arial"/>
          <w:sz w:val="24"/>
          <w:szCs w:val="24"/>
        </w:rPr>
        <w:t>.</w:t>
      </w:r>
    </w:p>
    <w:p w14:paraId="634C0C14" w14:textId="2A538C2E" w:rsidR="003D5A45" w:rsidRDefault="003D5A45" w:rsidP="00871436">
      <w:pPr>
        <w:rPr>
          <w:rFonts w:ascii="Arial" w:hAnsi="Arial" w:cs="Arial"/>
          <w:sz w:val="24"/>
          <w:szCs w:val="24"/>
        </w:rPr>
      </w:pPr>
      <w:r>
        <w:rPr>
          <w:rFonts w:ascii="Arial" w:hAnsi="Arial" w:cs="Arial"/>
          <w:sz w:val="24"/>
          <w:szCs w:val="24"/>
        </w:rPr>
        <w:t xml:space="preserve">As reported by the Nestle press release in June 2022, the foreign exchange rate </w:t>
      </w:r>
      <w:r w:rsidR="00012BDC">
        <w:rPr>
          <w:rFonts w:ascii="Arial" w:hAnsi="Arial" w:cs="Arial"/>
          <w:sz w:val="24"/>
          <w:szCs w:val="24"/>
        </w:rPr>
        <w:t>decreases</w:t>
      </w:r>
      <w:r>
        <w:rPr>
          <w:rFonts w:ascii="Arial" w:hAnsi="Arial" w:cs="Arial"/>
          <w:sz w:val="24"/>
          <w:szCs w:val="24"/>
        </w:rPr>
        <w:t xml:space="preserve"> sales revenue by</w:t>
      </w:r>
      <w:r w:rsidR="004029B8">
        <w:rPr>
          <w:rFonts w:ascii="Arial" w:hAnsi="Arial" w:cs="Arial"/>
          <w:sz w:val="24"/>
          <w:szCs w:val="24"/>
        </w:rPr>
        <w:t xml:space="preserve"> </w:t>
      </w:r>
      <w:r>
        <w:rPr>
          <w:rFonts w:ascii="Arial" w:hAnsi="Arial" w:cs="Arial"/>
          <w:sz w:val="24"/>
          <w:szCs w:val="24"/>
        </w:rPr>
        <w:t>1.5 percent</w:t>
      </w:r>
      <w:sdt>
        <w:sdtPr>
          <w:rPr>
            <w:rFonts w:ascii="Arial" w:hAnsi="Arial" w:cs="Arial"/>
            <w:sz w:val="24"/>
            <w:szCs w:val="24"/>
          </w:rPr>
          <w:id w:val="-188378981"/>
          <w:citation/>
        </w:sdtPr>
        <w:sdtContent>
          <w:r w:rsidR="00012BDC">
            <w:rPr>
              <w:rFonts w:ascii="Arial" w:hAnsi="Arial" w:cs="Arial"/>
              <w:sz w:val="24"/>
              <w:szCs w:val="24"/>
            </w:rPr>
            <w:fldChar w:fldCharType="begin"/>
          </w:r>
          <w:r w:rsidR="00012BDC">
            <w:rPr>
              <w:rFonts w:ascii="Arial" w:hAnsi="Arial" w:cs="Arial"/>
              <w:sz w:val="24"/>
              <w:szCs w:val="24"/>
            </w:rPr>
            <w:instrText xml:space="preserve"> CITATION Nes21 \l 2057 </w:instrText>
          </w:r>
          <w:r w:rsidR="00012BDC">
            <w:rPr>
              <w:rFonts w:ascii="Arial" w:hAnsi="Arial" w:cs="Arial"/>
              <w:sz w:val="24"/>
              <w:szCs w:val="24"/>
            </w:rPr>
            <w:fldChar w:fldCharType="separate"/>
          </w:r>
          <w:r w:rsidR="00012BDC">
            <w:rPr>
              <w:rFonts w:ascii="Arial" w:hAnsi="Arial" w:cs="Arial"/>
              <w:noProof/>
              <w:sz w:val="24"/>
              <w:szCs w:val="24"/>
            </w:rPr>
            <w:t xml:space="preserve"> </w:t>
          </w:r>
          <w:r w:rsidR="00012BDC" w:rsidRPr="00012BDC">
            <w:rPr>
              <w:rFonts w:ascii="Arial" w:hAnsi="Arial" w:cs="Arial"/>
              <w:noProof/>
              <w:sz w:val="24"/>
              <w:szCs w:val="24"/>
            </w:rPr>
            <w:t>(Nestle, 2021)</w:t>
          </w:r>
          <w:r w:rsidR="00012BDC">
            <w:rPr>
              <w:rFonts w:ascii="Arial" w:hAnsi="Arial" w:cs="Arial"/>
              <w:sz w:val="24"/>
              <w:szCs w:val="24"/>
            </w:rPr>
            <w:fldChar w:fldCharType="end"/>
          </w:r>
        </w:sdtContent>
      </w:sdt>
      <w:r>
        <w:rPr>
          <w:rFonts w:ascii="Arial" w:hAnsi="Arial" w:cs="Arial"/>
          <w:sz w:val="24"/>
          <w:szCs w:val="24"/>
        </w:rPr>
        <w:t xml:space="preserve"> , CHF 41.8 billion for the first half-</w:t>
      </w:r>
      <w:r w:rsidR="00012BDC">
        <w:rPr>
          <w:rFonts w:ascii="Arial" w:hAnsi="Arial" w:cs="Arial"/>
          <w:sz w:val="24"/>
          <w:szCs w:val="24"/>
        </w:rPr>
        <w:t>year</w:t>
      </w:r>
      <w:r>
        <w:rPr>
          <w:rFonts w:ascii="Arial" w:hAnsi="Arial" w:cs="Arial"/>
          <w:sz w:val="24"/>
          <w:szCs w:val="24"/>
        </w:rPr>
        <w:t xml:space="preserve"> 2021 and 1.3 percent for </w:t>
      </w:r>
      <w:r w:rsidR="00EE1163">
        <w:rPr>
          <w:rFonts w:ascii="Arial" w:hAnsi="Arial" w:cs="Arial"/>
          <w:sz w:val="24"/>
          <w:szCs w:val="24"/>
        </w:rPr>
        <w:t>full</w:t>
      </w:r>
      <w:r>
        <w:rPr>
          <w:rFonts w:ascii="Arial" w:hAnsi="Arial" w:cs="Arial"/>
          <w:sz w:val="24"/>
          <w:szCs w:val="24"/>
        </w:rPr>
        <w:t xml:space="preserve"> year 2021 resulting on a total 2.9 percent</w:t>
      </w:r>
      <w:r w:rsidR="00EE1163">
        <w:rPr>
          <w:rFonts w:ascii="Arial" w:hAnsi="Arial" w:cs="Arial"/>
          <w:sz w:val="24"/>
          <w:szCs w:val="24"/>
        </w:rPr>
        <w:t xml:space="preserve">, however an increase of 3.3 percent in sales </w:t>
      </w:r>
      <w:r w:rsidR="00AB3220">
        <w:rPr>
          <w:rFonts w:ascii="Arial" w:hAnsi="Arial" w:cs="Arial"/>
          <w:sz w:val="24"/>
          <w:szCs w:val="24"/>
        </w:rPr>
        <w:t>CHF81.7 billion</w:t>
      </w:r>
      <w:r w:rsidR="00EE1163">
        <w:rPr>
          <w:rFonts w:ascii="Arial" w:hAnsi="Arial" w:cs="Arial"/>
          <w:sz w:val="24"/>
          <w:szCs w:val="24"/>
        </w:rPr>
        <w:t xml:space="preserve"> </w:t>
      </w:r>
      <w:sdt>
        <w:sdtPr>
          <w:rPr>
            <w:rFonts w:ascii="Arial" w:hAnsi="Arial" w:cs="Arial"/>
            <w:sz w:val="24"/>
            <w:szCs w:val="24"/>
          </w:rPr>
          <w:id w:val="590434840"/>
          <w:citation/>
        </w:sdtPr>
        <w:sdtContent>
          <w:r w:rsidR="00EE1163">
            <w:rPr>
              <w:rFonts w:ascii="Arial" w:hAnsi="Arial" w:cs="Arial"/>
              <w:sz w:val="24"/>
              <w:szCs w:val="24"/>
            </w:rPr>
            <w:fldChar w:fldCharType="begin"/>
          </w:r>
          <w:r w:rsidR="00EE1163">
            <w:rPr>
              <w:rFonts w:ascii="Arial" w:hAnsi="Arial" w:cs="Arial"/>
              <w:sz w:val="24"/>
              <w:szCs w:val="24"/>
            </w:rPr>
            <w:instrText xml:space="preserve"> CITATION Nes221 \l 2057 </w:instrText>
          </w:r>
          <w:r w:rsidR="00EE1163">
            <w:rPr>
              <w:rFonts w:ascii="Arial" w:hAnsi="Arial" w:cs="Arial"/>
              <w:sz w:val="24"/>
              <w:szCs w:val="24"/>
            </w:rPr>
            <w:fldChar w:fldCharType="separate"/>
          </w:r>
          <w:r w:rsidR="00EE1163" w:rsidRPr="00EE1163">
            <w:rPr>
              <w:rFonts w:ascii="Arial" w:hAnsi="Arial" w:cs="Arial"/>
              <w:noProof/>
              <w:sz w:val="24"/>
              <w:szCs w:val="24"/>
            </w:rPr>
            <w:t>(Nestle, 2022)</w:t>
          </w:r>
          <w:r w:rsidR="00EE1163">
            <w:rPr>
              <w:rFonts w:ascii="Arial" w:hAnsi="Arial" w:cs="Arial"/>
              <w:sz w:val="24"/>
              <w:szCs w:val="24"/>
            </w:rPr>
            <w:fldChar w:fldCharType="end"/>
          </w:r>
        </w:sdtContent>
      </w:sdt>
      <w:r w:rsidR="00EE1163">
        <w:rPr>
          <w:rFonts w:ascii="Arial" w:hAnsi="Arial" w:cs="Arial"/>
          <w:sz w:val="24"/>
          <w:szCs w:val="24"/>
        </w:rPr>
        <w:t>.</w:t>
      </w:r>
      <w:r>
        <w:rPr>
          <w:rFonts w:ascii="Arial" w:hAnsi="Arial" w:cs="Arial"/>
          <w:sz w:val="24"/>
          <w:szCs w:val="24"/>
        </w:rPr>
        <w:t xml:space="preserve"> </w:t>
      </w:r>
      <w:r w:rsidR="00012BDC">
        <w:rPr>
          <w:rFonts w:ascii="Arial" w:hAnsi="Arial" w:cs="Arial"/>
          <w:sz w:val="24"/>
          <w:szCs w:val="24"/>
        </w:rPr>
        <w:t>However, the firm increases profit in the first quarter of the year 2022</w:t>
      </w:r>
      <w:r w:rsidR="00FD3C4C">
        <w:rPr>
          <w:rFonts w:ascii="Arial" w:hAnsi="Arial" w:cs="Arial"/>
          <w:sz w:val="24"/>
          <w:szCs w:val="24"/>
        </w:rPr>
        <w:t xml:space="preserve"> by 5.4 percent </w:t>
      </w:r>
      <w:r w:rsidR="00FD3C4C">
        <w:rPr>
          <w:rFonts w:ascii="Arial" w:hAnsi="Arial" w:cs="Arial"/>
          <w:sz w:val="24"/>
          <w:szCs w:val="24"/>
        </w:rPr>
        <w:lastRenderedPageBreak/>
        <w:t>due to the organic growth increasing sales by 7.6 internal growth and</w:t>
      </w:r>
      <w:r w:rsidR="00F86686">
        <w:rPr>
          <w:rFonts w:ascii="Arial" w:hAnsi="Arial" w:cs="Arial"/>
          <w:sz w:val="24"/>
          <w:szCs w:val="24"/>
        </w:rPr>
        <w:t xml:space="preserve"> </w:t>
      </w:r>
      <w:r w:rsidR="0095780A">
        <w:rPr>
          <w:rFonts w:ascii="Arial" w:hAnsi="Arial" w:cs="Arial"/>
          <w:sz w:val="24"/>
          <w:szCs w:val="24"/>
        </w:rPr>
        <w:t>the foreign</w:t>
      </w:r>
      <w:r w:rsidR="00FD3C4C">
        <w:rPr>
          <w:rFonts w:ascii="Arial" w:hAnsi="Arial" w:cs="Arial"/>
          <w:sz w:val="24"/>
          <w:szCs w:val="24"/>
        </w:rPr>
        <w:t xml:space="preserve"> exchange rate 0</w:t>
      </w:r>
      <w:r w:rsidR="00F86686">
        <w:rPr>
          <w:rFonts w:ascii="Arial" w:hAnsi="Arial" w:cs="Arial"/>
          <w:sz w:val="24"/>
          <w:szCs w:val="24"/>
        </w:rPr>
        <w:t>.</w:t>
      </w:r>
      <w:r w:rsidR="00FD3C4C">
        <w:rPr>
          <w:rFonts w:ascii="Arial" w:hAnsi="Arial" w:cs="Arial"/>
          <w:sz w:val="24"/>
          <w:szCs w:val="24"/>
        </w:rPr>
        <w:t xml:space="preserve">8 percent resulting in1.3 percent negative impact </w:t>
      </w:r>
      <w:sdt>
        <w:sdtPr>
          <w:rPr>
            <w:rFonts w:ascii="Arial" w:hAnsi="Arial" w:cs="Arial"/>
            <w:sz w:val="24"/>
            <w:szCs w:val="24"/>
          </w:rPr>
          <w:id w:val="-1580510700"/>
          <w:citation/>
        </w:sdtPr>
        <w:sdtContent>
          <w:r w:rsidR="00FD3C4C">
            <w:rPr>
              <w:rFonts w:ascii="Arial" w:hAnsi="Arial" w:cs="Arial"/>
              <w:sz w:val="24"/>
              <w:szCs w:val="24"/>
            </w:rPr>
            <w:fldChar w:fldCharType="begin"/>
          </w:r>
          <w:r w:rsidR="00FD3C4C">
            <w:rPr>
              <w:rFonts w:ascii="Arial" w:hAnsi="Arial" w:cs="Arial"/>
              <w:sz w:val="24"/>
              <w:szCs w:val="24"/>
            </w:rPr>
            <w:instrText xml:space="preserve"> CITATION Nes222 \l 2057 </w:instrText>
          </w:r>
          <w:r w:rsidR="00FD3C4C">
            <w:rPr>
              <w:rFonts w:ascii="Arial" w:hAnsi="Arial" w:cs="Arial"/>
              <w:sz w:val="24"/>
              <w:szCs w:val="24"/>
            </w:rPr>
            <w:fldChar w:fldCharType="separate"/>
          </w:r>
          <w:r w:rsidR="00FD3C4C" w:rsidRPr="00FD3C4C">
            <w:rPr>
              <w:rFonts w:ascii="Arial" w:hAnsi="Arial" w:cs="Arial"/>
              <w:noProof/>
              <w:sz w:val="24"/>
              <w:szCs w:val="24"/>
            </w:rPr>
            <w:t>(Nestle, 2022)</w:t>
          </w:r>
          <w:r w:rsidR="00FD3C4C">
            <w:rPr>
              <w:rFonts w:ascii="Arial" w:hAnsi="Arial" w:cs="Arial"/>
              <w:sz w:val="24"/>
              <w:szCs w:val="24"/>
            </w:rPr>
            <w:fldChar w:fldCharType="end"/>
          </w:r>
        </w:sdtContent>
      </w:sdt>
      <w:r w:rsidR="00FD3C4C">
        <w:rPr>
          <w:rFonts w:ascii="Arial" w:hAnsi="Arial" w:cs="Arial"/>
          <w:sz w:val="24"/>
          <w:szCs w:val="24"/>
        </w:rPr>
        <w:t>.</w:t>
      </w:r>
    </w:p>
    <w:p w14:paraId="7CB07B58" w14:textId="7E5FC3A8" w:rsidR="00F47916" w:rsidRDefault="0095780A" w:rsidP="00871436">
      <w:pPr>
        <w:rPr>
          <w:rFonts w:ascii="Arial" w:hAnsi="Arial" w:cs="Arial"/>
          <w:sz w:val="24"/>
          <w:szCs w:val="24"/>
        </w:rPr>
      </w:pPr>
      <w:r>
        <w:rPr>
          <w:rFonts w:ascii="Arial" w:hAnsi="Arial" w:cs="Arial"/>
          <w:sz w:val="24"/>
          <w:szCs w:val="24"/>
        </w:rPr>
        <w:t xml:space="preserve">The political risk is another crucial factor for MNCs because of its uncertainty. Operating in multinational markets, firms can </w:t>
      </w:r>
      <w:r w:rsidR="009B0655">
        <w:rPr>
          <w:rFonts w:ascii="Arial" w:hAnsi="Arial" w:cs="Arial"/>
          <w:sz w:val="24"/>
          <w:szCs w:val="24"/>
        </w:rPr>
        <w:t>lose</w:t>
      </w:r>
      <w:r>
        <w:rPr>
          <w:rFonts w:ascii="Arial" w:hAnsi="Arial" w:cs="Arial"/>
          <w:sz w:val="24"/>
          <w:szCs w:val="24"/>
        </w:rPr>
        <w:t xml:space="preserve"> control over ownership and benefits caused by any political emergency or unexpected changes. Enterprise can face </w:t>
      </w:r>
      <w:r w:rsidR="007D0583">
        <w:rPr>
          <w:rFonts w:ascii="Arial" w:hAnsi="Arial" w:cs="Arial"/>
          <w:sz w:val="24"/>
          <w:szCs w:val="24"/>
        </w:rPr>
        <w:t>extra cost in export/import, restricted in financial operations as investment return, the corporation freedom to operate in that country and standards and legislation for service or products</w:t>
      </w:r>
      <w:r w:rsidR="00AC3DB1">
        <w:rPr>
          <w:rFonts w:ascii="Arial" w:hAnsi="Arial" w:cs="Arial"/>
          <w:sz w:val="24"/>
          <w:szCs w:val="24"/>
        </w:rPr>
        <w:t xml:space="preserve"> </w:t>
      </w:r>
      <w:sdt>
        <w:sdtPr>
          <w:rPr>
            <w:rFonts w:ascii="Arial" w:hAnsi="Arial" w:cs="Arial"/>
            <w:sz w:val="24"/>
            <w:szCs w:val="24"/>
          </w:rPr>
          <w:id w:val="81659553"/>
          <w:citation/>
        </w:sdtPr>
        <w:sdtContent>
          <w:r w:rsidR="00AC3DB1">
            <w:rPr>
              <w:rFonts w:ascii="Arial" w:hAnsi="Arial" w:cs="Arial"/>
              <w:sz w:val="24"/>
              <w:szCs w:val="24"/>
            </w:rPr>
            <w:fldChar w:fldCharType="begin"/>
          </w:r>
          <w:r w:rsidR="00AC3DB1">
            <w:rPr>
              <w:rFonts w:ascii="Arial" w:hAnsi="Arial" w:cs="Arial"/>
              <w:sz w:val="24"/>
              <w:szCs w:val="24"/>
            </w:rPr>
            <w:instrText xml:space="preserve"> CITATION Jef21 \l 2057 </w:instrText>
          </w:r>
          <w:r w:rsidR="00AC3DB1">
            <w:rPr>
              <w:rFonts w:ascii="Arial" w:hAnsi="Arial" w:cs="Arial"/>
              <w:sz w:val="24"/>
              <w:szCs w:val="24"/>
            </w:rPr>
            <w:fldChar w:fldCharType="separate"/>
          </w:r>
          <w:r w:rsidR="00AC3DB1" w:rsidRPr="00AC3DB1">
            <w:rPr>
              <w:rFonts w:ascii="Arial" w:hAnsi="Arial" w:cs="Arial"/>
              <w:noProof/>
              <w:sz w:val="24"/>
              <w:szCs w:val="24"/>
            </w:rPr>
            <w:t>(Madura, 2021)</w:t>
          </w:r>
          <w:r w:rsidR="00AC3DB1">
            <w:rPr>
              <w:rFonts w:ascii="Arial" w:hAnsi="Arial" w:cs="Arial"/>
              <w:sz w:val="24"/>
              <w:szCs w:val="24"/>
            </w:rPr>
            <w:fldChar w:fldCharType="end"/>
          </w:r>
        </w:sdtContent>
      </w:sdt>
      <w:r w:rsidR="00AC3DB1">
        <w:rPr>
          <w:rFonts w:ascii="Arial" w:hAnsi="Arial" w:cs="Arial"/>
          <w:sz w:val="24"/>
          <w:szCs w:val="24"/>
        </w:rPr>
        <w:t>.</w:t>
      </w:r>
      <w:r w:rsidR="000830F5">
        <w:rPr>
          <w:rFonts w:ascii="Arial" w:hAnsi="Arial" w:cs="Arial"/>
          <w:sz w:val="24"/>
          <w:szCs w:val="24"/>
        </w:rPr>
        <w:t xml:space="preserve"> </w:t>
      </w:r>
      <w:r w:rsidR="000830F5" w:rsidRPr="000830F5">
        <w:rPr>
          <w:rFonts w:ascii="Arial" w:hAnsi="Arial" w:cs="Arial"/>
          <w:sz w:val="24"/>
          <w:szCs w:val="24"/>
        </w:rPr>
        <w:t>Nestlé employed a number of CPA methods that may have affected public health policy, research, and practise in ways that benefited the infant food sector. In order to prevent commercial interests from taking precedence over objectives related to public health, these findings might be utilised to better recognise and anticipate the effect of companies on health</w:t>
      </w:r>
      <w:r w:rsidR="000830F5">
        <w:rPr>
          <w:rFonts w:ascii="Arial" w:hAnsi="Arial" w:cs="Arial"/>
          <w:sz w:val="24"/>
          <w:szCs w:val="24"/>
        </w:rPr>
        <w:t xml:space="preserve"> </w:t>
      </w:r>
      <w:sdt>
        <w:sdtPr>
          <w:rPr>
            <w:rFonts w:ascii="Arial" w:hAnsi="Arial" w:cs="Arial"/>
            <w:sz w:val="24"/>
            <w:szCs w:val="24"/>
          </w:rPr>
          <w:id w:val="749075209"/>
          <w:citation/>
        </w:sdtPr>
        <w:sdtContent>
          <w:r w:rsidR="000830F5">
            <w:rPr>
              <w:rFonts w:ascii="Arial" w:hAnsi="Arial" w:cs="Arial"/>
              <w:sz w:val="24"/>
              <w:szCs w:val="24"/>
            </w:rPr>
            <w:fldChar w:fldCharType="begin"/>
          </w:r>
          <w:r w:rsidR="000830F5">
            <w:rPr>
              <w:rFonts w:ascii="Arial" w:hAnsi="Arial" w:cs="Arial"/>
              <w:sz w:val="24"/>
              <w:szCs w:val="24"/>
            </w:rPr>
            <w:instrText xml:space="preserve"> CITATION Hac20 \l 2057 </w:instrText>
          </w:r>
          <w:r w:rsidR="000830F5">
            <w:rPr>
              <w:rFonts w:ascii="Arial" w:hAnsi="Arial" w:cs="Arial"/>
              <w:sz w:val="24"/>
              <w:szCs w:val="24"/>
            </w:rPr>
            <w:fldChar w:fldCharType="separate"/>
          </w:r>
          <w:r w:rsidR="000830F5" w:rsidRPr="000830F5">
            <w:rPr>
              <w:rFonts w:ascii="Arial" w:hAnsi="Arial" w:cs="Arial"/>
              <w:noProof/>
              <w:sz w:val="24"/>
              <w:szCs w:val="24"/>
            </w:rPr>
            <w:t>(Hacer Tanrikulu, 2020)</w:t>
          </w:r>
          <w:r w:rsidR="000830F5">
            <w:rPr>
              <w:rFonts w:ascii="Arial" w:hAnsi="Arial" w:cs="Arial"/>
              <w:sz w:val="24"/>
              <w:szCs w:val="24"/>
            </w:rPr>
            <w:fldChar w:fldCharType="end"/>
          </w:r>
        </w:sdtContent>
      </w:sdt>
      <w:r w:rsidR="000830F5" w:rsidRPr="000830F5">
        <w:rPr>
          <w:rFonts w:ascii="Arial" w:hAnsi="Arial" w:cs="Arial"/>
          <w:sz w:val="24"/>
          <w:szCs w:val="24"/>
        </w:rPr>
        <w:t>.</w:t>
      </w:r>
      <w:r w:rsidR="000A2548">
        <w:rPr>
          <w:rFonts w:ascii="Arial" w:hAnsi="Arial" w:cs="Arial"/>
          <w:sz w:val="24"/>
          <w:szCs w:val="24"/>
        </w:rPr>
        <w:t xml:space="preserve"> </w:t>
      </w:r>
      <w:r w:rsidR="00BD30BA">
        <w:rPr>
          <w:rFonts w:ascii="Arial" w:hAnsi="Arial" w:cs="Arial"/>
          <w:sz w:val="24"/>
          <w:szCs w:val="24"/>
        </w:rPr>
        <w:t>The Brexit affected the food and beverage industry and therefore Nestle face challenges causing disruption foe the supply chain and return in investment. The firm increased stockpile</w:t>
      </w:r>
      <w:r w:rsidR="00014C89">
        <w:rPr>
          <w:rFonts w:ascii="Arial" w:hAnsi="Arial" w:cs="Arial"/>
          <w:sz w:val="24"/>
          <w:szCs w:val="24"/>
        </w:rPr>
        <w:t xml:space="preserve"> in UK to prevent any shortage </w:t>
      </w:r>
      <w:sdt>
        <w:sdtPr>
          <w:rPr>
            <w:rFonts w:ascii="Arial" w:hAnsi="Arial" w:cs="Arial"/>
            <w:sz w:val="24"/>
            <w:szCs w:val="24"/>
          </w:rPr>
          <w:id w:val="660278268"/>
          <w:citation/>
        </w:sdtPr>
        <w:sdtContent>
          <w:r w:rsidR="00014C89">
            <w:rPr>
              <w:rFonts w:ascii="Arial" w:hAnsi="Arial" w:cs="Arial"/>
              <w:sz w:val="24"/>
              <w:szCs w:val="24"/>
            </w:rPr>
            <w:fldChar w:fldCharType="begin"/>
          </w:r>
          <w:r w:rsidR="00014C89">
            <w:rPr>
              <w:rFonts w:ascii="Arial" w:hAnsi="Arial" w:cs="Arial"/>
              <w:sz w:val="24"/>
              <w:szCs w:val="24"/>
            </w:rPr>
            <w:instrText xml:space="preserve"> CITATION Bel19 \l 2057 </w:instrText>
          </w:r>
          <w:r w:rsidR="00014C89">
            <w:rPr>
              <w:rFonts w:ascii="Arial" w:hAnsi="Arial" w:cs="Arial"/>
              <w:sz w:val="24"/>
              <w:szCs w:val="24"/>
            </w:rPr>
            <w:fldChar w:fldCharType="separate"/>
          </w:r>
          <w:r w:rsidR="00014C89" w:rsidRPr="00014C89">
            <w:rPr>
              <w:rFonts w:ascii="Arial" w:hAnsi="Arial" w:cs="Arial"/>
              <w:noProof/>
              <w:sz w:val="24"/>
              <w:szCs w:val="24"/>
            </w:rPr>
            <w:t>(Belger, 2019)</w:t>
          </w:r>
          <w:r w:rsidR="00014C89">
            <w:rPr>
              <w:rFonts w:ascii="Arial" w:hAnsi="Arial" w:cs="Arial"/>
              <w:sz w:val="24"/>
              <w:szCs w:val="24"/>
            </w:rPr>
            <w:fldChar w:fldCharType="end"/>
          </w:r>
        </w:sdtContent>
      </w:sdt>
      <w:r w:rsidR="00F47916">
        <w:rPr>
          <w:rFonts w:ascii="Arial" w:hAnsi="Arial" w:cs="Arial"/>
          <w:sz w:val="24"/>
          <w:szCs w:val="24"/>
        </w:rPr>
        <w:t>.</w:t>
      </w:r>
    </w:p>
    <w:p w14:paraId="3E263254" w14:textId="328B9FF7" w:rsidR="006C7EE6" w:rsidRDefault="00D8592C" w:rsidP="009B0655">
      <w:pPr>
        <w:pStyle w:val="Heading1"/>
      </w:pPr>
      <w:bookmarkStart w:id="3" w:name="_Toc110608283"/>
      <w:r>
        <w:t>Dividend policie</w:t>
      </w:r>
      <w:r w:rsidR="00623359">
        <w:t>s</w:t>
      </w:r>
      <w:bookmarkEnd w:id="3"/>
    </w:p>
    <w:p w14:paraId="2A6FD7A1" w14:textId="227CC7B3" w:rsidR="0035420E" w:rsidRDefault="0035420E" w:rsidP="002662BD">
      <w:pPr>
        <w:rPr>
          <w:rFonts w:ascii="Arial" w:hAnsi="Arial" w:cs="Arial"/>
          <w:sz w:val="24"/>
          <w:szCs w:val="24"/>
        </w:rPr>
      </w:pPr>
      <w:r>
        <w:rPr>
          <w:rFonts w:ascii="Arial" w:hAnsi="Arial" w:cs="Arial"/>
          <w:sz w:val="24"/>
          <w:szCs w:val="24"/>
        </w:rPr>
        <w:t xml:space="preserve">The dividend policy is part of the company strategy to pay out dividend. There are four types of dividend policy such as regular, irregular, stable and no dividend policy </w:t>
      </w:r>
      <w:sdt>
        <w:sdtPr>
          <w:rPr>
            <w:rFonts w:ascii="Arial" w:hAnsi="Arial" w:cs="Arial"/>
            <w:sz w:val="24"/>
            <w:szCs w:val="24"/>
          </w:rPr>
          <w:id w:val="488213768"/>
          <w:citation/>
        </w:sdtPr>
        <w:sdtContent>
          <w:r>
            <w:rPr>
              <w:rFonts w:ascii="Arial" w:hAnsi="Arial" w:cs="Arial"/>
              <w:sz w:val="24"/>
              <w:szCs w:val="24"/>
            </w:rPr>
            <w:fldChar w:fldCharType="begin"/>
          </w:r>
          <w:r>
            <w:rPr>
              <w:rFonts w:ascii="Arial" w:hAnsi="Arial" w:cs="Arial"/>
              <w:sz w:val="24"/>
              <w:szCs w:val="24"/>
            </w:rPr>
            <w:instrText xml:space="preserve"> CITATION Jef21 \l 2057 </w:instrText>
          </w:r>
          <w:r>
            <w:rPr>
              <w:rFonts w:ascii="Arial" w:hAnsi="Arial" w:cs="Arial"/>
              <w:sz w:val="24"/>
              <w:szCs w:val="24"/>
            </w:rPr>
            <w:fldChar w:fldCharType="separate"/>
          </w:r>
          <w:r w:rsidRPr="0035420E">
            <w:rPr>
              <w:rFonts w:ascii="Arial" w:hAnsi="Arial" w:cs="Arial"/>
              <w:noProof/>
              <w:sz w:val="24"/>
              <w:szCs w:val="24"/>
            </w:rPr>
            <w:t>(Madura, 2021)</w:t>
          </w:r>
          <w:r>
            <w:rPr>
              <w:rFonts w:ascii="Arial" w:hAnsi="Arial" w:cs="Arial"/>
              <w:sz w:val="24"/>
              <w:szCs w:val="24"/>
            </w:rPr>
            <w:fldChar w:fldCharType="end"/>
          </w:r>
        </w:sdtContent>
      </w:sdt>
      <w:r>
        <w:rPr>
          <w:rFonts w:ascii="Arial" w:hAnsi="Arial" w:cs="Arial"/>
          <w:sz w:val="24"/>
          <w:szCs w:val="24"/>
        </w:rPr>
        <w:t xml:space="preserve">. </w:t>
      </w:r>
      <w:r w:rsidR="00217185" w:rsidRPr="00217185">
        <w:rPr>
          <w:rFonts w:ascii="Arial" w:hAnsi="Arial" w:cs="Arial"/>
          <w:sz w:val="24"/>
          <w:szCs w:val="24"/>
        </w:rPr>
        <w:t>The most current information available as of August 2022 shows that Nestlé paid dividends of 2.94 USD per share during the previous 12 months</w:t>
      </w:r>
      <w:r>
        <w:rPr>
          <w:rFonts w:ascii="Arial" w:hAnsi="Arial" w:cs="Arial"/>
          <w:sz w:val="24"/>
          <w:szCs w:val="24"/>
        </w:rPr>
        <w:t xml:space="preserve"> </w:t>
      </w:r>
      <w:r w:rsidR="00217185" w:rsidRPr="00217185">
        <w:rPr>
          <w:rFonts w:ascii="Arial" w:hAnsi="Arial" w:cs="Arial"/>
          <w:sz w:val="24"/>
          <w:szCs w:val="24"/>
        </w:rPr>
        <w:t>to a dividend yield of 2.40 per</w:t>
      </w:r>
      <w:r w:rsidR="00627E0B">
        <w:rPr>
          <w:rFonts w:ascii="Arial" w:hAnsi="Arial" w:cs="Arial"/>
          <w:sz w:val="24"/>
          <w:szCs w:val="24"/>
        </w:rPr>
        <w:t xml:space="preserve"> </w:t>
      </w:r>
      <w:r w:rsidR="00217185" w:rsidRPr="00217185">
        <w:rPr>
          <w:rFonts w:ascii="Arial" w:hAnsi="Arial" w:cs="Arial"/>
          <w:sz w:val="24"/>
          <w:szCs w:val="24"/>
        </w:rPr>
        <w:t>cent at the stock's current price of USD 122.45</w:t>
      </w:r>
      <w:r>
        <w:rPr>
          <w:rFonts w:ascii="Arial" w:hAnsi="Arial" w:cs="Arial"/>
          <w:sz w:val="24"/>
          <w:szCs w:val="24"/>
        </w:rPr>
        <w:t xml:space="preserve">. Nestle dividend policy is stable, as the firm is pay dividend once a year in </w:t>
      </w:r>
      <w:r w:rsidR="00F672A0">
        <w:rPr>
          <w:rFonts w:ascii="Arial" w:hAnsi="Arial" w:cs="Arial"/>
          <w:sz w:val="24"/>
          <w:szCs w:val="24"/>
        </w:rPr>
        <w:t>April.</w:t>
      </w:r>
      <w:r>
        <w:rPr>
          <w:rFonts w:ascii="Arial" w:hAnsi="Arial" w:cs="Arial"/>
          <w:sz w:val="24"/>
          <w:szCs w:val="24"/>
        </w:rPr>
        <w:t xml:space="preserve"> </w:t>
      </w:r>
      <w:r w:rsidR="00F672A0">
        <w:rPr>
          <w:rFonts w:ascii="Arial" w:hAnsi="Arial" w:cs="Arial"/>
          <w:sz w:val="24"/>
          <w:szCs w:val="24"/>
        </w:rPr>
        <w:t>T</w:t>
      </w:r>
      <w:r>
        <w:rPr>
          <w:rFonts w:ascii="Arial" w:hAnsi="Arial" w:cs="Arial"/>
          <w:sz w:val="24"/>
          <w:szCs w:val="24"/>
        </w:rPr>
        <w:t>he chart below</w:t>
      </w:r>
      <w:r w:rsidR="00F672A0">
        <w:rPr>
          <w:rFonts w:ascii="Arial" w:hAnsi="Arial" w:cs="Arial"/>
          <w:sz w:val="24"/>
          <w:szCs w:val="24"/>
        </w:rPr>
        <w:t xml:space="preserve"> present Nestle dividend payment history from 2007 to 2022 </w:t>
      </w:r>
      <w:sdt>
        <w:sdtPr>
          <w:rPr>
            <w:rFonts w:ascii="Arial" w:hAnsi="Arial" w:cs="Arial"/>
            <w:sz w:val="24"/>
            <w:szCs w:val="24"/>
          </w:rPr>
          <w:id w:val="259657468"/>
          <w:citation/>
        </w:sdtPr>
        <w:sdtContent>
          <w:r w:rsidR="00844907">
            <w:rPr>
              <w:rFonts w:ascii="Arial" w:hAnsi="Arial" w:cs="Arial"/>
              <w:sz w:val="24"/>
              <w:szCs w:val="24"/>
            </w:rPr>
            <w:fldChar w:fldCharType="begin"/>
          </w:r>
          <w:r w:rsidR="00BF3398">
            <w:rPr>
              <w:rFonts w:ascii="Arial" w:hAnsi="Arial" w:cs="Arial"/>
              <w:sz w:val="24"/>
              <w:szCs w:val="24"/>
            </w:rPr>
            <w:instrText xml:space="preserve">CITATION Div22 \l 2057 </w:instrText>
          </w:r>
          <w:r w:rsidR="00844907">
            <w:rPr>
              <w:rFonts w:ascii="Arial" w:hAnsi="Arial" w:cs="Arial"/>
              <w:sz w:val="24"/>
              <w:szCs w:val="24"/>
            </w:rPr>
            <w:fldChar w:fldCharType="separate"/>
          </w:r>
          <w:r w:rsidR="00BF3398" w:rsidRPr="00BF3398">
            <w:rPr>
              <w:rFonts w:ascii="Arial" w:hAnsi="Arial" w:cs="Arial"/>
              <w:noProof/>
              <w:sz w:val="24"/>
              <w:szCs w:val="24"/>
            </w:rPr>
            <w:t>(Dividend Stock, 2022)</w:t>
          </w:r>
          <w:r w:rsidR="00844907">
            <w:rPr>
              <w:rFonts w:ascii="Arial" w:hAnsi="Arial" w:cs="Arial"/>
              <w:sz w:val="24"/>
              <w:szCs w:val="24"/>
            </w:rPr>
            <w:fldChar w:fldCharType="end"/>
          </w:r>
        </w:sdtContent>
      </w:sdt>
      <w:r w:rsidR="00844907">
        <w:rPr>
          <w:rFonts w:ascii="Arial" w:hAnsi="Arial" w:cs="Arial"/>
          <w:sz w:val="24"/>
          <w:szCs w:val="24"/>
        </w:rPr>
        <w:t>.</w:t>
      </w:r>
    </w:p>
    <w:p w14:paraId="4F0D6FA4" w14:textId="37DB4E3A" w:rsidR="00844907" w:rsidRDefault="00844907" w:rsidP="002662BD">
      <w:pPr>
        <w:rPr>
          <w:rFonts w:ascii="Arial" w:hAnsi="Arial" w:cs="Arial"/>
          <w:sz w:val="24"/>
          <w:szCs w:val="24"/>
        </w:rPr>
      </w:pPr>
      <w:r w:rsidRPr="00844907">
        <w:rPr>
          <w:rFonts w:ascii="Arial" w:hAnsi="Arial" w:cs="Arial"/>
          <w:noProof/>
          <w:sz w:val="24"/>
          <w:szCs w:val="24"/>
        </w:rPr>
        <w:drawing>
          <wp:inline distT="0" distB="0" distL="0" distR="0" wp14:anchorId="02CB070A" wp14:editId="27926FE4">
            <wp:extent cx="5695627" cy="18110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05049" cy="1814016"/>
                    </a:xfrm>
                    <a:prstGeom prst="rect">
                      <a:avLst/>
                    </a:prstGeom>
                  </pic:spPr>
                </pic:pic>
              </a:graphicData>
            </a:graphic>
          </wp:inline>
        </w:drawing>
      </w:r>
    </w:p>
    <w:p w14:paraId="7354DD16" w14:textId="4759DBBB" w:rsidR="00844907" w:rsidRDefault="00000000" w:rsidP="00844907">
      <w:pPr>
        <w:jc w:val="center"/>
        <w:rPr>
          <w:rFonts w:ascii="Arial" w:hAnsi="Arial" w:cs="Arial"/>
          <w:sz w:val="24"/>
          <w:szCs w:val="24"/>
        </w:rPr>
      </w:pPr>
      <w:sdt>
        <w:sdtPr>
          <w:rPr>
            <w:rFonts w:ascii="Arial" w:hAnsi="Arial" w:cs="Arial"/>
            <w:sz w:val="24"/>
            <w:szCs w:val="24"/>
          </w:rPr>
          <w:id w:val="348908017"/>
          <w:citation/>
        </w:sdtPr>
        <w:sdtContent>
          <w:r w:rsidR="00844907">
            <w:rPr>
              <w:rFonts w:ascii="Arial" w:hAnsi="Arial" w:cs="Arial"/>
              <w:sz w:val="24"/>
              <w:szCs w:val="24"/>
            </w:rPr>
            <w:fldChar w:fldCharType="begin"/>
          </w:r>
          <w:r w:rsidR="00BF3398">
            <w:rPr>
              <w:rFonts w:ascii="Arial" w:hAnsi="Arial" w:cs="Arial"/>
              <w:sz w:val="24"/>
              <w:szCs w:val="24"/>
            </w:rPr>
            <w:instrText xml:space="preserve">CITATION Div22 \l 2057 </w:instrText>
          </w:r>
          <w:r w:rsidR="00844907">
            <w:rPr>
              <w:rFonts w:ascii="Arial" w:hAnsi="Arial" w:cs="Arial"/>
              <w:sz w:val="24"/>
              <w:szCs w:val="24"/>
            </w:rPr>
            <w:fldChar w:fldCharType="separate"/>
          </w:r>
          <w:r w:rsidR="00BF3398" w:rsidRPr="00BF3398">
            <w:rPr>
              <w:rFonts w:ascii="Arial" w:hAnsi="Arial" w:cs="Arial"/>
              <w:noProof/>
              <w:sz w:val="24"/>
              <w:szCs w:val="24"/>
            </w:rPr>
            <w:t>(Dividend Stock, 2022)</w:t>
          </w:r>
          <w:r w:rsidR="00844907">
            <w:rPr>
              <w:rFonts w:ascii="Arial" w:hAnsi="Arial" w:cs="Arial"/>
              <w:sz w:val="24"/>
              <w:szCs w:val="24"/>
            </w:rPr>
            <w:fldChar w:fldCharType="end"/>
          </w:r>
        </w:sdtContent>
      </w:sdt>
    </w:p>
    <w:p w14:paraId="6B2A6172" w14:textId="6ECAF95F" w:rsidR="00844907" w:rsidRDefault="00273FFF" w:rsidP="00844907">
      <w:pPr>
        <w:rPr>
          <w:rFonts w:ascii="Arial" w:hAnsi="Arial" w:cs="Arial"/>
          <w:sz w:val="24"/>
          <w:szCs w:val="24"/>
        </w:rPr>
      </w:pPr>
      <w:r w:rsidRPr="00273FFF">
        <w:rPr>
          <w:rFonts w:ascii="Arial" w:hAnsi="Arial" w:cs="Arial"/>
          <w:noProof/>
          <w:sz w:val="24"/>
          <w:szCs w:val="24"/>
        </w:rPr>
        <w:lastRenderedPageBreak/>
        <w:drawing>
          <wp:inline distT="0" distB="0" distL="0" distR="0" wp14:anchorId="3E64C3CA" wp14:editId="09591ED4">
            <wp:extent cx="5731510" cy="24015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01570"/>
                    </a:xfrm>
                    <a:prstGeom prst="rect">
                      <a:avLst/>
                    </a:prstGeom>
                  </pic:spPr>
                </pic:pic>
              </a:graphicData>
            </a:graphic>
          </wp:inline>
        </w:drawing>
      </w:r>
    </w:p>
    <w:p w14:paraId="7BCD9BFB" w14:textId="3E661E88" w:rsidR="00FF0BEF" w:rsidRDefault="00000000" w:rsidP="00FF0BEF">
      <w:pPr>
        <w:jc w:val="center"/>
        <w:rPr>
          <w:rFonts w:ascii="Arial" w:hAnsi="Arial" w:cs="Arial"/>
          <w:sz w:val="24"/>
          <w:szCs w:val="24"/>
        </w:rPr>
      </w:pPr>
      <w:sdt>
        <w:sdtPr>
          <w:rPr>
            <w:rFonts w:ascii="Arial" w:hAnsi="Arial" w:cs="Arial"/>
            <w:sz w:val="24"/>
            <w:szCs w:val="24"/>
          </w:rPr>
          <w:id w:val="1734819587"/>
          <w:citation/>
        </w:sdtPr>
        <w:sdtContent>
          <w:r w:rsidR="00FF0BEF">
            <w:rPr>
              <w:rFonts w:ascii="Arial" w:hAnsi="Arial" w:cs="Arial"/>
              <w:sz w:val="24"/>
              <w:szCs w:val="24"/>
            </w:rPr>
            <w:fldChar w:fldCharType="begin"/>
          </w:r>
          <w:r w:rsidR="00D07132">
            <w:rPr>
              <w:rFonts w:ascii="Arial" w:hAnsi="Arial" w:cs="Arial"/>
              <w:sz w:val="24"/>
              <w:szCs w:val="24"/>
            </w:rPr>
            <w:instrText xml:space="preserve">CITATION Sto3 \l 2057 </w:instrText>
          </w:r>
          <w:r w:rsidR="00FF0BEF">
            <w:rPr>
              <w:rFonts w:ascii="Arial" w:hAnsi="Arial" w:cs="Arial"/>
              <w:sz w:val="24"/>
              <w:szCs w:val="24"/>
            </w:rPr>
            <w:fldChar w:fldCharType="separate"/>
          </w:r>
          <w:r w:rsidR="00D07132" w:rsidRPr="00D07132">
            <w:rPr>
              <w:rFonts w:ascii="Arial" w:hAnsi="Arial" w:cs="Arial"/>
              <w:noProof/>
              <w:sz w:val="24"/>
              <w:szCs w:val="24"/>
            </w:rPr>
            <w:t>(Stock Analysis, 2022)</w:t>
          </w:r>
          <w:r w:rsidR="00FF0BEF">
            <w:rPr>
              <w:rFonts w:ascii="Arial" w:hAnsi="Arial" w:cs="Arial"/>
              <w:sz w:val="24"/>
              <w:szCs w:val="24"/>
            </w:rPr>
            <w:fldChar w:fldCharType="end"/>
          </w:r>
        </w:sdtContent>
      </w:sdt>
    </w:p>
    <w:p w14:paraId="17868156" w14:textId="7CA28A29" w:rsidR="00273FFF" w:rsidRDefault="00273FFF" w:rsidP="00844907">
      <w:pPr>
        <w:rPr>
          <w:rFonts w:ascii="Arial" w:hAnsi="Arial" w:cs="Arial"/>
          <w:sz w:val="24"/>
          <w:szCs w:val="24"/>
        </w:rPr>
      </w:pPr>
      <w:r w:rsidRPr="00273FFF">
        <w:rPr>
          <w:rFonts w:ascii="Arial" w:hAnsi="Arial" w:cs="Arial"/>
          <w:noProof/>
          <w:sz w:val="24"/>
          <w:szCs w:val="24"/>
        </w:rPr>
        <w:drawing>
          <wp:inline distT="0" distB="0" distL="0" distR="0" wp14:anchorId="4E745535" wp14:editId="289A284F">
            <wp:extent cx="5731510" cy="21863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86305"/>
                    </a:xfrm>
                    <a:prstGeom prst="rect">
                      <a:avLst/>
                    </a:prstGeom>
                  </pic:spPr>
                </pic:pic>
              </a:graphicData>
            </a:graphic>
          </wp:inline>
        </w:drawing>
      </w:r>
    </w:p>
    <w:p w14:paraId="5A445092" w14:textId="61E793EE" w:rsidR="006073D4" w:rsidRDefault="00000000" w:rsidP="008949A4">
      <w:pPr>
        <w:jc w:val="center"/>
        <w:rPr>
          <w:rFonts w:ascii="Arial" w:hAnsi="Arial" w:cs="Arial"/>
          <w:sz w:val="24"/>
          <w:szCs w:val="24"/>
        </w:rPr>
      </w:pPr>
      <w:sdt>
        <w:sdtPr>
          <w:rPr>
            <w:rFonts w:ascii="Arial" w:hAnsi="Arial" w:cs="Arial"/>
            <w:sz w:val="24"/>
            <w:szCs w:val="24"/>
          </w:rPr>
          <w:id w:val="-229156948"/>
          <w:citation/>
        </w:sdtPr>
        <w:sdtContent>
          <w:r w:rsidR="00FF0BEF">
            <w:rPr>
              <w:rFonts w:ascii="Arial" w:hAnsi="Arial" w:cs="Arial"/>
              <w:sz w:val="24"/>
              <w:szCs w:val="24"/>
            </w:rPr>
            <w:fldChar w:fldCharType="begin"/>
          </w:r>
          <w:r w:rsidR="00D07132">
            <w:rPr>
              <w:rFonts w:ascii="Arial" w:hAnsi="Arial" w:cs="Arial"/>
              <w:sz w:val="24"/>
              <w:szCs w:val="24"/>
            </w:rPr>
            <w:instrText xml:space="preserve">CITATION Sto3 \l 2057 </w:instrText>
          </w:r>
          <w:r w:rsidR="00FF0BEF">
            <w:rPr>
              <w:rFonts w:ascii="Arial" w:hAnsi="Arial" w:cs="Arial"/>
              <w:sz w:val="24"/>
              <w:szCs w:val="24"/>
            </w:rPr>
            <w:fldChar w:fldCharType="separate"/>
          </w:r>
          <w:r w:rsidR="00D07132" w:rsidRPr="00D07132">
            <w:rPr>
              <w:rFonts w:ascii="Arial" w:hAnsi="Arial" w:cs="Arial"/>
              <w:noProof/>
              <w:sz w:val="24"/>
              <w:szCs w:val="24"/>
            </w:rPr>
            <w:t>(Stock Analysis, 2022)</w:t>
          </w:r>
          <w:r w:rsidR="00FF0BEF">
            <w:rPr>
              <w:rFonts w:ascii="Arial" w:hAnsi="Arial" w:cs="Arial"/>
              <w:sz w:val="24"/>
              <w:szCs w:val="24"/>
            </w:rPr>
            <w:fldChar w:fldCharType="end"/>
          </w:r>
        </w:sdtContent>
      </w:sdt>
    </w:p>
    <w:p w14:paraId="063A8FDF" w14:textId="0FAE0760" w:rsidR="00553375" w:rsidRDefault="008949A4" w:rsidP="002662BD">
      <w:pPr>
        <w:rPr>
          <w:rFonts w:ascii="Arial" w:hAnsi="Arial" w:cs="Arial"/>
          <w:sz w:val="24"/>
          <w:szCs w:val="24"/>
        </w:rPr>
      </w:pPr>
      <w:r w:rsidRPr="008949A4">
        <w:rPr>
          <w:rFonts w:ascii="Arial" w:hAnsi="Arial" w:cs="Arial"/>
          <w:sz w:val="24"/>
          <w:szCs w:val="24"/>
        </w:rPr>
        <w:t>The corporation has maintained a stable dividend policy for the past 62 years, constantly increasing dividend per share. Between 2017 and 2021, the dividend pay-out is constantly increasing, as listed in the chart below (Nestle, 2021).</w:t>
      </w:r>
    </w:p>
    <w:p w14:paraId="636EB570" w14:textId="16C15954" w:rsidR="000907D0" w:rsidRDefault="000907D0" w:rsidP="002662BD">
      <w:pPr>
        <w:rPr>
          <w:rFonts w:ascii="Arial" w:hAnsi="Arial" w:cs="Arial"/>
          <w:sz w:val="24"/>
          <w:szCs w:val="24"/>
        </w:rPr>
      </w:pPr>
      <w:r w:rsidRPr="000907D0">
        <w:rPr>
          <w:rFonts w:ascii="Arial" w:hAnsi="Arial" w:cs="Arial"/>
          <w:noProof/>
          <w:sz w:val="24"/>
          <w:szCs w:val="24"/>
        </w:rPr>
        <w:drawing>
          <wp:inline distT="0" distB="0" distL="0" distR="0" wp14:anchorId="0DE85E88" wp14:editId="0DBE4DD8">
            <wp:extent cx="4849933" cy="2362034"/>
            <wp:effectExtent l="0" t="0" r="825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22266" cy="2397262"/>
                    </a:xfrm>
                    <a:prstGeom prst="rect">
                      <a:avLst/>
                    </a:prstGeom>
                  </pic:spPr>
                </pic:pic>
              </a:graphicData>
            </a:graphic>
          </wp:inline>
        </w:drawing>
      </w:r>
    </w:p>
    <w:p w14:paraId="2FB7D1C6" w14:textId="7D60BD00" w:rsidR="000907D0" w:rsidRDefault="00000000" w:rsidP="000907D0">
      <w:pPr>
        <w:jc w:val="center"/>
        <w:rPr>
          <w:rFonts w:ascii="Arial" w:hAnsi="Arial" w:cs="Arial"/>
          <w:sz w:val="24"/>
          <w:szCs w:val="24"/>
        </w:rPr>
      </w:pPr>
      <w:sdt>
        <w:sdtPr>
          <w:rPr>
            <w:rFonts w:ascii="Arial" w:hAnsi="Arial" w:cs="Arial"/>
            <w:sz w:val="24"/>
            <w:szCs w:val="24"/>
          </w:rPr>
          <w:id w:val="-2080434022"/>
          <w:citation/>
        </w:sdtPr>
        <w:sdtContent>
          <w:r w:rsidR="000907D0">
            <w:rPr>
              <w:rFonts w:ascii="Arial" w:hAnsi="Arial" w:cs="Arial"/>
              <w:sz w:val="24"/>
              <w:szCs w:val="24"/>
            </w:rPr>
            <w:fldChar w:fldCharType="begin"/>
          </w:r>
          <w:r w:rsidR="000907D0">
            <w:rPr>
              <w:rFonts w:ascii="Arial" w:hAnsi="Arial" w:cs="Arial"/>
              <w:sz w:val="24"/>
              <w:szCs w:val="24"/>
            </w:rPr>
            <w:instrText xml:space="preserve"> CITATION Nes211 \l 2057 </w:instrText>
          </w:r>
          <w:r w:rsidR="000907D0">
            <w:rPr>
              <w:rFonts w:ascii="Arial" w:hAnsi="Arial" w:cs="Arial"/>
              <w:sz w:val="24"/>
              <w:szCs w:val="24"/>
            </w:rPr>
            <w:fldChar w:fldCharType="separate"/>
          </w:r>
          <w:r w:rsidR="000907D0" w:rsidRPr="000907D0">
            <w:rPr>
              <w:rFonts w:ascii="Arial" w:hAnsi="Arial" w:cs="Arial"/>
              <w:noProof/>
              <w:sz w:val="24"/>
              <w:szCs w:val="24"/>
            </w:rPr>
            <w:t>(Nestle, 2021)</w:t>
          </w:r>
          <w:r w:rsidR="000907D0">
            <w:rPr>
              <w:rFonts w:ascii="Arial" w:hAnsi="Arial" w:cs="Arial"/>
              <w:sz w:val="24"/>
              <w:szCs w:val="24"/>
            </w:rPr>
            <w:fldChar w:fldCharType="end"/>
          </w:r>
        </w:sdtContent>
      </w:sdt>
    </w:p>
    <w:p w14:paraId="4C734D8F" w14:textId="585372C0" w:rsidR="00B006EA" w:rsidRPr="00B006EA" w:rsidRDefault="007E0550" w:rsidP="00417C7F">
      <w:pPr>
        <w:pStyle w:val="Heading1"/>
      </w:pPr>
      <w:bookmarkStart w:id="4" w:name="_Toc110608284"/>
      <w:r>
        <w:lastRenderedPageBreak/>
        <w:t>Efficient M</w:t>
      </w:r>
      <w:r w:rsidR="002D4B5B">
        <w:t xml:space="preserve">arket </w:t>
      </w:r>
      <w:r>
        <w:t>H</w:t>
      </w:r>
      <w:r w:rsidR="002D4B5B">
        <w:t>ypothesis</w:t>
      </w:r>
      <w:bookmarkEnd w:id="4"/>
    </w:p>
    <w:p w14:paraId="31B0548C" w14:textId="328FFC86" w:rsidR="00F02439" w:rsidRPr="00F02439" w:rsidRDefault="00F02439" w:rsidP="00F02439">
      <w:pPr>
        <w:rPr>
          <w:rFonts w:ascii="Arial" w:hAnsi="Arial" w:cs="Arial"/>
          <w:sz w:val="24"/>
          <w:szCs w:val="24"/>
        </w:rPr>
      </w:pPr>
      <w:r w:rsidRPr="00F02439">
        <w:rPr>
          <w:rFonts w:ascii="Arial" w:hAnsi="Arial" w:cs="Arial"/>
          <w:sz w:val="24"/>
          <w:szCs w:val="24"/>
        </w:rPr>
        <w:t xml:space="preserve">The Efficient Market Hypothesis (EMH) of market trading reflects the share price of a multinational corporation. The theory of EMH states that there is no consistent return when trading stock exchange, and the share price reflects all information. An efficient market is a market where there is no competition and share price is fairly traded, leaving no space for abnormal profit. However, some markets are inefficient where investors' strategies result in a risky one and beat the market price for an excess profit (Bekaert, 2013). </w:t>
      </w:r>
    </w:p>
    <w:p w14:paraId="0EAAE47B" w14:textId="13EA47C6" w:rsidR="00A667D0" w:rsidRDefault="00F02439" w:rsidP="00345A76">
      <w:pPr>
        <w:spacing w:before="240"/>
        <w:rPr>
          <w:rFonts w:ascii="Arial" w:hAnsi="Arial" w:cs="Arial"/>
          <w:sz w:val="24"/>
          <w:szCs w:val="24"/>
        </w:rPr>
      </w:pPr>
      <w:r w:rsidRPr="00F02439">
        <w:rPr>
          <w:rFonts w:ascii="Arial" w:hAnsi="Arial" w:cs="Arial"/>
          <w:sz w:val="24"/>
          <w:szCs w:val="24"/>
        </w:rPr>
        <w:t>There are three forms of the efficient market that determine the market value week, semi-strong and strong. The week from the market states that the firm share price is affected by the past share price history based on technical analysis information, which investors take into account when making decisions. The semi-strong market theory is the most efficient in the stock exchange because of its ability to make a higher return. In other words, the investor can use information not available on the public markets to make a higher return profit. The strong market theory states that share price is accurate based on the theory that all information is available and there is no higher return for investors</w:t>
      </w:r>
      <w:r w:rsidR="00E769A0">
        <w:rPr>
          <w:rFonts w:ascii="Arial" w:hAnsi="Arial" w:cs="Arial"/>
          <w:sz w:val="24"/>
          <w:szCs w:val="24"/>
        </w:rPr>
        <w:t xml:space="preserve"> </w:t>
      </w:r>
      <w:sdt>
        <w:sdtPr>
          <w:rPr>
            <w:rFonts w:ascii="Arial" w:hAnsi="Arial" w:cs="Arial"/>
            <w:sz w:val="24"/>
            <w:szCs w:val="24"/>
          </w:rPr>
          <w:id w:val="655960071"/>
          <w:citation/>
        </w:sdtPr>
        <w:sdtContent>
          <w:r w:rsidR="00E769A0">
            <w:rPr>
              <w:rFonts w:ascii="Arial" w:hAnsi="Arial" w:cs="Arial"/>
              <w:sz w:val="24"/>
              <w:szCs w:val="24"/>
            </w:rPr>
            <w:fldChar w:fldCharType="begin"/>
          </w:r>
          <w:r w:rsidR="00E769A0">
            <w:rPr>
              <w:rFonts w:ascii="Arial" w:hAnsi="Arial" w:cs="Arial"/>
              <w:sz w:val="24"/>
              <w:szCs w:val="24"/>
            </w:rPr>
            <w:instrText xml:space="preserve"> CITATION Jef21 \l 2057 </w:instrText>
          </w:r>
          <w:r w:rsidR="00E769A0">
            <w:rPr>
              <w:rFonts w:ascii="Arial" w:hAnsi="Arial" w:cs="Arial"/>
              <w:sz w:val="24"/>
              <w:szCs w:val="24"/>
            </w:rPr>
            <w:fldChar w:fldCharType="separate"/>
          </w:r>
          <w:r w:rsidR="00E769A0" w:rsidRPr="00E769A0">
            <w:rPr>
              <w:rFonts w:ascii="Arial" w:hAnsi="Arial" w:cs="Arial"/>
              <w:noProof/>
              <w:sz w:val="24"/>
              <w:szCs w:val="24"/>
            </w:rPr>
            <w:t>(Madura, 2021)</w:t>
          </w:r>
          <w:r w:rsidR="00E769A0">
            <w:rPr>
              <w:rFonts w:ascii="Arial" w:hAnsi="Arial" w:cs="Arial"/>
              <w:sz w:val="24"/>
              <w:szCs w:val="24"/>
            </w:rPr>
            <w:fldChar w:fldCharType="end"/>
          </w:r>
        </w:sdtContent>
      </w:sdt>
      <w:r w:rsidRPr="00F02439">
        <w:rPr>
          <w:rFonts w:ascii="Arial" w:hAnsi="Arial" w:cs="Arial"/>
          <w:sz w:val="24"/>
          <w:szCs w:val="24"/>
        </w:rPr>
        <w:t>.</w:t>
      </w:r>
      <w:r w:rsidR="0043293F">
        <w:rPr>
          <w:rFonts w:ascii="Arial" w:hAnsi="Arial" w:cs="Arial"/>
          <w:sz w:val="24"/>
          <w:szCs w:val="24"/>
        </w:rPr>
        <w:t xml:space="preserve"> The profitability score of Nestle is 61 points. The stock share value is overvalued by 17 per cent in New York stock exchange with current market price at USD100.69, and the market price valued is at USD122.05, </w:t>
      </w:r>
      <w:sdt>
        <w:sdtPr>
          <w:rPr>
            <w:rFonts w:ascii="Arial" w:hAnsi="Arial" w:cs="Arial"/>
            <w:sz w:val="24"/>
            <w:szCs w:val="24"/>
          </w:rPr>
          <w:id w:val="1582643409"/>
          <w:citation/>
        </w:sdtPr>
        <w:sdtContent>
          <w:r w:rsidR="0043293F">
            <w:rPr>
              <w:rFonts w:ascii="Arial" w:hAnsi="Arial" w:cs="Arial"/>
              <w:sz w:val="24"/>
              <w:szCs w:val="24"/>
            </w:rPr>
            <w:fldChar w:fldCharType="begin"/>
          </w:r>
          <w:r w:rsidR="0043293F">
            <w:rPr>
              <w:rFonts w:ascii="Arial" w:hAnsi="Arial" w:cs="Arial"/>
              <w:sz w:val="24"/>
              <w:szCs w:val="24"/>
            </w:rPr>
            <w:instrText xml:space="preserve"> CITATION Alp22 \l 2057 </w:instrText>
          </w:r>
          <w:r w:rsidR="0043293F">
            <w:rPr>
              <w:rFonts w:ascii="Arial" w:hAnsi="Arial" w:cs="Arial"/>
              <w:sz w:val="24"/>
              <w:szCs w:val="24"/>
            </w:rPr>
            <w:fldChar w:fldCharType="separate"/>
          </w:r>
          <w:r w:rsidR="0043293F" w:rsidRPr="00062239">
            <w:rPr>
              <w:rFonts w:ascii="Arial" w:hAnsi="Arial" w:cs="Arial"/>
              <w:noProof/>
              <w:sz w:val="24"/>
              <w:szCs w:val="24"/>
            </w:rPr>
            <w:t>(Alpha Spread, 2022)</w:t>
          </w:r>
          <w:r w:rsidR="0043293F">
            <w:rPr>
              <w:rFonts w:ascii="Arial" w:hAnsi="Arial" w:cs="Arial"/>
              <w:sz w:val="24"/>
              <w:szCs w:val="24"/>
            </w:rPr>
            <w:fldChar w:fldCharType="end"/>
          </w:r>
        </w:sdtContent>
      </w:sdt>
      <w:r w:rsidR="0043293F">
        <w:rPr>
          <w:rFonts w:ascii="Arial" w:hAnsi="Arial" w:cs="Arial"/>
          <w:sz w:val="24"/>
          <w:szCs w:val="24"/>
        </w:rPr>
        <w:t xml:space="preserve"> and London stock exchange the share price is at 116. 73, undervalued price. </w:t>
      </w:r>
      <w:r w:rsidR="00E20E32">
        <w:rPr>
          <w:rFonts w:ascii="Arial" w:hAnsi="Arial" w:cs="Arial"/>
          <w:sz w:val="24"/>
          <w:szCs w:val="24"/>
        </w:rPr>
        <w:t xml:space="preserve">Based on the market share price fluctuation and demand London stock exchange is categorised as semi-strong market where information </w:t>
      </w:r>
      <w:r w:rsidR="00163AD9">
        <w:rPr>
          <w:rFonts w:ascii="Arial" w:hAnsi="Arial" w:cs="Arial"/>
          <w:sz w:val="24"/>
          <w:szCs w:val="24"/>
        </w:rPr>
        <w:t>is</w:t>
      </w:r>
      <w:r w:rsidR="00E20E32">
        <w:rPr>
          <w:rFonts w:ascii="Arial" w:hAnsi="Arial" w:cs="Arial"/>
          <w:sz w:val="24"/>
          <w:szCs w:val="24"/>
        </w:rPr>
        <w:t xml:space="preserve"> absorbed rapidly</w:t>
      </w:r>
      <w:r w:rsidR="00B51927">
        <w:rPr>
          <w:rFonts w:ascii="Arial" w:hAnsi="Arial" w:cs="Arial"/>
          <w:sz w:val="24"/>
          <w:szCs w:val="24"/>
        </w:rPr>
        <w:t xml:space="preserve"> resulting in share price volatility for Nestle.</w:t>
      </w:r>
    </w:p>
    <w:p w14:paraId="31374371" w14:textId="72B11A4B" w:rsidR="00ED02DE" w:rsidRDefault="000B1927" w:rsidP="009B0655">
      <w:pPr>
        <w:pStyle w:val="Heading1"/>
      </w:pPr>
      <w:bookmarkStart w:id="5" w:name="_Toc110608285"/>
      <w:r>
        <w:t>Investment Appraisal</w:t>
      </w:r>
      <w:bookmarkEnd w:id="5"/>
    </w:p>
    <w:p w14:paraId="790B4A9E" w14:textId="2CA5347F" w:rsidR="00A667D0" w:rsidRDefault="00CF4134" w:rsidP="00F02439">
      <w:pPr>
        <w:rPr>
          <w:rFonts w:ascii="Arial" w:hAnsi="Arial" w:cs="Arial"/>
          <w:sz w:val="24"/>
          <w:szCs w:val="24"/>
        </w:rPr>
      </w:pPr>
      <w:r>
        <w:rPr>
          <w:rFonts w:ascii="Arial" w:hAnsi="Arial" w:cs="Arial"/>
          <w:sz w:val="24"/>
          <w:szCs w:val="24"/>
        </w:rPr>
        <w:t xml:space="preserve">The Investment Appraisal is the company project for the future of the business and profitability. The financial managers are responsible of the company </w:t>
      </w:r>
      <w:r w:rsidR="0022606D">
        <w:rPr>
          <w:rFonts w:ascii="Arial" w:hAnsi="Arial" w:cs="Arial"/>
          <w:sz w:val="24"/>
          <w:szCs w:val="24"/>
        </w:rPr>
        <w:t xml:space="preserve">strategies that will enchase the business future profitability over the </w:t>
      </w:r>
      <w:r w:rsidR="00D215A8">
        <w:rPr>
          <w:rFonts w:ascii="Arial" w:hAnsi="Arial" w:cs="Arial"/>
          <w:sz w:val="24"/>
          <w:szCs w:val="24"/>
        </w:rPr>
        <w:t>assets, cash</w:t>
      </w:r>
      <w:r>
        <w:rPr>
          <w:rFonts w:ascii="Arial" w:hAnsi="Arial" w:cs="Arial"/>
          <w:sz w:val="24"/>
          <w:szCs w:val="24"/>
        </w:rPr>
        <w:t xml:space="preserve"> </w:t>
      </w:r>
      <w:r w:rsidR="002A71DF">
        <w:rPr>
          <w:rFonts w:ascii="Arial" w:hAnsi="Arial" w:cs="Arial"/>
          <w:sz w:val="24"/>
          <w:szCs w:val="24"/>
        </w:rPr>
        <w:t>flow,</w:t>
      </w:r>
      <w:r>
        <w:rPr>
          <w:rFonts w:ascii="Arial" w:hAnsi="Arial" w:cs="Arial"/>
          <w:sz w:val="24"/>
          <w:szCs w:val="24"/>
        </w:rPr>
        <w:t xml:space="preserve"> profitability, payback program and </w:t>
      </w:r>
      <w:r w:rsidR="00E2321B">
        <w:rPr>
          <w:rFonts w:ascii="Arial" w:hAnsi="Arial" w:cs="Arial"/>
          <w:sz w:val="24"/>
          <w:szCs w:val="24"/>
        </w:rPr>
        <w:t xml:space="preserve">return in investment. The investment appraisal method called the discounted method, which benefit financial manager to make decision of </w:t>
      </w:r>
      <w:r w:rsidR="002C071C">
        <w:rPr>
          <w:rFonts w:ascii="Arial" w:hAnsi="Arial" w:cs="Arial"/>
          <w:sz w:val="24"/>
          <w:szCs w:val="24"/>
        </w:rPr>
        <w:t>wheatear</w:t>
      </w:r>
      <w:r w:rsidR="00E2321B">
        <w:rPr>
          <w:rFonts w:ascii="Arial" w:hAnsi="Arial" w:cs="Arial"/>
          <w:sz w:val="24"/>
          <w:szCs w:val="24"/>
        </w:rPr>
        <w:t xml:space="preserve"> the investment is profitable or not</w:t>
      </w:r>
      <w:r w:rsidR="002C071C">
        <w:rPr>
          <w:rFonts w:ascii="Arial" w:hAnsi="Arial" w:cs="Arial"/>
          <w:sz w:val="24"/>
          <w:szCs w:val="24"/>
        </w:rPr>
        <w:t xml:space="preserve"> </w:t>
      </w:r>
      <w:sdt>
        <w:sdtPr>
          <w:rPr>
            <w:rFonts w:ascii="Arial" w:hAnsi="Arial" w:cs="Arial"/>
            <w:sz w:val="24"/>
            <w:szCs w:val="24"/>
          </w:rPr>
          <w:id w:val="1759401482"/>
          <w:citation/>
        </w:sdtPr>
        <w:sdtContent>
          <w:r w:rsidR="002C071C">
            <w:rPr>
              <w:rFonts w:ascii="Arial" w:hAnsi="Arial" w:cs="Arial"/>
              <w:sz w:val="24"/>
              <w:szCs w:val="24"/>
            </w:rPr>
            <w:fldChar w:fldCharType="begin"/>
          </w:r>
          <w:r w:rsidR="002C071C">
            <w:rPr>
              <w:rFonts w:ascii="Arial" w:hAnsi="Arial" w:cs="Arial"/>
              <w:sz w:val="24"/>
              <w:szCs w:val="24"/>
            </w:rPr>
            <w:instrText xml:space="preserve"> CITATION Bek13 \l 2057 </w:instrText>
          </w:r>
          <w:r w:rsidR="002C071C">
            <w:rPr>
              <w:rFonts w:ascii="Arial" w:hAnsi="Arial" w:cs="Arial"/>
              <w:sz w:val="24"/>
              <w:szCs w:val="24"/>
            </w:rPr>
            <w:fldChar w:fldCharType="separate"/>
          </w:r>
          <w:r w:rsidR="002C071C" w:rsidRPr="002C071C">
            <w:rPr>
              <w:rFonts w:ascii="Arial" w:hAnsi="Arial" w:cs="Arial"/>
              <w:noProof/>
              <w:sz w:val="24"/>
              <w:szCs w:val="24"/>
            </w:rPr>
            <w:t>(Bekaert, 2013)</w:t>
          </w:r>
          <w:r w:rsidR="002C071C">
            <w:rPr>
              <w:rFonts w:ascii="Arial" w:hAnsi="Arial" w:cs="Arial"/>
              <w:sz w:val="24"/>
              <w:szCs w:val="24"/>
            </w:rPr>
            <w:fldChar w:fldCharType="end"/>
          </w:r>
        </w:sdtContent>
      </w:sdt>
      <w:r w:rsidR="002C071C">
        <w:rPr>
          <w:rFonts w:ascii="Arial" w:hAnsi="Arial" w:cs="Arial"/>
          <w:sz w:val="24"/>
          <w:szCs w:val="24"/>
        </w:rPr>
        <w:t>.</w:t>
      </w:r>
    </w:p>
    <w:p w14:paraId="1519C242" w14:textId="115F5D1E" w:rsidR="00345A76" w:rsidRDefault="00345A76" w:rsidP="00345A76">
      <w:pPr>
        <w:spacing w:before="240"/>
        <w:rPr>
          <w:rFonts w:ascii="Arial" w:hAnsi="Arial" w:cs="Arial"/>
          <w:noProof/>
          <w:sz w:val="24"/>
          <w:szCs w:val="24"/>
        </w:rPr>
      </w:pPr>
      <w:r>
        <w:rPr>
          <w:rFonts w:ascii="Arial" w:hAnsi="Arial" w:cs="Arial"/>
          <w:sz w:val="24"/>
          <w:szCs w:val="24"/>
        </w:rPr>
        <w:t>The underlying trading operating profit margin for Nestle decreases by 30 points in 2021, reported at 17.4 per cent and the operating profit decrease by 2</w:t>
      </w:r>
      <w:r w:rsidR="00DC5007">
        <w:rPr>
          <w:rFonts w:ascii="Arial" w:hAnsi="Arial" w:cs="Arial"/>
          <w:sz w:val="24"/>
          <w:szCs w:val="24"/>
        </w:rPr>
        <w:t>50</w:t>
      </w:r>
      <w:r>
        <w:rPr>
          <w:rFonts w:ascii="Arial" w:hAnsi="Arial" w:cs="Arial"/>
          <w:sz w:val="24"/>
          <w:szCs w:val="24"/>
        </w:rPr>
        <w:t xml:space="preserve"> points, due to Wyeth business weakness. However, the earnings per share increased by 41.1 percent, respectively CHF 6.06 mainly coming from L’Oréal disposal. The firm is expecting increase in underlying profit and earning s per share approximately of 5 percent as the organic growth is in constant increase</w:t>
      </w:r>
      <w:r w:rsidR="00637108">
        <w:rPr>
          <w:rFonts w:ascii="Arial" w:hAnsi="Arial" w:cs="Arial"/>
          <w:sz w:val="24"/>
          <w:szCs w:val="24"/>
        </w:rPr>
        <w:t xml:space="preserve"> </w:t>
      </w:r>
      <w:sdt>
        <w:sdtPr>
          <w:rPr>
            <w:rFonts w:ascii="Arial" w:hAnsi="Arial" w:cs="Arial"/>
            <w:sz w:val="24"/>
            <w:szCs w:val="24"/>
          </w:rPr>
          <w:id w:val="2099139299"/>
          <w:citation/>
        </w:sdtPr>
        <w:sdtContent>
          <w:r w:rsidR="00637108">
            <w:rPr>
              <w:rFonts w:ascii="Arial" w:hAnsi="Arial" w:cs="Arial"/>
              <w:sz w:val="24"/>
              <w:szCs w:val="24"/>
            </w:rPr>
            <w:fldChar w:fldCharType="begin"/>
          </w:r>
          <w:r w:rsidR="00637108">
            <w:rPr>
              <w:rFonts w:ascii="Arial" w:hAnsi="Arial" w:cs="Arial"/>
              <w:sz w:val="24"/>
              <w:szCs w:val="24"/>
            </w:rPr>
            <w:instrText xml:space="preserve"> CITATION Nes211 \l 2057 </w:instrText>
          </w:r>
          <w:r w:rsidR="00637108">
            <w:rPr>
              <w:rFonts w:ascii="Arial" w:hAnsi="Arial" w:cs="Arial"/>
              <w:sz w:val="24"/>
              <w:szCs w:val="24"/>
            </w:rPr>
            <w:fldChar w:fldCharType="separate"/>
          </w:r>
          <w:r w:rsidR="00637108" w:rsidRPr="00637108">
            <w:rPr>
              <w:rFonts w:ascii="Arial" w:hAnsi="Arial" w:cs="Arial"/>
              <w:noProof/>
              <w:sz w:val="24"/>
              <w:szCs w:val="24"/>
            </w:rPr>
            <w:t>(Nestle, 2021)</w:t>
          </w:r>
          <w:r w:rsidR="00637108">
            <w:rPr>
              <w:rFonts w:ascii="Arial" w:hAnsi="Arial" w:cs="Arial"/>
              <w:sz w:val="24"/>
              <w:szCs w:val="24"/>
            </w:rPr>
            <w:fldChar w:fldCharType="end"/>
          </w:r>
        </w:sdtContent>
      </w:sdt>
      <w:r w:rsidR="00637108">
        <w:rPr>
          <w:rFonts w:ascii="Arial" w:hAnsi="Arial" w:cs="Arial"/>
          <w:sz w:val="24"/>
          <w:szCs w:val="24"/>
        </w:rPr>
        <w:t>.</w:t>
      </w:r>
    </w:p>
    <w:p w14:paraId="04FEF900" w14:textId="5FE9936F" w:rsidR="004439C2" w:rsidRDefault="00125EDC" w:rsidP="00F02439">
      <w:pPr>
        <w:rPr>
          <w:rFonts w:ascii="Arial" w:hAnsi="Arial" w:cs="Arial"/>
          <w:sz w:val="24"/>
          <w:szCs w:val="24"/>
        </w:rPr>
      </w:pPr>
      <w:r w:rsidRPr="00125EDC">
        <w:rPr>
          <w:rFonts w:ascii="Arial" w:hAnsi="Arial" w:cs="Arial"/>
          <w:sz w:val="24"/>
          <w:szCs w:val="24"/>
        </w:rPr>
        <w:t>For the quarter that ended in June 2022, Nestle's annualised return on invested capital (ROIC%) was 9.54 percent.</w:t>
      </w:r>
      <w:r w:rsidRPr="00125EDC">
        <w:t xml:space="preserve"> </w:t>
      </w:r>
      <w:r w:rsidRPr="00125EDC">
        <w:rPr>
          <w:rFonts w:ascii="Arial" w:hAnsi="Arial" w:cs="Arial"/>
          <w:sz w:val="24"/>
          <w:szCs w:val="24"/>
        </w:rPr>
        <w:t>The ROIC percentage for Nestle is 10.10%.  Nestle's investments yield more returns than the expense to the business of raising the necessary funds for the investment. It is producing surplus returns. A company's value will rise as expansion accelerates if it anticipates continuing to provide positive surplus returns on new investments</w:t>
      </w:r>
      <w:r w:rsidR="00637108">
        <w:rPr>
          <w:rFonts w:ascii="Arial" w:hAnsi="Arial" w:cs="Arial"/>
          <w:sz w:val="24"/>
          <w:szCs w:val="24"/>
        </w:rPr>
        <w:t xml:space="preserve"> </w:t>
      </w:r>
      <w:sdt>
        <w:sdtPr>
          <w:rPr>
            <w:rFonts w:ascii="Arial" w:hAnsi="Arial" w:cs="Arial"/>
            <w:sz w:val="24"/>
            <w:szCs w:val="24"/>
          </w:rPr>
          <w:id w:val="-1876151357"/>
          <w:citation/>
        </w:sdtPr>
        <w:sdtContent>
          <w:r w:rsidR="00637108">
            <w:rPr>
              <w:rFonts w:ascii="Arial" w:hAnsi="Arial" w:cs="Arial"/>
              <w:sz w:val="24"/>
              <w:szCs w:val="24"/>
            </w:rPr>
            <w:fldChar w:fldCharType="begin"/>
          </w:r>
          <w:r w:rsidR="00637108">
            <w:rPr>
              <w:rFonts w:ascii="Arial" w:hAnsi="Arial" w:cs="Arial"/>
              <w:sz w:val="24"/>
              <w:szCs w:val="24"/>
            </w:rPr>
            <w:instrText xml:space="preserve"> CITATION Nes211 \l 2057 </w:instrText>
          </w:r>
          <w:r w:rsidR="00637108">
            <w:rPr>
              <w:rFonts w:ascii="Arial" w:hAnsi="Arial" w:cs="Arial"/>
              <w:sz w:val="24"/>
              <w:szCs w:val="24"/>
            </w:rPr>
            <w:fldChar w:fldCharType="separate"/>
          </w:r>
          <w:r w:rsidR="00637108" w:rsidRPr="00637108">
            <w:rPr>
              <w:rFonts w:ascii="Arial" w:hAnsi="Arial" w:cs="Arial"/>
              <w:noProof/>
              <w:sz w:val="24"/>
              <w:szCs w:val="24"/>
            </w:rPr>
            <w:t>(Nestle, 2021)</w:t>
          </w:r>
          <w:r w:rsidR="00637108">
            <w:rPr>
              <w:rFonts w:ascii="Arial" w:hAnsi="Arial" w:cs="Arial"/>
              <w:sz w:val="24"/>
              <w:szCs w:val="24"/>
            </w:rPr>
            <w:fldChar w:fldCharType="end"/>
          </w:r>
        </w:sdtContent>
      </w:sdt>
      <w:r w:rsidR="00637108">
        <w:rPr>
          <w:rFonts w:ascii="Arial" w:hAnsi="Arial" w:cs="Arial"/>
          <w:sz w:val="24"/>
          <w:szCs w:val="24"/>
        </w:rPr>
        <w:t>.</w:t>
      </w:r>
    </w:p>
    <w:p w14:paraId="1EC9FB4B" w14:textId="2865893B" w:rsidR="00163AD9" w:rsidRDefault="00163AD9" w:rsidP="009B0655">
      <w:pPr>
        <w:pStyle w:val="Heading1"/>
      </w:pPr>
      <w:bookmarkStart w:id="6" w:name="_Toc110608286"/>
      <w:r>
        <w:lastRenderedPageBreak/>
        <w:t>Conclusion</w:t>
      </w:r>
      <w:bookmarkEnd w:id="6"/>
    </w:p>
    <w:p w14:paraId="2938F6AD" w14:textId="7B2C79FF" w:rsidR="00E05D0D" w:rsidRPr="00575176" w:rsidRDefault="00051DC8" w:rsidP="00575176">
      <w:pPr>
        <w:rPr>
          <w:rFonts w:ascii="Arial" w:hAnsi="Arial" w:cs="Arial"/>
          <w:sz w:val="24"/>
          <w:szCs w:val="24"/>
        </w:rPr>
      </w:pPr>
      <w:r>
        <w:rPr>
          <w:rFonts w:ascii="Arial" w:hAnsi="Arial" w:cs="Arial"/>
          <w:sz w:val="24"/>
          <w:szCs w:val="24"/>
        </w:rPr>
        <w:t xml:space="preserve">The international financial management is the toll stand at any business success. The </w:t>
      </w:r>
      <w:r w:rsidR="008E041F">
        <w:rPr>
          <w:rFonts w:ascii="Arial" w:hAnsi="Arial" w:cs="Arial"/>
          <w:sz w:val="24"/>
          <w:szCs w:val="24"/>
        </w:rPr>
        <w:t>theory</w:t>
      </w:r>
      <w:r>
        <w:rPr>
          <w:rFonts w:ascii="Arial" w:hAnsi="Arial" w:cs="Arial"/>
          <w:sz w:val="24"/>
          <w:szCs w:val="24"/>
        </w:rPr>
        <w:t xml:space="preserve"> of </w:t>
      </w:r>
      <w:r w:rsidR="008E041F">
        <w:rPr>
          <w:rFonts w:ascii="Arial" w:hAnsi="Arial" w:cs="Arial"/>
          <w:sz w:val="24"/>
          <w:szCs w:val="24"/>
        </w:rPr>
        <w:t>In</w:t>
      </w:r>
      <w:r>
        <w:rPr>
          <w:rFonts w:ascii="Arial" w:hAnsi="Arial" w:cs="Arial"/>
          <w:sz w:val="24"/>
          <w:szCs w:val="24"/>
        </w:rPr>
        <w:t xml:space="preserve">ternational Finance </w:t>
      </w:r>
      <w:r w:rsidR="008E041F">
        <w:rPr>
          <w:rFonts w:ascii="Arial" w:hAnsi="Arial" w:cs="Arial"/>
          <w:sz w:val="24"/>
          <w:szCs w:val="24"/>
        </w:rPr>
        <w:t>provides</w:t>
      </w:r>
      <w:r>
        <w:rPr>
          <w:rFonts w:ascii="Arial" w:hAnsi="Arial" w:cs="Arial"/>
          <w:sz w:val="24"/>
          <w:szCs w:val="24"/>
        </w:rPr>
        <w:t xml:space="preserve"> a critical analysis of the international market trading and foreign exchange</w:t>
      </w:r>
      <w:r w:rsidR="008E041F">
        <w:rPr>
          <w:rFonts w:ascii="Arial" w:hAnsi="Arial" w:cs="Arial"/>
          <w:sz w:val="24"/>
          <w:szCs w:val="24"/>
        </w:rPr>
        <w:t xml:space="preserve"> as well as import and export and, selling of good and services on international markets. All business face different challenges and risks when trading in foreign country, therefore, the knowledge of international finance can avoid risks of profit loss </w:t>
      </w:r>
      <w:r w:rsidR="00567432">
        <w:rPr>
          <w:rFonts w:ascii="Arial" w:hAnsi="Arial" w:cs="Arial"/>
          <w:sz w:val="24"/>
          <w:szCs w:val="24"/>
        </w:rPr>
        <w:t xml:space="preserve">and </w:t>
      </w:r>
      <w:r w:rsidR="008E041F">
        <w:rPr>
          <w:rFonts w:ascii="Arial" w:hAnsi="Arial" w:cs="Arial"/>
          <w:sz w:val="24"/>
          <w:szCs w:val="24"/>
        </w:rPr>
        <w:t>cash flow disruption</w:t>
      </w:r>
      <w:r w:rsidR="00567432">
        <w:rPr>
          <w:rFonts w:ascii="Arial" w:hAnsi="Arial" w:cs="Arial"/>
          <w:sz w:val="24"/>
          <w:szCs w:val="24"/>
        </w:rPr>
        <w:t xml:space="preserve">, moreover, the finance manager can help to build up a successful business by applying the relevant theory and methods available. </w:t>
      </w:r>
      <w:r w:rsidR="00EC2187">
        <w:rPr>
          <w:rFonts w:ascii="Arial" w:hAnsi="Arial" w:cs="Arial"/>
          <w:sz w:val="24"/>
          <w:szCs w:val="24"/>
        </w:rPr>
        <w:t xml:space="preserve">The market trading is a fearless environment where the foreign exchange is the key to the profit. </w:t>
      </w:r>
      <w:r w:rsidR="009D174D">
        <w:rPr>
          <w:rFonts w:ascii="Arial" w:hAnsi="Arial" w:cs="Arial"/>
          <w:sz w:val="24"/>
          <w:szCs w:val="24"/>
        </w:rPr>
        <w:t>Depending on the market form and efficiency, the financial manager has to secure the profitability of a business and its market position. The higher the profit the higher the demand for its product and service and more chances for investment and growth</w:t>
      </w:r>
      <w:r w:rsidR="00493218">
        <w:rPr>
          <w:rFonts w:ascii="Arial" w:hAnsi="Arial" w:cs="Arial"/>
          <w:sz w:val="24"/>
          <w:szCs w:val="24"/>
        </w:rPr>
        <w:t xml:space="preserve"> resulting into </w:t>
      </w:r>
      <w:proofErr w:type="spellStart"/>
      <w:proofErr w:type="gramStart"/>
      <w:r w:rsidR="00493218">
        <w:rPr>
          <w:rFonts w:ascii="Arial" w:hAnsi="Arial" w:cs="Arial"/>
          <w:sz w:val="24"/>
          <w:szCs w:val="24"/>
        </w:rPr>
        <w:t>a</w:t>
      </w:r>
      <w:proofErr w:type="spellEnd"/>
      <w:proofErr w:type="gramEnd"/>
      <w:r w:rsidR="00493218">
        <w:rPr>
          <w:rFonts w:ascii="Arial" w:hAnsi="Arial" w:cs="Arial"/>
          <w:sz w:val="24"/>
          <w:szCs w:val="24"/>
        </w:rPr>
        <w:t xml:space="preserve"> excellent application of the International financ</w:t>
      </w:r>
      <w:r w:rsidR="00575176">
        <w:rPr>
          <w:rFonts w:ascii="Arial" w:hAnsi="Arial" w:cs="Arial"/>
          <w:sz w:val="24"/>
          <w:szCs w:val="24"/>
        </w:rPr>
        <w:t>e.</w:t>
      </w:r>
    </w:p>
    <w:p w14:paraId="17BFE60E" w14:textId="75CFADEF" w:rsidR="00574E58" w:rsidRDefault="00574E58" w:rsidP="00F02439">
      <w:pPr>
        <w:rPr>
          <w:rFonts w:ascii="Arial" w:hAnsi="Arial" w:cs="Arial"/>
          <w:sz w:val="24"/>
          <w:szCs w:val="24"/>
        </w:rPr>
      </w:pPr>
    </w:p>
    <w:p w14:paraId="3AD23B7E" w14:textId="745138CC" w:rsidR="00163AD9" w:rsidRDefault="00163AD9" w:rsidP="00F02439">
      <w:pPr>
        <w:rPr>
          <w:rFonts w:ascii="Arial" w:hAnsi="Arial" w:cs="Arial"/>
          <w:sz w:val="24"/>
          <w:szCs w:val="24"/>
        </w:rPr>
      </w:pPr>
    </w:p>
    <w:p w14:paraId="6AFCF267" w14:textId="04EC42D9" w:rsidR="00575176" w:rsidRDefault="00575176" w:rsidP="00F02439">
      <w:pPr>
        <w:rPr>
          <w:rFonts w:ascii="Arial" w:hAnsi="Arial" w:cs="Arial"/>
          <w:sz w:val="24"/>
          <w:szCs w:val="24"/>
        </w:rPr>
      </w:pPr>
    </w:p>
    <w:p w14:paraId="76CD21D2" w14:textId="36976ED3" w:rsidR="00575176" w:rsidRDefault="00575176" w:rsidP="00F02439">
      <w:pPr>
        <w:rPr>
          <w:rFonts w:ascii="Arial" w:hAnsi="Arial" w:cs="Arial"/>
          <w:sz w:val="24"/>
          <w:szCs w:val="24"/>
        </w:rPr>
      </w:pPr>
    </w:p>
    <w:p w14:paraId="6A83601A" w14:textId="4D0AC246" w:rsidR="00575176" w:rsidRDefault="00575176" w:rsidP="00F02439">
      <w:pPr>
        <w:rPr>
          <w:rFonts w:ascii="Arial" w:hAnsi="Arial" w:cs="Arial"/>
          <w:sz w:val="24"/>
          <w:szCs w:val="24"/>
        </w:rPr>
      </w:pPr>
    </w:p>
    <w:p w14:paraId="30CBE8CC" w14:textId="19AEAD22" w:rsidR="00575176" w:rsidRDefault="00575176" w:rsidP="00F02439">
      <w:pPr>
        <w:rPr>
          <w:rFonts w:ascii="Arial" w:hAnsi="Arial" w:cs="Arial"/>
          <w:sz w:val="24"/>
          <w:szCs w:val="24"/>
        </w:rPr>
      </w:pPr>
    </w:p>
    <w:p w14:paraId="5D34AEB7" w14:textId="491F999E" w:rsidR="00575176" w:rsidRDefault="00575176" w:rsidP="00F02439">
      <w:pPr>
        <w:rPr>
          <w:rFonts w:ascii="Arial" w:hAnsi="Arial" w:cs="Arial"/>
          <w:sz w:val="24"/>
          <w:szCs w:val="24"/>
        </w:rPr>
      </w:pPr>
    </w:p>
    <w:p w14:paraId="5C5514E5" w14:textId="470F6E81" w:rsidR="00575176" w:rsidRDefault="00575176" w:rsidP="00F02439">
      <w:pPr>
        <w:rPr>
          <w:rFonts w:ascii="Arial" w:hAnsi="Arial" w:cs="Arial"/>
          <w:sz w:val="24"/>
          <w:szCs w:val="24"/>
        </w:rPr>
      </w:pPr>
    </w:p>
    <w:p w14:paraId="360F387C" w14:textId="00F6BCED" w:rsidR="00575176" w:rsidRDefault="00575176" w:rsidP="00F02439">
      <w:pPr>
        <w:rPr>
          <w:rFonts w:ascii="Arial" w:hAnsi="Arial" w:cs="Arial"/>
          <w:sz w:val="24"/>
          <w:szCs w:val="24"/>
        </w:rPr>
      </w:pPr>
    </w:p>
    <w:p w14:paraId="14BA7557" w14:textId="503448A6" w:rsidR="00575176" w:rsidRDefault="00575176" w:rsidP="00F02439">
      <w:pPr>
        <w:rPr>
          <w:rFonts w:ascii="Arial" w:hAnsi="Arial" w:cs="Arial"/>
          <w:sz w:val="24"/>
          <w:szCs w:val="24"/>
        </w:rPr>
      </w:pPr>
    </w:p>
    <w:p w14:paraId="00D3D692" w14:textId="59DB5B21" w:rsidR="00575176" w:rsidRDefault="00575176" w:rsidP="00F02439">
      <w:pPr>
        <w:rPr>
          <w:rFonts w:ascii="Arial" w:hAnsi="Arial" w:cs="Arial"/>
          <w:sz w:val="24"/>
          <w:szCs w:val="24"/>
        </w:rPr>
      </w:pPr>
    </w:p>
    <w:p w14:paraId="4F43F4C1" w14:textId="7D116767" w:rsidR="00575176" w:rsidRDefault="00575176" w:rsidP="00F02439">
      <w:pPr>
        <w:rPr>
          <w:rFonts w:ascii="Arial" w:hAnsi="Arial" w:cs="Arial"/>
          <w:sz w:val="24"/>
          <w:szCs w:val="24"/>
        </w:rPr>
      </w:pPr>
    </w:p>
    <w:p w14:paraId="1FB8CBB6" w14:textId="0F6BD12C" w:rsidR="00575176" w:rsidRDefault="00575176" w:rsidP="00F02439">
      <w:pPr>
        <w:rPr>
          <w:rFonts w:ascii="Arial" w:hAnsi="Arial" w:cs="Arial"/>
          <w:sz w:val="24"/>
          <w:szCs w:val="24"/>
        </w:rPr>
      </w:pPr>
    </w:p>
    <w:p w14:paraId="36444679" w14:textId="7450605A" w:rsidR="00575176" w:rsidRDefault="00575176" w:rsidP="00F02439">
      <w:pPr>
        <w:rPr>
          <w:rFonts w:ascii="Arial" w:hAnsi="Arial" w:cs="Arial"/>
          <w:sz w:val="24"/>
          <w:szCs w:val="24"/>
        </w:rPr>
      </w:pPr>
    </w:p>
    <w:p w14:paraId="4A8D5913" w14:textId="2B9F1BD3" w:rsidR="00575176" w:rsidRDefault="00575176" w:rsidP="00F02439">
      <w:pPr>
        <w:rPr>
          <w:rFonts w:ascii="Arial" w:hAnsi="Arial" w:cs="Arial"/>
          <w:sz w:val="24"/>
          <w:szCs w:val="24"/>
        </w:rPr>
      </w:pPr>
    </w:p>
    <w:p w14:paraId="11FB330A" w14:textId="6CE1C1C0" w:rsidR="00575176" w:rsidRDefault="00575176" w:rsidP="00F02439">
      <w:pPr>
        <w:rPr>
          <w:rFonts w:ascii="Arial" w:hAnsi="Arial" w:cs="Arial"/>
          <w:sz w:val="24"/>
          <w:szCs w:val="24"/>
        </w:rPr>
      </w:pPr>
    </w:p>
    <w:p w14:paraId="2BD2C8A7" w14:textId="506889B5" w:rsidR="00575176" w:rsidRDefault="00575176" w:rsidP="00F02439">
      <w:pPr>
        <w:rPr>
          <w:rFonts w:ascii="Arial" w:hAnsi="Arial" w:cs="Arial"/>
          <w:sz w:val="24"/>
          <w:szCs w:val="24"/>
        </w:rPr>
      </w:pPr>
    </w:p>
    <w:p w14:paraId="5577B2D4" w14:textId="6C145331" w:rsidR="00575176" w:rsidRDefault="00575176" w:rsidP="00F02439">
      <w:pPr>
        <w:rPr>
          <w:rFonts w:ascii="Arial" w:hAnsi="Arial" w:cs="Arial"/>
          <w:sz w:val="24"/>
          <w:szCs w:val="24"/>
        </w:rPr>
      </w:pPr>
    </w:p>
    <w:p w14:paraId="084CD0D8" w14:textId="77777777" w:rsidR="00575176" w:rsidRDefault="00575176" w:rsidP="00F02439">
      <w:pPr>
        <w:rPr>
          <w:rFonts w:ascii="Arial" w:hAnsi="Arial" w:cs="Arial"/>
          <w:sz w:val="24"/>
          <w:szCs w:val="24"/>
        </w:rPr>
      </w:pPr>
    </w:p>
    <w:p w14:paraId="789E4CD6" w14:textId="05F4998E" w:rsidR="00575176" w:rsidRDefault="00575176" w:rsidP="009B0655">
      <w:pPr>
        <w:pStyle w:val="Heading1"/>
      </w:pPr>
      <w:bookmarkStart w:id="7" w:name="_Toc110608287"/>
      <w:r>
        <w:lastRenderedPageBreak/>
        <w:t>References</w:t>
      </w:r>
      <w:bookmarkEnd w:id="7"/>
    </w:p>
    <w:p w14:paraId="360101B5" w14:textId="1EEF0057" w:rsidR="00575176" w:rsidRDefault="00575176" w:rsidP="00575176">
      <w:pPr>
        <w:pStyle w:val="Bibliography"/>
        <w:ind w:left="720" w:hanging="720"/>
        <w:rPr>
          <w:noProof/>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Alpha Spread. (2022). </w:t>
      </w:r>
      <w:r>
        <w:rPr>
          <w:i/>
          <w:iCs/>
          <w:noProof/>
        </w:rPr>
        <w:t>Instrict value</w:t>
      </w:r>
      <w:r>
        <w:rPr>
          <w:noProof/>
        </w:rPr>
        <w:t>. Retrieved from Alpha Sprea: https://www.alphaspread.com/security/otc/nsrgf/summary</w:t>
      </w:r>
    </w:p>
    <w:p w14:paraId="5FAB3D91" w14:textId="77777777" w:rsidR="00575176" w:rsidRDefault="00575176" w:rsidP="00575176">
      <w:pPr>
        <w:pStyle w:val="Bibliography"/>
        <w:ind w:left="720" w:hanging="720"/>
        <w:rPr>
          <w:noProof/>
        </w:rPr>
      </w:pPr>
      <w:r>
        <w:rPr>
          <w:noProof/>
        </w:rPr>
        <w:t xml:space="preserve">Arnold, G. (2013). </w:t>
      </w:r>
      <w:r>
        <w:rPr>
          <w:i/>
          <w:iCs/>
          <w:noProof/>
        </w:rPr>
        <w:t>Essentials of corporate financial management.</w:t>
      </w:r>
      <w:r>
        <w:rPr>
          <w:noProof/>
        </w:rPr>
        <w:t xml:space="preserve"> Harlow, England : Pearson.</w:t>
      </w:r>
    </w:p>
    <w:p w14:paraId="4765C216" w14:textId="77777777" w:rsidR="00575176" w:rsidRDefault="00575176" w:rsidP="00575176">
      <w:pPr>
        <w:pStyle w:val="Bibliography"/>
        <w:ind w:left="720" w:hanging="720"/>
        <w:rPr>
          <w:noProof/>
        </w:rPr>
      </w:pPr>
      <w:r>
        <w:rPr>
          <w:noProof/>
        </w:rPr>
        <w:t xml:space="preserve">Bekaert, G. J. (2013). </w:t>
      </w:r>
      <w:r>
        <w:rPr>
          <w:i/>
          <w:iCs/>
          <w:noProof/>
        </w:rPr>
        <w:t>International financial management.</w:t>
      </w:r>
      <w:r>
        <w:rPr>
          <w:noProof/>
        </w:rPr>
        <w:t xml:space="preserve"> Harlow : $b Pearson, $c 2013.: Harlow : $b Pearson, $c 2013.</w:t>
      </w:r>
    </w:p>
    <w:p w14:paraId="25D39ABD" w14:textId="77777777" w:rsidR="00575176" w:rsidRDefault="00575176" w:rsidP="00575176">
      <w:pPr>
        <w:pStyle w:val="Bibliography"/>
        <w:ind w:left="720" w:hanging="720"/>
        <w:rPr>
          <w:noProof/>
        </w:rPr>
      </w:pPr>
      <w:r>
        <w:rPr>
          <w:noProof/>
        </w:rPr>
        <w:t xml:space="preserve">Belger, T. (2019, August 13). </w:t>
      </w:r>
      <w:r>
        <w:rPr>
          <w:i/>
          <w:iCs/>
          <w:noProof/>
        </w:rPr>
        <w:t>Nestle warns Brexit means 'major challenges' for Britain's food and drink industry</w:t>
      </w:r>
      <w:r>
        <w:rPr>
          <w:noProof/>
        </w:rPr>
        <w:t>. Retrieved from Yahoo Finance: https://uk.finance.yahoo.com/news/nestle-warns-brexit-means-major-challenges-for-britains-food-and-drink-industry-230100800.html</w:t>
      </w:r>
    </w:p>
    <w:p w14:paraId="64342B8C" w14:textId="77777777" w:rsidR="00575176" w:rsidRDefault="00575176" w:rsidP="00575176">
      <w:pPr>
        <w:pStyle w:val="Bibliography"/>
        <w:ind w:left="720" w:hanging="720"/>
        <w:rPr>
          <w:noProof/>
        </w:rPr>
      </w:pPr>
      <w:r>
        <w:rPr>
          <w:noProof/>
        </w:rPr>
        <w:t xml:space="preserve">Dividend Stock. (2022). </w:t>
      </w:r>
      <w:r>
        <w:rPr>
          <w:i/>
          <w:iCs/>
          <w:noProof/>
        </w:rPr>
        <w:t>Nestle Dividend</w:t>
      </w:r>
      <w:r>
        <w:rPr>
          <w:noProof/>
        </w:rPr>
        <w:t>. Retrieved from Dividend Stock, Global Dividend Growth: https://dividendstocks.cash/dividend-profile/Nestl%C3%A9-Dividend</w:t>
      </w:r>
    </w:p>
    <w:p w14:paraId="407774F9" w14:textId="77777777" w:rsidR="00575176" w:rsidRDefault="00575176" w:rsidP="00575176">
      <w:pPr>
        <w:pStyle w:val="Bibliography"/>
        <w:ind w:left="720" w:hanging="720"/>
        <w:rPr>
          <w:noProof/>
        </w:rPr>
      </w:pPr>
      <w:r>
        <w:rPr>
          <w:noProof/>
        </w:rPr>
        <w:t xml:space="preserve">GlobalData. (2022). </w:t>
      </w:r>
      <w:r>
        <w:rPr>
          <w:i/>
          <w:iCs/>
          <w:noProof/>
        </w:rPr>
        <w:t>Nestle SA – Risk Profile</w:t>
      </w:r>
      <w:r>
        <w:rPr>
          <w:noProof/>
        </w:rPr>
        <w:t>. Retrieved from GlobalData: https://www.globaldata.com/data-insights/consumer-food/nestle-sa-risk-profile/</w:t>
      </w:r>
    </w:p>
    <w:p w14:paraId="41CF4980" w14:textId="77777777" w:rsidR="00575176" w:rsidRDefault="00575176" w:rsidP="00575176">
      <w:pPr>
        <w:pStyle w:val="Bibliography"/>
        <w:ind w:left="720" w:hanging="720"/>
        <w:rPr>
          <w:noProof/>
        </w:rPr>
      </w:pPr>
      <w:r>
        <w:rPr>
          <w:noProof/>
        </w:rPr>
        <w:t xml:space="preserve">Hacer Tanrikulu, D. N. (2020). Corporate political activity of the baby food industry: the example of Nestlé in the United States of America. </w:t>
      </w:r>
      <w:r>
        <w:rPr>
          <w:i/>
          <w:iCs/>
          <w:noProof/>
        </w:rPr>
        <w:t>International Breastfeeding Journal</w:t>
      </w:r>
      <w:r>
        <w:rPr>
          <w:noProof/>
        </w:rPr>
        <w:t>, 15-22.</w:t>
      </w:r>
    </w:p>
    <w:p w14:paraId="4843938F" w14:textId="77777777" w:rsidR="00575176" w:rsidRDefault="00575176" w:rsidP="00575176">
      <w:pPr>
        <w:pStyle w:val="Bibliography"/>
        <w:ind w:left="720" w:hanging="720"/>
        <w:rPr>
          <w:noProof/>
        </w:rPr>
      </w:pPr>
      <w:r>
        <w:rPr>
          <w:noProof/>
        </w:rPr>
        <w:t xml:space="preserve">Hamdi, F. (2015, June 11). </w:t>
      </w:r>
      <w:r>
        <w:rPr>
          <w:i/>
          <w:iCs/>
          <w:noProof/>
        </w:rPr>
        <w:t>The Impact of Globalization in the Developing Countries</w:t>
      </w:r>
      <w:r>
        <w:rPr>
          <w:noProof/>
        </w:rPr>
        <w:t>. Retrieved from LinkdeIn: The Impact of Globalization in the Developing Countries</w:t>
      </w:r>
    </w:p>
    <w:p w14:paraId="6380A98B" w14:textId="77777777" w:rsidR="00575176" w:rsidRDefault="00575176" w:rsidP="00575176">
      <w:pPr>
        <w:pStyle w:val="Bibliography"/>
        <w:ind w:left="720" w:hanging="720"/>
        <w:rPr>
          <w:noProof/>
        </w:rPr>
      </w:pPr>
      <w:r>
        <w:rPr>
          <w:noProof/>
        </w:rPr>
        <w:t xml:space="preserve">Karwal, A. (2021, July 6). </w:t>
      </w:r>
      <w:r>
        <w:rPr>
          <w:i/>
          <w:iCs/>
          <w:noProof/>
        </w:rPr>
        <w:t>Unilever, Nestle cut hedges before emerging market FX rebound</w:t>
      </w:r>
      <w:r>
        <w:rPr>
          <w:noProof/>
        </w:rPr>
        <w:t>. Retrieved from EuroFinance: https://www.eurofinance.com/news/consumer-goods-giants-bet-on-em-recovery-with-fx-hedge-reduction/</w:t>
      </w:r>
    </w:p>
    <w:p w14:paraId="59F5161B" w14:textId="77777777" w:rsidR="00575176" w:rsidRDefault="00575176" w:rsidP="00575176">
      <w:pPr>
        <w:pStyle w:val="Bibliography"/>
        <w:ind w:left="720" w:hanging="720"/>
        <w:rPr>
          <w:noProof/>
        </w:rPr>
      </w:pPr>
      <w:r>
        <w:rPr>
          <w:noProof/>
        </w:rPr>
        <w:t xml:space="preserve">Madura, J. (2021). </w:t>
      </w:r>
      <w:r>
        <w:rPr>
          <w:i/>
          <w:iCs/>
          <w:noProof/>
        </w:rPr>
        <w:t>International financial management.</w:t>
      </w:r>
      <w:r>
        <w:rPr>
          <w:noProof/>
        </w:rPr>
        <w:t xml:space="preserve"> Australia: Australia : Cengage, [2021] ©2021.</w:t>
      </w:r>
    </w:p>
    <w:p w14:paraId="2A5DF721" w14:textId="77777777" w:rsidR="00575176" w:rsidRDefault="00575176" w:rsidP="00575176">
      <w:pPr>
        <w:pStyle w:val="Bibliography"/>
        <w:ind w:left="720" w:hanging="720"/>
        <w:rPr>
          <w:noProof/>
        </w:rPr>
      </w:pPr>
      <w:r>
        <w:rPr>
          <w:noProof/>
        </w:rPr>
        <w:t xml:space="preserve">Nestle. (2021). </w:t>
      </w:r>
      <w:r>
        <w:rPr>
          <w:i/>
          <w:iCs/>
          <w:noProof/>
        </w:rPr>
        <w:t>Anual Report.</w:t>
      </w:r>
      <w:r>
        <w:rPr>
          <w:noProof/>
        </w:rPr>
        <w:t xml:space="preserve"> Vevey: Nestle.</w:t>
      </w:r>
    </w:p>
    <w:p w14:paraId="71DE8759" w14:textId="77777777" w:rsidR="00575176" w:rsidRDefault="00575176" w:rsidP="00575176">
      <w:pPr>
        <w:pStyle w:val="Bibliography"/>
        <w:ind w:left="720" w:hanging="720"/>
        <w:rPr>
          <w:noProof/>
        </w:rPr>
      </w:pPr>
      <w:r>
        <w:rPr>
          <w:noProof/>
        </w:rPr>
        <w:t xml:space="preserve">Nestle. (2021, July 29). </w:t>
      </w:r>
      <w:r>
        <w:rPr>
          <w:i/>
          <w:iCs/>
          <w:noProof/>
        </w:rPr>
        <w:t>Nestlé reports half-year results for 2021, raises full-year organic sales growth guidance</w:t>
      </w:r>
      <w:r>
        <w:rPr>
          <w:noProof/>
        </w:rPr>
        <w:t>. Retrieved from Nestle press release: https://www.nestle.com/media/pressreleases/allpressreleases/half-year-results-2021</w:t>
      </w:r>
    </w:p>
    <w:p w14:paraId="00FB63C9" w14:textId="77777777" w:rsidR="00575176" w:rsidRDefault="00575176" w:rsidP="00575176">
      <w:pPr>
        <w:pStyle w:val="Bibliography"/>
        <w:ind w:left="720" w:hanging="720"/>
        <w:rPr>
          <w:noProof/>
        </w:rPr>
      </w:pPr>
      <w:r>
        <w:rPr>
          <w:noProof/>
        </w:rPr>
        <w:t xml:space="preserve">Nestle. (2022, February 17). </w:t>
      </w:r>
      <w:r>
        <w:rPr>
          <w:i/>
          <w:iCs/>
          <w:noProof/>
        </w:rPr>
        <w:t>Nestle report full year 2021</w:t>
      </w:r>
      <w:r>
        <w:rPr>
          <w:noProof/>
        </w:rPr>
        <w:t>. Retrieved from Press release: https://www.nestle.com/media/pressreleases/allpressreleases/full-year-results-2021</w:t>
      </w:r>
    </w:p>
    <w:p w14:paraId="472FD2A3" w14:textId="77777777" w:rsidR="00575176" w:rsidRDefault="00575176" w:rsidP="00575176">
      <w:pPr>
        <w:pStyle w:val="Bibliography"/>
        <w:ind w:left="720" w:hanging="720"/>
        <w:rPr>
          <w:noProof/>
        </w:rPr>
      </w:pPr>
      <w:r>
        <w:rPr>
          <w:noProof/>
        </w:rPr>
        <w:t xml:space="preserve">Nestle. (2022, April 21). </w:t>
      </w:r>
      <w:r>
        <w:rPr>
          <w:i/>
          <w:iCs/>
          <w:noProof/>
        </w:rPr>
        <w:t>Nestlé reports three-month sales for 2022</w:t>
      </w:r>
      <w:r>
        <w:rPr>
          <w:noProof/>
        </w:rPr>
        <w:t>. Retrieved from Nestle Press release: https://www.nestle.com/sites/default/files/2022-04/three-month-sales-2022-press-release-en.pdf</w:t>
      </w:r>
    </w:p>
    <w:p w14:paraId="10B08F09" w14:textId="77777777" w:rsidR="00575176" w:rsidRDefault="00575176" w:rsidP="00575176">
      <w:pPr>
        <w:pStyle w:val="Bibliography"/>
        <w:ind w:left="720" w:hanging="720"/>
        <w:rPr>
          <w:noProof/>
        </w:rPr>
      </w:pPr>
      <w:r>
        <w:rPr>
          <w:noProof/>
        </w:rPr>
        <w:t xml:space="preserve">Nestle report 2022. (2022, April 21). </w:t>
      </w:r>
      <w:r>
        <w:rPr>
          <w:i/>
          <w:iCs/>
          <w:noProof/>
        </w:rPr>
        <w:t>Nestlé reports three-month sales for 2022</w:t>
      </w:r>
      <w:r>
        <w:rPr>
          <w:noProof/>
        </w:rPr>
        <w:t>. Retrieved from Nestle Good food, Good life: https://www.nestle.com/media/pressreleases/allpressreleases/three-month-sales-2022</w:t>
      </w:r>
    </w:p>
    <w:p w14:paraId="606C06B6" w14:textId="77777777" w:rsidR="00575176" w:rsidRDefault="00575176" w:rsidP="00575176">
      <w:pPr>
        <w:pStyle w:val="Bibliography"/>
        <w:ind w:left="720" w:hanging="720"/>
        <w:rPr>
          <w:noProof/>
        </w:rPr>
      </w:pPr>
      <w:r>
        <w:rPr>
          <w:noProof/>
        </w:rPr>
        <w:t xml:space="preserve">Ridder, M. (2022, MArch 24). </w:t>
      </w:r>
      <w:r>
        <w:rPr>
          <w:i/>
          <w:iCs/>
          <w:noProof/>
        </w:rPr>
        <w:t>Leading beverage companies worldwide in 2020, based on sales</w:t>
      </w:r>
      <w:r>
        <w:rPr>
          <w:noProof/>
        </w:rPr>
        <w:t>. Retrieved from Statista: https://www.statista.com/statistics/307963/leading-beverage-companies-worldwide-based-on-net-sales/</w:t>
      </w:r>
    </w:p>
    <w:p w14:paraId="2B4A6808" w14:textId="77777777" w:rsidR="00575176" w:rsidRDefault="00575176" w:rsidP="00575176">
      <w:pPr>
        <w:pStyle w:val="Bibliography"/>
        <w:ind w:left="720" w:hanging="720"/>
        <w:rPr>
          <w:noProof/>
        </w:rPr>
      </w:pPr>
      <w:r>
        <w:rPr>
          <w:noProof/>
        </w:rPr>
        <w:lastRenderedPageBreak/>
        <w:t xml:space="preserve">Statista Research Department. (2022, june 2). </w:t>
      </w:r>
      <w:r>
        <w:rPr>
          <w:i/>
          <w:iCs/>
          <w:noProof/>
        </w:rPr>
        <w:t>Nestlé - statistics &amp; facts</w:t>
      </w:r>
      <w:r>
        <w:rPr>
          <w:noProof/>
        </w:rPr>
        <w:t>. Retrieved from Statista: https://www.statista.com/topics/1439/nestle/#topicHeader__wrapper</w:t>
      </w:r>
    </w:p>
    <w:p w14:paraId="6085D4AB" w14:textId="77777777" w:rsidR="00575176" w:rsidRDefault="00575176" w:rsidP="00575176">
      <w:pPr>
        <w:pStyle w:val="Bibliography"/>
        <w:ind w:left="720" w:hanging="720"/>
        <w:rPr>
          <w:noProof/>
        </w:rPr>
      </w:pPr>
      <w:r>
        <w:rPr>
          <w:noProof/>
        </w:rPr>
        <w:t xml:space="preserve">Stock Analysis. (2022, August 3). </w:t>
      </w:r>
      <w:r>
        <w:rPr>
          <w:i/>
          <w:iCs/>
          <w:noProof/>
        </w:rPr>
        <w:t>Nestle SA (NSRGY)</w:t>
      </w:r>
      <w:r>
        <w:rPr>
          <w:noProof/>
        </w:rPr>
        <w:t>. Retrieved from Stock Analysis: https://stockanalysis.com/stocks/nsrgy/dividend/</w:t>
      </w:r>
    </w:p>
    <w:p w14:paraId="093C9531" w14:textId="77777777" w:rsidR="00575176" w:rsidRDefault="00575176" w:rsidP="00575176">
      <w:pPr>
        <w:pStyle w:val="Bibliography"/>
        <w:ind w:left="720" w:hanging="720"/>
        <w:rPr>
          <w:noProof/>
        </w:rPr>
      </w:pPr>
      <w:r>
        <w:rPr>
          <w:noProof/>
        </w:rPr>
        <w:t xml:space="preserve">Wunsch, N.-G. (2022, March 17). </w:t>
      </w:r>
      <w:r>
        <w:rPr>
          <w:i/>
          <w:iCs/>
          <w:noProof/>
        </w:rPr>
        <w:t>Nestlé's leading markets worldwide 2021, based on sales</w:t>
      </w:r>
      <w:r>
        <w:rPr>
          <w:noProof/>
        </w:rPr>
        <w:t>. Retrieved from Statista: https://www.statista.com/statistics/413407/nestle-s-leading-markets-worldwide-based-on-sales/</w:t>
      </w:r>
    </w:p>
    <w:p w14:paraId="74342FF2" w14:textId="77777777" w:rsidR="00575176" w:rsidRDefault="00575176" w:rsidP="00575176">
      <w:pPr>
        <w:pStyle w:val="Bibliography"/>
        <w:ind w:left="720" w:hanging="720"/>
        <w:rPr>
          <w:noProof/>
        </w:rPr>
      </w:pPr>
      <w:r>
        <w:rPr>
          <w:noProof/>
        </w:rPr>
        <w:t xml:space="preserve">Wunsch, N.-G. (2022, March 16). </w:t>
      </w:r>
      <w:r>
        <w:rPr>
          <w:i/>
          <w:iCs/>
          <w:noProof/>
        </w:rPr>
        <w:t>Statista</w:t>
      </w:r>
      <w:r>
        <w:rPr>
          <w:noProof/>
        </w:rPr>
        <w:t>. Retrieved from EBIT of the Nestlé Group worldwide 2008-2021: https://www.statista.com/statistics/268888/ebit-of-the-nestle-group-worldwide/#:~:text=In%202021%2C%20the%20trading%20operating%20profit%20%28EBIT%29%20of,worldwide%20from%202008%20to%202021%20%28in%20million%20CHF%29</w:t>
      </w:r>
    </w:p>
    <w:p w14:paraId="13B3A113" w14:textId="11204B22" w:rsidR="00575176" w:rsidRDefault="00575176" w:rsidP="00575176">
      <w:pPr>
        <w:rPr>
          <w:rFonts w:ascii="Arial" w:hAnsi="Arial" w:cs="Arial"/>
          <w:sz w:val="24"/>
          <w:szCs w:val="24"/>
        </w:rPr>
      </w:pPr>
      <w:r>
        <w:rPr>
          <w:rFonts w:ascii="Arial" w:hAnsi="Arial" w:cs="Arial"/>
          <w:sz w:val="24"/>
          <w:szCs w:val="24"/>
        </w:rPr>
        <w:fldChar w:fldCharType="end"/>
      </w:r>
    </w:p>
    <w:p w14:paraId="11810074" w14:textId="77777777" w:rsidR="003B2540" w:rsidRDefault="003B2540" w:rsidP="00F02439">
      <w:pPr>
        <w:rPr>
          <w:rFonts w:ascii="Arial" w:hAnsi="Arial" w:cs="Arial"/>
          <w:sz w:val="24"/>
          <w:szCs w:val="24"/>
        </w:rPr>
      </w:pPr>
    </w:p>
    <w:p w14:paraId="0E0AFAC5" w14:textId="77777777" w:rsidR="000B1927" w:rsidRDefault="000B1927" w:rsidP="00F02439">
      <w:pPr>
        <w:rPr>
          <w:rFonts w:ascii="Arial" w:hAnsi="Arial" w:cs="Arial"/>
          <w:sz w:val="24"/>
          <w:szCs w:val="24"/>
        </w:rPr>
      </w:pPr>
    </w:p>
    <w:p w14:paraId="342D6438" w14:textId="77777777" w:rsidR="001740FC" w:rsidRDefault="001740FC" w:rsidP="00F02439">
      <w:pPr>
        <w:rPr>
          <w:rFonts w:ascii="Arial" w:hAnsi="Arial" w:cs="Arial"/>
          <w:sz w:val="24"/>
          <w:szCs w:val="24"/>
        </w:rPr>
      </w:pPr>
    </w:p>
    <w:p w14:paraId="5463E02B" w14:textId="77777777" w:rsidR="00B451B5" w:rsidRDefault="00B451B5" w:rsidP="00F02439">
      <w:pPr>
        <w:rPr>
          <w:rFonts w:ascii="Arial" w:hAnsi="Arial" w:cs="Arial"/>
          <w:sz w:val="24"/>
          <w:szCs w:val="24"/>
        </w:rPr>
      </w:pPr>
    </w:p>
    <w:p w14:paraId="430CB4AD" w14:textId="77777777" w:rsidR="002011EC" w:rsidRDefault="002011EC" w:rsidP="002662BD">
      <w:pPr>
        <w:rPr>
          <w:rFonts w:ascii="Arial" w:hAnsi="Arial" w:cs="Arial"/>
          <w:sz w:val="24"/>
          <w:szCs w:val="24"/>
        </w:rPr>
      </w:pPr>
    </w:p>
    <w:p w14:paraId="6D9EB801" w14:textId="77777777" w:rsidR="000A0C62" w:rsidRDefault="000A0C62" w:rsidP="002662BD">
      <w:pPr>
        <w:rPr>
          <w:rFonts w:ascii="Arial" w:hAnsi="Arial" w:cs="Arial"/>
          <w:sz w:val="24"/>
          <w:szCs w:val="24"/>
        </w:rPr>
      </w:pPr>
    </w:p>
    <w:p w14:paraId="426463A6" w14:textId="77777777" w:rsidR="000907D0" w:rsidRDefault="000907D0" w:rsidP="002662BD">
      <w:pPr>
        <w:rPr>
          <w:rFonts w:ascii="Arial" w:hAnsi="Arial" w:cs="Arial"/>
          <w:sz w:val="24"/>
          <w:szCs w:val="24"/>
        </w:rPr>
      </w:pPr>
    </w:p>
    <w:p w14:paraId="667A1294" w14:textId="77777777" w:rsidR="002D4B5B" w:rsidRDefault="002D4B5B" w:rsidP="002662BD">
      <w:pPr>
        <w:rPr>
          <w:rFonts w:ascii="Arial" w:hAnsi="Arial" w:cs="Arial"/>
          <w:sz w:val="24"/>
          <w:szCs w:val="24"/>
        </w:rPr>
      </w:pPr>
    </w:p>
    <w:p w14:paraId="1D93AEC6" w14:textId="77777777" w:rsidR="00CA6872" w:rsidRPr="00871436" w:rsidRDefault="00CA6872" w:rsidP="002662BD">
      <w:pPr>
        <w:rPr>
          <w:rFonts w:ascii="Arial" w:hAnsi="Arial" w:cs="Arial"/>
          <w:sz w:val="24"/>
          <w:szCs w:val="24"/>
        </w:rPr>
      </w:pPr>
    </w:p>
    <w:p w14:paraId="22A1329A" w14:textId="6E9A9E15" w:rsidR="002662BD" w:rsidRPr="007206FD" w:rsidRDefault="002662BD" w:rsidP="0009088D">
      <w:pPr>
        <w:rPr>
          <w:rFonts w:ascii="Arial" w:hAnsi="Arial" w:cs="Arial"/>
          <w:sz w:val="24"/>
          <w:szCs w:val="24"/>
        </w:rPr>
      </w:pPr>
    </w:p>
    <w:sectPr w:rsidR="002662BD" w:rsidRPr="007206FD" w:rsidSect="004723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B9"/>
    <w:rsid w:val="00002E46"/>
    <w:rsid w:val="00012BDC"/>
    <w:rsid w:val="00014C89"/>
    <w:rsid w:val="000248FA"/>
    <w:rsid w:val="0004004E"/>
    <w:rsid w:val="00051DC8"/>
    <w:rsid w:val="00062239"/>
    <w:rsid w:val="0007190E"/>
    <w:rsid w:val="000830F5"/>
    <w:rsid w:val="00083C56"/>
    <w:rsid w:val="00085593"/>
    <w:rsid w:val="000907D0"/>
    <w:rsid w:val="0009088D"/>
    <w:rsid w:val="000A0C62"/>
    <w:rsid w:val="000A2548"/>
    <w:rsid w:val="000A2898"/>
    <w:rsid w:val="000A3458"/>
    <w:rsid w:val="000B1927"/>
    <w:rsid w:val="000B30C8"/>
    <w:rsid w:val="00107859"/>
    <w:rsid w:val="00107CCA"/>
    <w:rsid w:val="001102BF"/>
    <w:rsid w:val="00120D5D"/>
    <w:rsid w:val="00125EDC"/>
    <w:rsid w:val="00130F48"/>
    <w:rsid w:val="001348A7"/>
    <w:rsid w:val="00137542"/>
    <w:rsid w:val="00153017"/>
    <w:rsid w:val="00163AD9"/>
    <w:rsid w:val="00173CC7"/>
    <w:rsid w:val="001740FC"/>
    <w:rsid w:val="001744D5"/>
    <w:rsid w:val="00181DC1"/>
    <w:rsid w:val="001B11D2"/>
    <w:rsid w:val="001D03A4"/>
    <w:rsid w:val="001E1150"/>
    <w:rsid w:val="001F41ED"/>
    <w:rsid w:val="002011EC"/>
    <w:rsid w:val="0021593B"/>
    <w:rsid w:val="00217185"/>
    <w:rsid w:val="0022606D"/>
    <w:rsid w:val="002468EF"/>
    <w:rsid w:val="002662BD"/>
    <w:rsid w:val="00273D86"/>
    <w:rsid w:val="00273FFF"/>
    <w:rsid w:val="002753EE"/>
    <w:rsid w:val="002771E7"/>
    <w:rsid w:val="00292591"/>
    <w:rsid w:val="002A71DF"/>
    <w:rsid w:val="002C071C"/>
    <w:rsid w:val="002C6ACA"/>
    <w:rsid w:val="002D4B5B"/>
    <w:rsid w:val="00307BD1"/>
    <w:rsid w:val="0031225E"/>
    <w:rsid w:val="00345A76"/>
    <w:rsid w:val="00346A92"/>
    <w:rsid w:val="0035420E"/>
    <w:rsid w:val="00387DD8"/>
    <w:rsid w:val="003A0512"/>
    <w:rsid w:val="003A6364"/>
    <w:rsid w:val="003B2540"/>
    <w:rsid w:val="003C04BD"/>
    <w:rsid w:val="003C5A66"/>
    <w:rsid w:val="003C7565"/>
    <w:rsid w:val="003D456E"/>
    <w:rsid w:val="003D48F5"/>
    <w:rsid w:val="003D5A45"/>
    <w:rsid w:val="003E6577"/>
    <w:rsid w:val="004029B8"/>
    <w:rsid w:val="00412C94"/>
    <w:rsid w:val="00417C7F"/>
    <w:rsid w:val="0043293F"/>
    <w:rsid w:val="00437F0A"/>
    <w:rsid w:val="004439C2"/>
    <w:rsid w:val="00444BE8"/>
    <w:rsid w:val="00446C32"/>
    <w:rsid w:val="0045452E"/>
    <w:rsid w:val="00461B98"/>
    <w:rsid w:val="0046672B"/>
    <w:rsid w:val="00470004"/>
    <w:rsid w:val="004723B4"/>
    <w:rsid w:val="00480B11"/>
    <w:rsid w:val="00493218"/>
    <w:rsid w:val="004A0155"/>
    <w:rsid w:val="004B2AF6"/>
    <w:rsid w:val="004C0879"/>
    <w:rsid w:val="004F3937"/>
    <w:rsid w:val="00501B58"/>
    <w:rsid w:val="005209D0"/>
    <w:rsid w:val="0054047B"/>
    <w:rsid w:val="00552842"/>
    <w:rsid w:val="00553375"/>
    <w:rsid w:val="00567432"/>
    <w:rsid w:val="00574E58"/>
    <w:rsid w:val="00575176"/>
    <w:rsid w:val="00585D16"/>
    <w:rsid w:val="0059321D"/>
    <w:rsid w:val="005A1C84"/>
    <w:rsid w:val="005D3856"/>
    <w:rsid w:val="005D7A1C"/>
    <w:rsid w:val="005E2270"/>
    <w:rsid w:val="006073D4"/>
    <w:rsid w:val="00611F4C"/>
    <w:rsid w:val="00623359"/>
    <w:rsid w:val="00627E0B"/>
    <w:rsid w:val="006322BB"/>
    <w:rsid w:val="00634295"/>
    <w:rsid w:val="00637108"/>
    <w:rsid w:val="00670825"/>
    <w:rsid w:val="00671B92"/>
    <w:rsid w:val="0068247A"/>
    <w:rsid w:val="006872E8"/>
    <w:rsid w:val="0069652B"/>
    <w:rsid w:val="006C7EE6"/>
    <w:rsid w:val="006F3D38"/>
    <w:rsid w:val="006F4DA3"/>
    <w:rsid w:val="0071406B"/>
    <w:rsid w:val="00714CA9"/>
    <w:rsid w:val="00720231"/>
    <w:rsid w:val="007206FD"/>
    <w:rsid w:val="007230B9"/>
    <w:rsid w:val="0072373F"/>
    <w:rsid w:val="007241AB"/>
    <w:rsid w:val="007B5823"/>
    <w:rsid w:val="007B6BDE"/>
    <w:rsid w:val="007D0583"/>
    <w:rsid w:val="007E0550"/>
    <w:rsid w:val="007F2EB4"/>
    <w:rsid w:val="00814952"/>
    <w:rsid w:val="00816ECB"/>
    <w:rsid w:val="008208F3"/>
    <w:rsid w:val="008272CA"/>
    <w:rsid w:val="00844907"/>
    <w:rsid w:val="00871436"/>
    <w:rsid w:val="00872F96"/>
    <w:rsid w:val="00873C20"/>
    <w:rsid w:val="008949A4"/>
    <w:rsid w:val="0089584C"/>
    <w:rsid w:val="008C11E5"/>
    <w:rsid w:val="008D48B9"/>
    <w:rsid w:val="008E041F"/>
    <w:rsid w:val="008F2678"/>
    <w:rsid w:val="008F4C0B"/>
    <w:rsid w:val="00920E4C"/>
    <w:rsid w:val="00935FF4"/>
    <w:rsid w:val="00936509"/>
    <w:rsid w:val="00937549"/>
    <w:rsid w:val="009413D1"/>
    <w:rsid w:val="00944F43"/>
    <w:rsid w:val="00957760"/>
    <w:rsid w:val="0095780A"/>
    <w:rsid w:val="009714DE"/>
    <w:rsid w:val="009861CC"/>
    <w:rsid w:val="009B0655"/>
    <w:rsid w:val="009C3816"/>
    <w:rsid w:val="009D174D"/>
    <w:rsid w:val="009D7422"/>
    <w:rsid w:val="00A10718"/>
    <w:rsid w:val="00A33FBD"/>
    <w:rsid w:val="00A667D0"/>
    <w:rsid w:val="00A6754C"/>
    <w:rsid w:val="00A73188"/>
    <w:rsid w:val="00A918EA"/>
    <w:rsid w:val="00AB3220"/>
    <w:rsid w:val="00AC3DB1"/>
    <w:rsid w:val="00AE4483"/>
    <w:rsid w:val="00AF47A3"/>
    <w:rsid w:val="00B006EA"/>
    <w:rsid w:val="00B103A9"/>
    <w:rsid w:val="00B34613"/>
    <w:rsid w:val="00B34988"/>
    <w:rsid w:val="00B43CAE"/>
    <w:rsid w:val="00B451B5"/>
    <w:rsid w:val="00B51927"/>
    <w:rsid w:val="00B55846"/>
    <w:rsid w:val="00BB0D4E"/>
    <w:rsid w:val="00BB5234"/>
    <w:rsid w:val="00BD217B"/>
    <w:rsid w:val="00BD30BA"/>
    <w:rsid w:val="00BD3738"/>
    <w:rsid w:val="00BF1B79"/>
    <w:rsid w:val="00BF3398"/>
    <w:rsid w:val="00C11C00"/>
    <w:rsid w:val="00C1794F"/>
    <w:rsid w:val="00C3506A"/>
    <w:rsid w:val="00C37B71"/>
    <w:rsid w:val="00C56FA6"/>
    <w:rsid w:val="00C67E24"/>
    <w:rsid w:val="00C75A20"/>
    <w:rsid w:val="00C830A7"/>
    <w:rsid w:val="00C97B3E"/>
    <w:rsid w:val="00CA152F"/>
    <w:rsid w:val="00CA6872"/>
    <w:rsid w:val="00CC6AD1"/>
    <w:rsid w:val="00CE3C4C"/>
    <w:rsid w:val="00CF4134"/>
    <w:rsid w:val="00CF4435"/>
    <w:rsid w:val="00D04B31"/>
    <w:rsid w:val="00D07132"/>
    <w:rsid w:val="00D215A8"/>
    <w:rsid w:val="00D31DFC"/>
    <w:rsid w:val="00D55244"/>
    <w:rsid w:val="00D74548"/>
    <w:rsid w:val="00D8592C"/>
    <w:rsid w:val="00D912AF"/>
    <w:rsid w:val="00D97E41"/>
    <w:rsid w:val="00DC2AE1"/>
    <w:rsid w:val="00DC334E"/>
    <w:rsid w:val="00DC4279"/>
    <w:rsid w:val="00DC5007"/>
    <w:rsid w:val="00E022BA"/>
    <w:rsid w:val="00E05D0D"/>
    <w:rsid w:val="00E208F9"/>
    <w:rsid w:val="00E20E32"/>
    <w:rsid w:val="00E2321B"/>
    <w:rsid w:val="00E37C40"/>
    <w:rsid w:val="00E453E8"/>
    <w:rsid w:val="00E46365"/>
    <w:rsid w:val="00E564AB"/>
    <w:rsid w:val="00E769A0"/>
    <w:rsid w:val="00EC2187"/>
    <w:rsid w:val="00ED02DE"/>
    <w:rsid w:val="00EE1163"/>
    <w:rsid w:val="00EE4D6D"/>
    <w:rsid w:val="00F007D1"/>
    <w:rsid w:val="00F00E9D"/>
    <w:rsid w:val="00F02439"/>
    <w:rsid w:val="00F03BAA"/>
    <w:rsid w:val="00F117E4"/>
    <w:rsid w:val="00F21F52"/>
    <w:rsid w:val="00F47916"/>
    <w:rsid w:val="00F52CF8"/>
    <w:rsid w:val="00F64F37"/>
    <w:rsid w:val="00F672A0"/>
    <w:rsid w:val="00F76EBA"/>
    <w:rsid w:val="00F80897"/>
    <w:rsid w:val="00F84BD1"/>
    <w:rsid w:val="00F86686"/>
    <w:rsid w:val="00FA4E8A"/>
    <w:rsid w:val="00FA66B0"/>
    <w:rsid w:val="00FB1527"/>
    <w:rsid w:val="00FB19EC"/>
    <w:rsid w:val="00FD3042"/>
    <w:rsid w:val="00FD3C4C"/>
    <w:rsid w:val="00FF0BEF"/>
    <w:rsid w:val="00FF2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C5CE8"/>
  <w15:chartTrackingRefBased/>
  <w15:docId w15:val="{F02804D0-B1C5-471B-A1E8-180A9B3F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D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D48F5"/>
    <w:rPr>
      <w:i/>
      <w:iCs/>
    </w:rPr>
  </w:style>
  <w:style w:type="character" w:styleId="Strong">
    <w:name w:val="Strong"/>
    <w:basedOn w:val="DefaultParagraphFont"/>
    <w:uiPriority w:val="22"/>
    <w:qFormat/>
    <w:rsid w:val="0089584C"/>
    <w:rPr>
      <w:b/>
      <w:bCs/>
    </w:rPr>
  </w:style>
  <w:style w:type="paragraph" w:styleId="NormalWeb">
    <w:name w:val="Normal (Web)"/>
    <w:basedOn w:val="Normal"/>
    <w:uiPriority w:val="99"/>
    <w:semiHidden/>
    <w:unhideWhenUsed/>
    <w:rsid w:val="00444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6872"/>
    <w:rPr>
      <w:color w:val="0000FF"/>
      <w:u w:val="single"/>
    </w:rPr>
  </w:style>
  <w:style w:type="character" w:customStyle="1" w:styleId="Heading1Char">
    <w:name w:val="Heading 1 Char"/>
    <w:basedOn w:val="DefaultParagraphFont"/>
    <w:link w:val="Heading1"/>
    <w:uiPriority w:val="9"/>
    <w:rsid w:val="00E05D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5D0D"/>
    <w:pPr>
      <w:outlineLvl w:val="9"/>
    </w:pPr>
    <w:rPr>
      <w:lang w:val="en-US"/>
    </w:rPr>
  </w:style>
  <w:style w:type="paragraph" w:styleId="NoSpacing">
    <w:name w:val="No Spacing"/>
    <w:link w:val="NoSpacingChar"/>
    <w:uiPriority w:val="1"/>
    <w:qFormat/>
    <w:rsid w:val="00E05D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5D0D"/>
    <w:rPr>
      <w:rFonts w:eastAsiaTheme="minorEastAsia"/>
      <w:lang w:val="en-US"/>
    </w:rPr>
  </w:style>
  <w:style w:type="paragraph" w:styleId="TOC2">
    <w:name w:val="toc 2"/>
    <w:basedOn w:val="Normal"/>
    <w:next w:val="Normal"/>
    <w:autoRedefine/>
    <w:uiPriority w:val="39"/>
    <w:unhideWhenUsed/>
    <w:rsid w:val="0057517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75176"/>
    <w:pPr>
      <w:spacing w:after="100"/>
    </w:pPr>
    <w:rPr>
      <w:rFonts w:eastAsiaTheme="minorEastAsia" w:cs="Times New Roman"/>
      <w:lang w:val="en-US"/>
    </w:rPr>
  </w:style>
  <w:style w:type="paragraph" w:styleId="TOC3">
    <w:name w:val="toc 3"/>
    <w:basedOn w:val="Normal"/>
    <w:next w:val="Normal"/>
    <w:autoRedefine/>
    <w:uiPriority w:val="39"/>
    <w:unhideWhenUsed/>
    <w:rsid w:val="00575176"/>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575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3534">
      <w:bodyDiv w:val="1"/>
      <w:marLeft w:val="0"/>
      <w:marRight w:val="0"/>
      <w:marTop w:val="0"/>
      <w:marBottom w:val="0"/>
      <w:divBdr>
        <w:top w:val="none" w:sz="0" w:space="0" w:color="auto"/>
        <w:left w:val="none" w:sz="0" w:space="0" w:color="auto"/>
        <w:bottom w:val="none" w:sz="0" w:space="0" w:color="auto"/>
        <w:right w:val="none" w:sz="0" w:space="0" w:color="auto"/>
      </w:divBdr>
    </w:div>
    <w:div w:id="82999780">
      <w:bodyDiv w:val="1"/>
      <w:marLeft w:val="0"/>
      <w:marRight w:val="0"/>
      <w:marTop w:val="0"/>
      <w:marBottom w:val="0"/>
      <w:divBdr>
        <w:top w:val="none" w:sz="0" w:space="0" w:color="auto"/>
        <w:left w:val="none" w:sz="0" w:space="0" w:color="auto"/>
        <w:bottom w:val="none" w:sz="0" w:space="0" w:color="auto"/>
        <w:right w:val="none" w:sz="0" w:space="0" w:color="auto"/>
      </w:divBdr>
    </w:div>
    <w:div w:id="193159865">
      <w:bodyDiv w:val="1"/>
      <w:marLeft w:val="0"/>
      <w:marRight w:val="0"/>
      <w:marTop w:val="0"/>
      <w:marBottom w:val="0"/>
      <w:divBdr>
        <w:top w:val="none" w:sz="0" w:space="0" w:color="auto"/>
        <w:left w:val="none" w:sz="0" w:space="0" w:color="auto"/>
        <w:bottom w:val="none" w:sz="0" w:space="0" w:color="auto"/>
        <w:right w:val="none" w:sz="0" w:space="0" w:color="auto"/>
      </w:divBdr>
    </w:div>
    <w:div w:id="212498816">
      <w:bodyDiv w:val="1"/>
      <w:marLeft w:val="0"/>
      <w:marRight w:val="0"/>
      <w:marTop w:val="0"/>
      <w:marBottom w:val="0"/>
      <w:divBdr>
        <w:top w:val="none" w:sz="0" w:space="0" w:color="auto"/>
        <w:left w:val="none" w:sz="0" w:space="0" w:color="auto"/>
        <w:bottom w:val="none" w:sz="0" w:space="0" w:color="auto"/>
        <w:right w:val="none" w:sz="0" w:space="0" w:color="auto"/>
      </w:divBdr>
    </w:div>
    <w:div w:id="275721035">
      <w:bodyDiv w:val="1"/>
      <w:marLeft w:val="0"/>
      <w:marRight w:val="0"/>
      <w:marTop w:val="0"/>
      <w:marBottom w:val="0"/>
      <w:divBdr>
        <w:top w:val="none" w:sz="0" w:space="0" w:color="auto"/>
        <w:left w:val="none" w:sz="0" w:space="0" w:color="auto"/>
        <w:bottom w:val="none" w:sz="0" w:space="0" w:color="auto"/>
        <w:right w:val="none" w:sz="0" w:space="0" w:color="auto"/>
      </w:divBdr>
    </w:div>
    <w:div w:id="300503204">
      <w:bodyDiv w:val="1"/>
      <w:marLeft w:val="0"/>
      <w:marRight w:val="0"/>
      <w:marTop w:val="0"/>
      <w:marBottom w:val="0"/>
      <w:divBdr>
        <w:top w:val="none" w:sz="0" w:space="0" w:color="auto"/>
        <w:left w:val="none" w:sz="0" w:space="0" w:color="auto"/>
        <w:bottom w:val="none" w:sz="0" w:space="0" w:color="auto"/>
        <w:right w:val="none" w:sz="0" w:space="0" w:color="auto"/>
      </w:divBdr>
    </w:div>
    <w:div w:id="316033604">
      <w:bodyDiv w:val="1"/>
      <w:marLeft w:val="0"/>
      <w:marRight w:val="0"/>
      <w:marTop w:val="0"/>
      <w:marBottom w:val="0"/>
      <w:divBdr>
        <w:top w:val="none" w:sz="0" w:space="0" w:color="auto"/>
        <w:left w:val="none" w:sz="0" w:space="0" w:color="auto"/>
        <w:bottom w:val="none" w:sz="0" w:space="0" w:color="auto"/>
        <w:right w:val="none" w:sz="0" w:space="0" w:color="auto"/>
      </w:divBdr>
    </w:div>
    <w:div w:id="319233816">
      <w:bodyDiv w:val="1"/>
      <w:marLeft w:val="0"/>
      <w:marRight w:val="0"/>
      <w:marTop w:val="0"/>
      <w:marBottom w:val="0"/>
      <w:divBdr>
        <w:top w:val="none" w:sz="0" w:space="0" w:color="auto"/>
        <w:left w:val="none" w:sz="0" w:space="0" w:color="auto"/>
        <w:bottom w:val="none" w:sz="0" w:space="0" w:color="auto"/>
        <w:right w:val="none" w:sz="0" w:space="0" w:color="auto"/>
      </w:divBdr>
    </w:div>
    <w:div w:id="524711560">
      <w:bodyDiv w:val="1"/>
      <w:marLeft w:val="0"/>
      <w:marRight w:val="0"/>
      <w:marTop w:val="0"/>
      <w:marBottom w:val="0"/>
      <w:divBdr>
        <w:top w:val="none" w:sz="0" w:space="0" w:color="auto"/>
        <w:left w:val="none" w:sz="0" w:space="0" w:color="auto"/>
        <w:bottom w:val="none" w:sz="0" w:space="0" w:color="auto"/>
        <w:right w:val="none" w:sz="0" w:space="0" w:color="auto"/>
      </w:divBdr>
    </w:div>
    <w:div w:id="533034367">
      <w:bodyDiv w:val="1"/>
      <w:marLeft w:val="0"/>
      <w:marRight w:val="0"/>
      <w:marTop w:val="0"/>
      <w:marBottom w:val="0"/>
      <w:divBdr>
        <w:top w:val="none" w:sz="0" w:space="0" w:color="auto"/>
        <w:left w:val="none" w:sz="0" w:space="0" w:color="auto"/>
        <w:bottom w:val="none" w:sz="0" w:space="0" w:color="auto"/>
        <w:right w:val="none" w:sz="0" w:space="0" w:color="auto"/>
      </w:divBdr>
    </w:div>
    <w:div w:id="592517092">
      <w:bodyDiv w:val="1"/>
      <w:marLeft w:val="0"/>
      <w:marRight w:val="0"/>
      <w:marTop w:val="0"/>
      <w:marBottom w:val="0"/>
      <w:divBdr>
        <w:top w:val="none" w:sz="0" w:space="0" w:color="auto"/>
        <w:left w:val="none" w:sz="0" w:space="0" w:color="auto"/>
        <w:bottom w:val="none" w:sz="0" w:space="0" w:color="auto"/>
        <w:right w:val="none" w:sz="0" w:space="0" w:color="auto"/>
      </w:divBdr>
    </w:div>
    <w:div w:id="593711426">
      <w:bodyDiv w:val="1"/>
      <w:marLeft w:val="0"/>
      <w:marRight w:val="0"/>
      <w:marTop w:val="0"/>
      <w:marBottom w:val="0"/>
      <w:divBdr>
        <w:top w:val="none" w:sz="0" w:space="0" w:color="auto"/>
        <w:left w:val="none" w:sz="0" w:space="0" w:color="auto"/>
        <w:bottom w:val="none" w:sz="0" w:space="0" w:color="auto"/>
        <w:right w:val="none" w:sz="0" w:space="0" w:color="auto"/>
      </w:divBdr>
    </w:div>
    <w:div w:id="612519830">
      <w:bodyDiv w:val="1"/>
      <w:marLeft w:val="0"/>
      <w:marRight w:val="0"/>
      <w:marTop w:val="0"/>
      <w:marBottom w:val="0"/>
      <w:divBdr>
        <w:top w:val="none" w:sz="0" w:space="0" w:color="auto"/>
        <w:left w:val="none" w:sz="0" w:space="0" w:color="auto"/>
        <w:bottom w:val="none" w:sz="0" w:space="0" w:color="auto"/>
        <w:right w:val="none" w:sz="0" w:space="0" w:color="auto"/>
      </w:divBdr>
    </w:div>
    <w:div w:id="670840006">
      <w:bodyDiv w:val="1"/>
      <w:marLeft w:val="0"/>
      <w:marRight w:val="0"/>
      <w:marTop w:val="0"/>
      <w:marBottom w:val="0"/>
      <w:divBdr>
        <w:top w:val="none" w:sz="0" w:space="0" w:color="auto"/>
        <w:left w:val="none" w:sz="0" w:space="0" w:color="auto"/>
        <w:bottom w:val="none" w:sz="0" w:space="0" w:color="auto"/>
        <w:right w:val="none" w:sz="0" w:space="0" w:color="auto"/>
      </w:divBdr>
    </w:div>
    <w:div w:id="706488507">
      <w:bodyDiv w:val="1"/>
      <w:marLeft w:val="0"/>
      <w:marRight w:val="0"/>
      <w:marTop w:val="0"/>
      <w:marBottom w:val="0"/>
      <w:divBdr>
        <w:top w:val="none" w:sz="0" w:space="0" w:color="auto"/>
        <w:left w:val="none" w:sz="0" w:space="0" w:color="auto"/>
        <w:bottom w:val="none" w:sz="0" w:space="0" w:color="auto"/>
        <w:right w:val="none" w:sz="0" w:space="0" w:color="auto"/>
      </w:divBdr>
    </w:div>
    <w:div w:id="721826428">
      <w:bodyDiv w:val="1"/>
      <w:marLeft w:val="0"/>
      <w:marRight w:val="0"/>
      <w:marTop w:val="0"/>
      <w:marBottom w:val="0"/>
      <w:divBdr>
        <w:top w:val="none" w:sz="0" w:space="0" w:color="auto"/>
        <w:left w:val="none" w:sz="0" w:space="0" w:color="auto"/>
        <w:bottom w:val="none" w:sz="0" w:space="0" w:color="auto"/>
        <w:right w:val="none" w:sz="0" w:space="0" w:color="auto"/>
      </w:divBdr>
    </w:div>
    <w:div w:id="722414039">
      <w:bodyDiv w:val="1"/>
      <w:marLeft w:val="0"/>
      <w:marRight w:val="0"/>
      <w:marTop w:val="0"/>
      <w:marBottom w:val="0"/>
      <w:divBdr>
        <w:top w:val="none" w:sz="0" w:space="0" w:color="auto"/>
        <w:left w:val="none" w:sz="0" w:space="0" w:color="auto"/>
        <w:bottom w:val="none" w:sz="0" w:space="0" w:color="auto"/>
        <w:right w:val="none" w:sz="0" w:space="0" w:color="auto"/>
      </w:divBdr>
    </w:div>
    <w:div w:id="730150781">
      <w:bodyDiv w:val="1"/>
      <w:marLeft w:val="0"/>
      <w:marRight w:val="0"/>
      <w:marTop w:val="0"/>
      <w:marBottom w:val="0"/>
      <w:divBdr>
        <w:top w:val="none" w:sz="0" w:space="0" w:color="auto"/>
        <w:left w:val="none" w:sz="0" w:space="0" w:color="auto"/>
        <w:bottom w:val="none" w:sz="0" w:space="0" w:color="auto"/>
        <w:right w:val="none" w:sz="0" w:space="0" w:color="auto"/>
      </w:divBdr>
    </w:div>
    <w:div w:id="738673078">
      <w:bodyDiv w:val="1"/>
      <w:marLeft w:val="0"/>
      <w:marRight w:val="0"/>
      <w:marTop w:val="0"/>
      <w:marBottom w:val="0"/>
      <w:divBdr>
        <w:top w:val="none" w:sz="0" w:space="0" w:color="auto"/>
        <w:left w:val="none" w:sz="0" w:space="0" w:color="auto"/>
        <w:bottom w:val="none" w:sz="0" w:space="0" w:color="auto"/>
        <w:right w:val="none" w:sz="0" w:space="0" w:color="auto"/>
      </w:divBdr>
    </w:div>
    <w:div w:id="758525114">
      <w:bodyDiv w:val="1"/>
      <w:marLeft w:val="0"/>
      <w:marRight w:val="0"/>
      <w:marTop w:val="0"/>
      <w:marBottom w:val="0"/>
      <w:divBdr>
        <w:top w:val="none" w:sz="0" w:space="0" w:color="auto"/>
        <w:left w:val="none" w:sz="0" w:space="0" w:color="auto"/>
        <w:bottom w:val="none" w:sz="0" w:space="0" w:color="auto"/>
        <w:right w:val="none" w:sz="0" w:space="0" w:color="auto"/>
      </w:divBdr>
    </w:div>
    <w:div w:id="831020260">
      <w:bodyDiv w:val="1"/>
      <w:marLeft w:val="0"/>
      <w:marRight w:val="0"/>
      <w:marTop w:val="0"/>
      <w:marBottom w:val="0"/>
      <w:divBdr>
        <w:top w:val="none" w:sz="0" w:space="0" w:color="auto"/>
        <w:left w:val="none" w:sz="0" w:space="0" w:color="auto"/>
        <w:bottom w:val="none" w:sz="0" w:space="0" w:color="auto"/>
        <w:right w:val="none" w:sz="0" w:space="0" w:color="auto"/>
      </w:divBdr>
    </w:div>
    <w:div w:id="895051865">
      <w:bodyDiv w:val="1"/>
      <w:marLeft w:val="0"/>
      <w:marRight w:val="0"/>
      <w:marTop w:val="0"/>
      <w:marBottom w:val="0"/>
      <w:divBdr>
        <w:top w:val="none" w:sz="0" w:space="0" w:color="auto"/>
        <w:left w:val="none" w:sz="0" w:space="0" w:color="auto"/>
        <w:bottom w:val="none" w:sz="0" w:space="0" w:color="auto"/>
        <w:right w:val="none" w:sz="0" w:space="0" w:color="auto"/>
      </w:divBdr>
    </w:div>
    <w:div w:id="937104593">
      <w:bodyDiv w:val="1"/>
      <w:marLeft w:val="0"/>
      <w:marRight w:val="0"/>
      <w:marTop w:val="0"/>
      <w:marBottom w:val="0"/>
      <w:divBdr>
        <w:top w:val="none" w:sz="0" w:space="0" w:color="auto"/>
        <w:left w:val="none" w:sz="0" w:space="0" w:color="auto"/>
        <w:bottom w:val="none" w:sz="0" w:space="0" w:color="auto"/>
        <w:right w:val="none" w:sz="0" w:space="0" w:color="auto"/>
      </w:divBdr>
    </w:div>
    <w:div w:id="956643473">
      <w:bodyDiv w:val="1"/>
      <w:marLeft w:val="0"/>
      <w:marRight w:val="0"/>
      <w:marTop w:val="0"/>
      <w:marBottom w:val="0"/>
      <w:divBdr>
        <w:top w:val="none" w:sz="0" w:space="0" w:color="auto"/>
        <w:left w:val="none" w:sz="0" w:space="0" w:color="auto"/>
        <w:bottom w:val="none" w:sz="0" w:space="0" w:color="auto"/>
        <w:right w:val="none" w:sz="0" w:space="0" w:color="auto"/>
      </w:divBdr>
    </w:div>
    <w:div w:id="965740521">
      <w:bodyDiv w:val="1"/>
      <w:marLeft w:val="0"/>
      <w:marRight w:val="0"/>
      <w:marTop w:val="0"/>
      <w:marBottom w:val="0"/>
      <w:divBdr>
        <w:top w:val="none" w:sz="0" w:space="0" w:color="auto"/>
        <w:left w:val="none" w:sz="0" w:space="0" w:color="auto"/>
        <w:bottom w:val="none" w:sz="0" w:space="0" w:color="auto"/>
        <w:right w:val="none" w:sz="0" w:space="0" w:color="auto"/>
      </w:divBdr>
    </w:div>
    <w:div w:id="1002466760">
      <w:bodyDiv w:val="1"/>
      <w:marLeft w:val="0"/>
      <w:marRight w:val="0"/>
      <w:marTop w:val="0"/>
      <w:marBottom w:val="0"/>
      <w:divBdr>
        <w:top w:val="none" w:sz="0" w:space="0" w:color="auto"/>
        <w:left w:val="none" w:sz="0" w:space="0" w:color="auto"/>
        <w:bottom w:val="none" w:sz="0" w:space="0" w:color="auto"/>
        <w:right w:val="none" w:sz="0" w:space="0" w:color="auto"/>
      </w:divBdr>
    </w:div>
    <w:div w:id="1011106844">
      <w:bodyDiv w:val="1"/>
      <w:marLeft w:val="0"/>
      <w:marRight w:val="0"/>
      <w:marTop w:val="0"/>
      <w:marBottom w:val="0"/>
      <w:divBdr>
        <w:top w:val="none" w:sz="0" w:space="0" w:color="auto"/>
        <w:left w:val="none" w:sz="0" w:space="0" w:color="auto"/>
        <w:bottom w:val="none" w:sz="0" w:space="0" w:color="auto"/>
        <w:right w:val="none" w:sz="0" w:space="0" w:color="auto"/>
      </w:divBdr>
    </w:div>
    <w:div w:id="1012076066">
      <w:bodyDiv w:val="1"/>
      <w:marLeft w:val="0"/>
      <w:marRight w:val="0"/>
      <w:marTop w:val="0"/>
      <w:marBottom w:val="0"/>
      <w:divBdr>
        <w:top w:val="none" w:sz="0" w:space="0" w:color="auto"/>
        <w:left w:val="none" w:sz="0" w:space="0" w:color="auto"/>
        <w:bottom w:val="none" w:sz="0" w:space="0" w:color="auto"/>
        <w:right w:val="none" w:sz="0" w:space="0" w:color="auto"/>
      </w:divBdr>
    </w:div>
    <w:div w:id="1064640325">
      <w:bodyDiv w:val="1"/>
      <w:marLeft w:val="0"/>
      <w:marRight w:val="0"/>
      <w:marTop w:val="0"/>
      <w:marBottom w:val="0"/>
      <w:divBdr>
        <w:top w:val="none" w:sz="0" w:space="0" w:color="auto"/>
        <w:left w:val="none" w:sz="0" w:space="0" w:color="auto"/>
        <w:bottom w:val="none" w:sz="0" w:space="0" w:color="auto"/>
        <w:right w:val="none" w:sz="0" w:space="0" w:color="auto"/>
      </w:divBdr>
    </w:div>
    <w:div w:id="1065759192">
      <w:bodyDiv w:val="1"/>
      <w:marLeft w:val="0"/>
      <w:marRight w:val="0"/>
      <w:marTop w:val="0"/>
      <w:marBottom w:val="0"/>
      <w:divBdr>
        <w:top w:val="none" w:sz="0" w:space="0" w:color="auto"/>
        <w:left w:val="none" w:sz="0" w:space="0" w:color="auto"/>
        <w:bottom w:val="none" w:sz="0" w:space="0" w:color="auto"/>
        <w:right w:val="none" w:sz="0" w:space="0" w:color="auto"/>
      </w:divBdr>
    </w:div>
    <w:div w:id="1115095755">
      <w:bodyDiv w:val="1"/>
      <w:marLeft w:val="0"/>
      <w:marRight w:val="0"/>
      <w:marTop w:val="0"/>
      <w:marBottom w:val="0"/>
      <w:divBdr>
        <w:top w:val="none" w:sz="0" w:space="0" w:color="auto"/>
        <w:left w:val="none" w:sz="0" w:space="0" w:color="auto"/>
        <w:bottom w:val="none" w:sz="0" w:space="0" w:color="auto"/>
        <w:right w:val="none" w:sz="0" w:space="0" w:color="auto"/>
      </w:divBdr>
    </w:div>
    <w:div w:id="1122773927">
      <w:bodyDiv w:val="1"/>
      <w:marLeft w:val="0"/>
      <w:marRight w:val="0"/>
      <w:marTop w:val="0"/>
      <w:marBottom w:val="0"/>
      <w:divBdr>
        <w:top w:val="none" w:sz="0" w:space="0" w:color="auto"/>
        <w:left w:val="none" w:sz="0" w:space="0" w:color="auto"/>
        <w:bottom w:val="none" w:sz="0" w:space="0" w:color="auto"/>
        <w:right w:val="none" w:sz="0" w:space="0" w:color="auto"/>
      </w:divBdr>
    </w:div>
    <w:div w:id="1148477041">
      <w:bodyDiv w:val="1"/>
      <w:marLeft w:val="0"/>
      <w:marRight w:val="0"/>
      <w:marTop w:val="0"/>
      <w:marBottom w:val="0"/>
      <w:divBdr>
        <w:top w:val="none" w:sz="0" w:space="0" w:color="auto"/>
        <w:left w:val="none" w:sz="0" w:space="0" w:color="auto"/>
        <w:bottom w:val="none" w:sz="0" w:space="0" w:color="auto"/>
        <w:right w:val="none" w:sz="0" w:space="0" w:color="auto"/>
      </w:divBdr>
    </w:div>
    <w:div w:id="1169978060">
      <w:bodyDiv w:val="1"/>
      <w:marLeft w:val="0"/>
      <w:marRight w:val="0"/>
      <w:marTop w:val="0"/>
      <w:marBottom w:val="0"/>
      <w:divBdr>
        <w:top w:val="none" w:sz="0" w:space="0" w:color="auto"/>
        <w:left w:val="none" w:sz="0" w:space="0" w:color="auto"/>
        <w:bottom w:val="none" w:sz="0" w:space="0" w:color="auto"/>
        <w:right w:val="none" w:sz="0" w:space="0" w:color="auto"/>
      </w:divBdr>
    </w:div>
    <w:div w:id="1193616145">
      <w:bodyDiv w:val="1"/>
      <w:marLeft w:val="0"/>
      <w:marRight w:val="0"/>
      <w:marTop w:val="0"/>
      <w:marBottom w:val="0"/>
      <w:divBdr>
        <w:top w:val="none" w:sz="0" w:space="0" w:color="auto"/>
        <w:left w:val="none" w:sz="0" w:space="0" w:color="auto"/>
        <w:bottom w:val="none" w:sz="0" w:space="0" w:color="auto"/>
        <w:right w:val="none" w:sz="0" w:space="0" w:color="auto"/>
      </w:divBdr>
    </w:div>
    <w:div w:id="1197700538">
      <w:bodyDiv w:val="1"/>
      <w:marLeft w:val="0"/>
      <w:marRight w:val="0"/>
      <w:marTop w:val="0"/>
      <w:marBottom w:val="0"/>
      <w:divBdr>
        <w:top w:val="none" w:sz="0" w:space="0" w:color="auto"/>
        <w:left w:val="none" w:sz="0" w:space="0" w:color="auto"/>
        <w:bottom w:val="none" w:sz="0" w:space="0" w:color="auto"/>
        <w:right w:val="none" w:sz="0" w:space="0" w:color="auto"/>
      </w:divBdr>
    </w:div>
    <w:div w:id="1270624667">
      <w:bodyDiv w:val="1"/>
      <w:marLeft w:val="0"/>
      <w:marRight w:val="0"/>
      <w:marTop w:val="0"/>
      <w:marBottom w:val="0"/>
      <w:divBdr>
        <w:top w:val="none" w:sz="0" w:space="0" w:color="auto"/>
        <w:left w:val="none" w:sz="0" w:space="0" w:color="auto"/>
        <w:bottom w:val="none" w:sz="0" w:space="0" w:color="auto"/>
        <w:right w:val="none" w:sz="0" w:space="0" w:color="auto"/>
      </w:divBdr>
    </w:div>
    <w:div w:id="1272132749">
      <w:bodyDiv w:val="1"/>
      <w:marLeft w:val="0"/>
      <w:marRight w:val="0"/>
      <w:marTop w:val="0"/>
      <w:marBottom w:val="0"/>
      <w:divBdr>
        <w:top w:val="none" w:sz="0" w:space="0" w:color="auto"/>
        <w:left w:val="none" w:sz="0" w:space="0" w:color="auto"/>
        <w:bottom w:val="none" w:sz="0" w:space="0" w:color="auto"/>
        <w:right w:val="none" w:sz="0" w:space="0" w:color="auto"/>
      </w:divBdr>
    </w:div>
    <w:div w:id="1286085067">
      <w:bodyDiv w:val="1"/>
      <w:marLeft w:val="0"/>
      <w:marRight w:val="0"/>
      <w:marTop w:val="0"/>
      <w:marBottom w:val="0"/>
      <w:divBdr>
        <w:top w:val="none" w:sz="0" w:space="0" w:color="auto"/>
        <w:left w:val="none" w:sz="0" w:space="0" w:color="auto"/>
        <w:bottom w:val="none" w:sz="0" w:space="0" w:color="auto"/>
        <w:right w:val="none" w:sz="0" w:space="0" w:color="auto"/>
      </w:divBdr>
    </w:div>
    <w:div w:id="1299335726">
      <w:bodyDiv w:val="1"/>
      <w:marLeft w:val="0"/>
      <w:marRight w:val="0"/>
      <w:marTop w:val="0"/>
      <w:marBottom w:val="0"/>
      <w:divBdr>
        <w:top w:val="none" w:sz="0" w:space="0" w:color="auto"/>
        <w:left w:val="none" w:sz="0" w:space="0" w:color="auto"/>
        <w:bottom w:val="none" w:sz="0" w:space="0" w:color="auto"/>
        <w:right w:val="none" w:sz="0" w:space="0" w:color="auto"/>
      </w:divBdr>
    </w:div>
    <w:div w:id="1384212467">
      <w:bodyDiv w:val="1"/>
      <w:marLeft w:val="0"/>
      <w:marRight w:val="0"/>
      <w:marTop w:val="0"/>
      <w:marBottom w:val="0"/>
      <w:divBdr>
        <w:top w:val="none" w:sz="0" w:space="0" w:color="auto"/>
        <w:left w:val="none" w:sz="0" w:space="0" w:color="auto"/>
        <w:bottom w:val="none" w:sz="0" w:space="0" w:color="auto"/>
        <w:right w:val="none" w:sz="0" w:space="0" w:color="auto"/>
      </w:divBdr>
    </w:div>
    <w:div w:id="1399787685">
      <w:bodyDiv w:val="1"/>
      <w:marLeft w:val="0"/>
      <w:marRight w:val="0"/>
      <w:marTop w:val="0"/>
      <w:marBottom w:val="0"/>
      <w:divBdr>
        <w:top w:val="none" w:sz="0" w:space="0" w:color="auto"/>
        <w:left w:val="none" w:sz="0" w:space="0" w:color="auto"/>
        <w:bottom w:val="none" w:sz="0" w:space="0" w:color="auto"/>
        <w:right w:val="none" w:sz="0" w:space="0" w:color="auto"/>
      </w:divBdr>
    </w:div>
    <w:div w:id="1406417498">
      <w:bodyDiv w:val="1"/>
      <w:marLeft w:val="0"/>
      <w:marRight w:val="0"/>
      <w:marTop w:val="0"/>
      <w:marBottom w:val="0"/>
      <w:divBdr>
        <w:top w:val="none" w:sz="0" w:space="0" w:color="auto"/>
        <w:left w:val="none" w:sz="0" w:space="0" w:color="auto"/>
        <w:bottom w:val="none" w:sz="0" w:space="0" w:color="auto"/>
        <w:right w:val="none" w:sz="0" w:space="0" w:color="auto"/>
      </w:divBdr>
    </w:div>
    <w:div w:id="1453282518">
      <w:bodyDiv w:val="1"/>
      <w:marLeft w:val="0"/>
      <w:marRight w:val="0"/>
      <w:marTop w:val="0"/>
      <w:marBottom w:val="0"/>
      <w:divBdr>
        <w:top w:val="none" w:sz="0" w:space="0" w:color="auto"/>
        <w:left w:val="none" w:sz="0" w:space="0" w:color="auto"/>
        <w:bottom w:val="none" w:sz="0" w:space="0" w:color="auto"/>
        <w:right w:val="none" w:sz="0" w:space="0" w:color="auto"/>
      </w:divBdr>
    </w:div>
    <w:div w:id="1453472452">
      <w:bodyDiv w:val="1"/>
      <w:marLeft w:val="0"/>
      <w:marRight w:val="0"/>
      <w:marTop w:val="0"/>
      <w:marBottom w:val="0"/>
      <w:divBdr>
        <w:top w:val="none" w:sz="0" w:space="0" w:color="auto"/>
        <w:left w:val="none" w:sz="0" w:space="0" w:color="auto"/>
        <w:bottom w:val="none" w:sz="0" w:space="0" w:color="auto"/>
        <w:right w:val="none" w:sz="0" w:space="0" w:color="auto"/>
      </w:divBdr>
    </w:div>
    <w:div w:id="1620986948">
      <w:bodyDiv w:val="1"/>
      <w:marLeft w:val="0"/>
      <w:marRight w:val="0"/>
      <w:marTop w:val="0"/>
      <w:marBottom w:val="0"/>
      <w:divBdr>
        <w:top w:val="none" w:sz="0" w:space="0" w:color="auto"/>
        <w:left w:val="none" w:sz="0" w:space="0" w:color="auto"/>
        <w:bottom w:val="none" w:sz="0" w:space="0" w:color="auto"/>
        <w:right w:val="none" w:sz="0" w:space="0" w:color="auto"/>
      </w:divBdr>
    </w:div>
    <w:div w:id="1665236782">
      <w:bodyDiv w:val="1"/>
      <w:marLeft w:val="0"/>
      <w:marRight w:val="0"/>
      <w:marTop w:val="0"/>
      <w:marBottom w:val="0"/>
      <w:divBdr>
        <w:top w:val="none" w:sz="0" w:space="0" w:color="auto"/>
        <w:left w:val="none" w:sz="0" w:space="0" w:color="auto"/>
        <w:bottom w:val="none" w:sz="0" w:space="0" w:color="auto"/>
        <w:right w:val="none" w:sz="0" w:space="0" w:color="auto"/>
      </w:divBdr>
    </w:div>
    <w:div w:id="1745911487">
      <w:bodyDiv w:val="1"/>
      <w:marLeft w:val="0"/>
      <w:marRight w:val="0"/>
      <w:marTop w:val="0"/>
      <w:marBottom w:val="0"/>
      <w:divBdr>
        <w:top w:val="none" w:sz="0" w:space="0" w:color="auto"/>
        <w:left w:val="none" w:sz="0" w:space="0" w:color="auto"/>
        <w:bottom w:val="none" w:sz="0" w:space="0" w:color="auto"/>
        <w:right w:val="none" w:sz="0" w:space="0" w:color="auto"/>
      </w:divBdr>
    </w:div>
    <w:div w:id="1804227966">
      <w:bodyDiv w:val="1"/>
      <w:marLeft w:val="0"/>
      <w:marRight w:val="0"/>
      <w:marTop w:val="0"/>
      <w:marBottom w:val="0"/>
      <w:divBdr>
        <w:top w:val="none" w:sz="0" w:space="0" w:color="auto"/>
        <w:left w:val="none" w:sz="0" w:space="0" w:color="auto"/>
        <w:bottom w:val="none" w:sz="0" w:space="0" w:color="auto"/>
        <w:right w:val="none" w:sz="0" w:space="0" w:color="auto"/>
      </w:divBdr>
    </w:div>
    <w:div w:id="1814254526">
      <w:bodyDiv w:val="1"/>
      <w:marLeft w:val="0"/>
      <w:marRight w:val="0"/>
      <w:marTop w:val="0"/>
      <w:marBottom w:val="0"/>
      <w:divBdr>
        <w:top w:val="none" w:sz="0" w:space="0" w:color="auto"/>
        <w:left w:val="none" w:sz="0" w:space="0" w:color="auto"/>
        <w:bottom w:val="none" w:sz="0" w:space="0" w:color="auto"/>
        <w:right w:val="none" w:sz="0" w:space="0" w:color="auto"/>
      </w:divBdr>
    </w:div>
    <w:div w:id="1827742997">
      <w:bodyDiv w:val="1"/>
      <w:marLeft w:val="0"/>
      <w:marRight w:val="0"/>
      <w:marTop w:val="0"/>
      <w:marBottom w:val="0"/>
      <w:divBdr>
        <w:top w:val="none" w:sz="0" w:space="0" w:color="auto"/>
        <w:left w:val="none" w:sz="0" w:space="0" w:color="auto"/>
        <w:bottom w:val="none" w:sz="0" w:space="0" w:color="auto"/>
        <w:right w:val="none" w:sz="0" w:space="0" w:color="auto"/>
      </w:divBdr>
    </w:div>
    <w:div w:id="1831601297">
      <w:bodyDiv w:val="1"/>
      <w:marLeft w:val="0"/>
      <w:marRight w:val="0"/>
      <w:marTop w:val="0"/>
      <w:marBottom w:val="0"/>
      <w:divBdr>
        <w:top w:val="none" w:sz="0" w:space="0" w:color="auto"/>
        <w:left w:val="none" w:sz="0" w:space="0" w:color="auto"/>
        <w:bottom w:val="none" w:sz="0" w:space="0" w:color="auto"/>
        <w:right w:val="none" w:sz="0" w:space="0" w:color="auto"/>
      </w:divBdr>
    </w:div>
    <w:div w:id="1897662385">
      <w:bodyDiv w:val="1"/>
      <w:marLeft w:val="0"/>
      <w:marRight w:val="0"/>
      <w:marTop w:val="0"/>
      <w:marBottom w:val="0"/>
      <w:divBdr>
        <w:top w:val="none" w:sz="0" w:space="0" w:color="auto"/>
        <w:left w:val="none" w:sz="0" w:space="0" w:color="auto"/>
        <w:bottom w:val="none" w:sz="0" w:space="0" w:color="auto"/>
        <w:right w:val="none" w:sz="0" w:space="0" w:color="auto"/>
      </w:divBdr>
    </w:div>
    <w:div w:id="1917207796">
      <w:bodyDiv w:val="1"/>
      <w:marLeft w:val="0"/>
      <w:marRight w:val="0"/>
      <w:marTop w:val="0"/>
      <w:marBottom w:val="0"/>
      <w:divBdr>
        <w:top w:val="none" w:sz="0" w:space="0" w:color="auto"/>
        <w:left w:val="none" w:sz="0" w:space="0" w:color="auto"/>
        <w:bottom w:val="none" w:sz="0" w:space="0" w:color="auto"/>
        <w:right w:val="none" w:sz="0" w:space="0" w:color="auto"/>
      </w:divBdr>
    </w:div>
    <w:div w:id="1960793191">
      <w:bodyDiv w:val="1"/>
      <w:marLeft w:val="0"/>
      <w:marRight w:val="0"/>
      <w:marTop w:val="0"/>
      <w:marBottom w:val="0"/>
      <w:divBdr>
        <w:top w:val="none" w:sz="0" w:space="0" w:color="auto"/>
        <w:left w:val="none" w:sz="0" w:space="0" w:color="auto"/>
        <w:bottom w:val="none" w:sz="0" w:space="0" w:color="auto"/>
        <w:right w:val="none" w:sz="0" w:space="0" w:color="auto"/>
      </w:divBdr>
    </w:div>
    <w:div w:id="2007516709">
      <w:bodyDiv w:val="1"/>
      <w:marLeft w:val="0"/>
      <w:marRight w:val="0"/>
      <w:marTop w:val="0"/>
      <w:marBottom w:val="0"/>
      <w:divBdr>
        <w:top w:val="none" w:sz="0" w:space="0" w:color="auto"/>
        <w:left w:val="none" w:sz="0" w:space="0" w:color="auto"/>
        <w:bottom w:val="none" w:sz="0" w:space="0" w:color="auto"/>
        <w:right w:val="none" w:sz="0" w:space="0" w:color="auto"/>
      </w:divBdr>
    </w:div>
    <w:div w:id="2068188488">
      <w:bodyDiv w:val="1"/>
      <w:marLeft w:val="0"/>
      <w:marRight w:val="0"/>
      <w:marTop w:val="0"/>
      <w:marBottom w:val="0"/>
      <w:divBdr>
        <w:top w:val="none" w:sz="0" w:space="0" w:color="auto"/>
        <w:left w:val="none" w:sz="0" w:space="0" w:color="auto"/>
        <w:bottom w:val="none" w:sz="0" w:space="0" w:color="auto"/>
        <w:right w:val="none" w:sz="0" w:space="0" w:color="auto"/>
      </w:divBdr>
    </w:div>
    <w:div w:id="2105765901">
      <w:bodyDiv w:val="1"/>
      <w:marLeft w:val="0"/>
      <w:marRight w:val="0"/>
      <w:marTop w:val="0"/>
      <w:marBottom w:val="0"/>
      <w:divBdr>
        <w:top w:val="none" w:sz="0" w:space="0" w:color="auto"/>
        <w:left w:val="none" w:sz="0" w:space="0" w:color="auto"/>
        <w:bottom w:val="none" w:sz="0" w:space="0" w:color="auto"/>
        <w:right w:val="none" w:sz="0" w:space="0" w:color="auto"/>
      </w:divBdr>
    </w:div>
    <w:div w:id="2118257701">
      <w:bodyDiv w:val="1"/>
      <w:marLeft w:val="0"/>
      <w:marRight w:val="0"/>
      <w:marTop w:val="0"/>
      <w:marBottom w:val="0"/>
      <w:divBdr>
        <w:top w:val="none" w:sz="0" w:space="0" w:color="auto"/>
        <w:left w:val="none" w:sz="0" w:space="0" w:color="auto"/>
        <w:bottom w:val="none" w:sz="0" w:space="0" w:color="auto"/>
        <w:right w:val="none" w:sz="0" w:space="0" w:color="auto"/>
      </w:divBdr>
    </w:div>
    <w:div w:id="2123066120">
      <w:bodyDiv w:val="1"/>
      <w:marLeft w:val="0"/>
      <w:marRight w:val="0"/>
      <w:marTop w:val="0"/>
      <w:marBottom w:val="0"/>
      <w:divBdr>
        <w:top w:val="none" w:sz="0" w:space="0" w:color="auto"/>
        <w:left w:val="none" w:sz="0" w:space="0" w:color="auto"/>
        <w:bottom w:val="none" w:sz="0" w:space="0" w:color="auto"/>
        <w:right w:val="none" w:sz="0" w:space="0" w:color="auto"/>
      </w:divBdr>
    </w:div>
    <w:div w:id="213321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1
Student-Alina Coman
(1919781)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Sta221</b:Tag>
    <b:SourceType>InternetSite</b:SourceType>
    <b:Guid>{1F8E3E27-6EB6-412B-96B9-4BD7CC5A161E}</b:Guid>
    <b:Title>Nestlé - statistics &amp; facts</b:Title>
    <b:Year>2022</b:Year>
    <b:Author>
      <b:Author>
        <b:Corporate>Statista Research Department</b:Corporate>
      </b:Author>
    </b:Author>
    <b:InternetSiteTitle>Statista</b:InternetSiteTitle>
    <b:Month>june</b:Month>
    <b:Day>2</b:Day>
    <b:URL>https://www.statista.com/topics/1439/nestle/#topicHeader__wrapper</b:URL>
    <b:RefOrder>17</b:RefOrder>
  </b:Source>
  <b:Source>
    <b:Tag>Nil22</b:Tag>
    <b:SourceType>InternetSite</b:SourceType>
    <b:Guid>{A1BB277A-70CA-433F-8B0A-378C7499ACAE}</b:Guid>
    <b:Author>
      <b:Author>
        <b:NameList>
          <b:Person>
            <b:Last>Wunsch</b:Last>
            <b:First>Nils-Gerrit</b:First>
          </b:Person>
        </b:NameList>
      </b:Author>
    </b:Author>
    <b:Title>Nestlé's leading markets worldwide 2021, based on sales</b:Title>
    <b:InternetSiteTitle>Statista</b:InternetSiteTitle>
    <b:Year>2022</b:Year>
    <b:Month>March</b:Month>
    <b:Day>17</b:Day>
    <b:URL>https://www.statista.com/statistics/413407/nestle-s-leading-markets-worldwide-based-on-sales/</b:URL>
    <b:RefOrder>1</b:RefOrder>
  </b:Source>
  <b:Source>
    <b:Tag>Com22</b:Tag>
    <b:SourceType>InternetSite</b:SourceType>
    <b:Guid>{7300AD56-664E-444D-BF2C-A742B6CE0804}</b:Guid>
    <b:Author>
      <b:Author>
        <b:Corporate>Companiesmarketcap.com</b:Corporate>
      </b:Author>
    </b:Author>
    <b:Title>Nestlé (NESN.SW) - Market capitalization</b:Title>
    <b:InternetSiteTitle>Companiesmarketcap.com</b:InternetSiteTitle>
    <b:Year>2022</b:Year>
    <b:Month>Jully</b:Month>
    <b:URL>https://companiesmarketcap.com/nestle/marketcap/#:~:text=As%20of%20July%202022%20Nestl%C3%A9%20has%20a%20market,to%20measure%20how%20much%20a%20company%20is%20worth.</b:URL>
    <b:RefOrder>18</b:RefOrder>
  </b:Source>
  <b:Source>
    <b:Tag>MRi22</b:Tag>
    <b:SourceType>InternetSite</b:SourceType>
    <b:Guid>{74CC0D08-7DB3-4371-B87D-ECC069380EE9}</b:Guid>
    <b:Author>
      <b:Author>
        <b:NameList>
          <b:Person>
            <b:Last>Ridder</b:Last>
            <b:First>M.</b:First>
          </b:Person>
        </b:NameList>
      </b:Author>
    </b:Author>
    <b:Title>Leading beverage companies worldwide in 2020, based on sales</b:Title>
    <b:InternetSiteTitle>Statista</b:InternetSiteTitle>
    <b:Year>2022</b:Year>
    <b:Month>MArch</b:Month>
    <b:Day>24</b:Day>
    <b:URL>https://www.statista.com/statistics/307963/leading-beverage-companies-worldwide-based-on-net-sales/</b:URL>
    <b:RefOrder>19</b:RefOrder>
  </b:Source>
  <b:Source>
    <b:Tag>Fai15</b:Tag>
    <b:SourceType>InternetSite</b:SourceType>
    <b:Guid>{74C72B02-29F3-42C6-9224-FEB73E384F4D}</b:Guid>
    <b:Author>
      <b:Author>
        <b:NameList>
          <b:Person>
            <b:Last>Hamdi</b:Last>
            <b:First>Fairooz</b:First>
          </b:Person>
        </b:NameList>
      </b:Author>
    </b:Author>
    <b:Title>The Impact of Globalization in the Developing Countries</b:Title>
    <b:InternetSiteTitle>LinkdeIn</b:InternetSiteTitle>
    <b:Year>2015</b:Year>
    <b:Month>June</b:Month>
    <b:Day>11</b:Day>
    <b:URL>The Impact of Globalization in the Developing Countries</b:URL>
    <b:RefOrder>2</b:RefOrder>
  </b:Source>
  <b:Source>
    <b:Tag>Arn13</b:Tag>
    <b:SourceType>Book</b:SourceType>
    <b:Guid>{07891BD3-059E-4712-99C5-FDF0F79759B7}</b:Guid>
    <b:Title>Essentials of corporate financial management</b:Title>
    <b:Year>2013</b:Year>
    <b:Author>
      <b:Author>
        <b:NameList>
          <b:Person>
            <b:Last>Arnold</b:Last>
            <b:First>Glen</b:First>
          </b:Person>
        </b:NameList>
      </b:Author>
    </b:Author>
    <b:City>Harlow, England </b:City>
    <b:Publisher>Pearson</b:Publisher>
    <b:RefOrder>4</b:RefOrder>
  </b:Source>
  <b:Source>
    <b:Tag>Bek13</b:Tag>
    <b:SourceType>Book</b:SourceType>
    <b:Guid>{D802E52D-AE68-430D-A2B9-D727CE275AE2}</b:Guid>
    <b:Author>
      <b:Author>
        <b:NameList>
          <b:Person>
            <b:Last>Bekaert</b:Last>
            <b:First>Geert</b:First>
            <b:Middle>J</b:Middle>
          </b:Person>
        </b:NameList>
      </b:Author>
    </b:Author>
    <b:Title>International financial management</b:Title>
    <b:Year>2013</b:Year>
    <b:City>Harlow : $b Pearson, $c 2013.</b:City>
    <b:Publisher>Harlow : $b Pearson, $c 2013.</b:Publisher>
    <b:RefOrder>3</b:RefOrder>
  </b:Source>
  <b:Source>
    <b:Tag>Glo22</b:Tag>
    <b:SourceType>InternetSite</b:SourceType>
    <b:Guid>{EB76CD4F-8DC6-466F-A26F-798B97727AA2}</b:Guid>
    <b:Author>
      <b:Author>
        <b:Corporate>GlobalData</b:Corporate>
      </b:Author>
    </b:Author>
    <b:Title>Nestle SA – Risk Profile</b:Title>
    <b:InternetSiteTitle>GlobalData</b:InternetSiteTitle>
    <b:Year>2022</b:Year>
    <b:URL>https://www.globaldata.com/data-insights/consumer-food/nestle-sa-risk-profile/</b:URL>
    <b:RefOrder>6</b:RefOrder>
  </b:Source>
  <b:Source>
    <b:Tag>Nes22</b:Tag>
    <b:SourceType>InternetSite</b:SourceType>
    <b:Guid>{1AC7369A-9697-49F6-BEF4-78D26C28E2CF}</b:Guid>
    <b:Title>Nestlé reports three-month sales for 2022</b:Title>
    <b:Year>2022</b:Year>
    <b:Month>April</b:Month>
    <b:Day>21</b:Day>
    <b:Author>
      <b:Author>
        <b:Corporate>Nestle report 2022</b:Corporate>
      </b:Author>
    </b:Author>
    <b:InternetSiteTitle>Nestle Good food, Good life</b:InternetSiteTitle>
    <b:URL>https://www.nestle.com/media/pressreleases/allpressreleases/three-month-sales-2022</b:URL>
    <b:RefOrder>20</b:RefOrder>
  </b:Source>
  <b:Source>
    <b:Tag>Nes221</b:Tag>
    <b:SourceType>InternetSite</b:SourceType>
    <b:Guid>{B8716466-EB8F-4C31-A661-0CF0AED9872A}</b:Guid>
    <b:Author>
      <b:Author>
        <b:Corporate>Nestle</b:Corporate>
      </b:Author>
    </b:Author>
    <b:Title>Nestle report full year 2021</b:Title>
    <b:InternetSiteTitle>Press release</b:InternetSiteTitle>
    <b:Year>2022</b:Year>
    <b:Month>February</b:Month>
    <b:Day>17</b:Day>
    <b:URL>https://www.nestle.com/media/pressreleases/allpressreleases/full-year-results-2021</b:URL>
    <b:RefOrder>8</b:RefOrder>
  </b:Source>
  <b:Source>
    <b:Tag>Nes21</b:Tag>
    <b:SourceType>InternetSite</b:SourceType>
    <b:Guid>{8EC1148A-1CAF-4DDF-AEBA-A3FF04F2859B}</b:Guid>
    <b:Author>
      <b:Author>
        <b:Corporate>Nestle</b:Corporate>
      </b:Author>
    </b:Author>
    <b:Title>Nestlé reports half-year results for 2021, raises full-year organic sales growth guidance</b:Title>
    <b:InternetSiteTitle>Nestle press release</b:InternetSiteTitle>
    <b:Year>2021</b:Year>
    <b:Month>July</b:Month>
    <b:Day>29</b:Day>
    <b:URL>https://www.nestle.com/media/pressreleases/allpressreleases/half-year-results-2021</b:URL>
    <b:RefOrder>7</b:RefOrder>
  </b:Source>
  <b:Source>
    <b:Tag>Nes222</b:Tag>
    <b:SourceType>InternetSite</b:SourceType>
    <b:Guid>{F139FBF6-AD2A-49A8-AACA-09C43219FC58}</b:Guid>
    <b:Author>
      <b:Author>
        <b:Corporate>Nestle</b:Corporate>
      </b:Author>
    </b:Author>
    <b:Title>Nestlé reports three-month sales for 2022</b:Title>
    <b:InternetSiteTitle>Nestle Press release</b:InternetSiteTitle>
    <b:Year>2022</b:Year>
    <b:Month>April</b:Month>
    <b:Day>21</b:Day>
    <b:URL>https://www.nestle.com/sites/default/files/2022-04/three-month-sales-2022-press-release-en.pdf</b:URL>
    <b:RefOrder>9</b:RefOrder>
  </b:Source>
  <b:Source>
    <b:Tag>Jef21</b:Tag>
    <b:SourceType>Book</b:SourceType>
    <b:Guid>{E8C03A8D-4E31-4886-8903-93EFAC31055A}</b:Guid>
    <b:Title>International financial management</b:Title>
    <b:Year>2021</b:Year>
    <b:Author>
      <b:Author>
        <b:NameList>
          <b:Person>
            <b:Last>Madura</b:Last>
            <b:First>Jeff</b:First>
          </b:Person>
        </b:NameList>
      </b:Author>
    </b:Author>
    <b:City>Australia</b:City>
    <b:Publisher>Australia : Cengage, [2021] ©2021</b:Publisher>
    <b:RefOrder>10</b:RefOrder>
  </b:Source>
  <b:Source>
    <b:Tag>Hac20</b:Tag>
    <b:SourceType>JournalArticle</b:SourceType>
    <b:Guid>{96ACF047-F992-407F-9521-0AC7A5DE15D8}</b:Guid>
    <b:Title>Corporate political activity of the baby food industry: the example of Nestlé in the United States of America</b:Title>
    <b:Year>2020</b:Year>
    <b:Author>
      <b:Author>
        <b:NameList>
          <b:Person>
            <b:Last>Hacer Tanrikulu</b:Last>
            <b:First>Daniela</b:First>
            <b:Middle>Neri, Aileen Robertson &amp; Melissa Mialon</b:Middle>
          </b:Person>
        </b:NameList>
      </b:Author>
    </b:Author>
    <b:JournalName>International Breastfeeding Journal</b:JournalName>
    <b:Pages>15-22</b:Pages>
    <b:RefOrder>11</b:RefOrder>
  </b:Source>
  <b:Source>
    <b:Tag>Bel19</b:Tag>
    <b:SourceType>InternetSite</b:SourceType>
    <b:Guid>{99933018-4DA9-4AA2-B46A-9FE4F8A3CCA3}</b:Guid>
    <b:Author>
      <b:Author>
        <b:NameList>
          <b:Person>
            <b:Last>Belger</b:Last>
            <b:First>Tom</b:First>
          </b:Person>
        </b:NameList>
      </b:Author>
    </b:Author>
    <b:Title>Nestle warns Brexit means 'major challenges' for Britain's food and drink industry</b:Title>
    <b:JournalName>Yahoo Finance</b:JournalName>
    <b:Year>2019</b:Year>
    <b:InternetSiteTitle>Yahoo Finance</b:InternetSiteTitle>
    <b:Month>August</b:Month>
    <b:Day>13</b:Day>
    <b:URL>https://uk.finance.yahoo.com/news/nestle-warns-brexit-means-major-challenges-for-britains-food-and-drink-industry-230100800.html</b:URL>
    <b:RefOrder>12</b:RefOrder>
  </b:Source>
  <b:Source>
    <b:Tag>Nes211</b:Tag>
    <b:SourceType>Report</b:SourceType>
    <b:Guid>{929ADDE7-42BA-46EA-92C5-07BE96E5F91E}</b:Guid>
    <b:Title>Anual Report</b:Title>
    <b:Year>2021</b:Year>
    <b:City>Vevey</b:City>
    <b:Publisher>Nestle</b:Publisher>
    <b:Author>
      <b:Author>
        <b:Corporate>Nestle</b:Corporate>
      </b:Author>
    </b:Author>
    <b:RefOrder>15</b:RefOrder>
  </b:Source>
  <b:Source>
    <b:Tag>Div22</b:Tag>
    <b:SourceType>InternetSite</b:SourceType>
    <b:Guid>{8190E79C-7577-4869-928C-CFDAE0579F6C}</b:Guid>
    <b:Author>
      <b:Author>
        <b:Corporate>Dividend Stock</b:Corporate>
      </b:Author>
    </b:Author>
    <b:Title>Nestle Dividend</b:Title>
    <b:InternetSiteTitle> Dividend Stock, Global Dividend Growth</b:InternetSiteTitle>
    <b:Year>2022</b:Year>
    <b:URL>https://dividendstocks.cash/dividend-profile/Nestl%C3%A9-Dividend</b:URL>
    <b:RefOrder>13</b:RefOrder>
  </b:Source>
  <b:Source>
    <b:Tag>Sto3</b:Tag>
    <b:SourceType>InternetSite</b:SourceType>
    <b:Guid>{48A674E9-838B-46CD-879F-474274644414}</b:Guid>
    <b:Author>
      <b:Author>
        <b:Corporate>Stock Analysis</b:Corporate>
      </b:Author>
    </b:Author>
    <b:Title>Nestle SA (NSRGY)</b:Title>
    <b:InternetSiteTitle>Stock Analysis</b:InternetSiteTitle>
    <b:Year>2022</b:Year>
    <b:Month>August</b:Month>
    <b:Day>3</b:Day>
    <b:URL>https://stockanalysis.com/stocks/nsrgy/dividend/</b:URL>
    <b:RefOrder>14</b:RefOrder>
  </b:Source>
  <b:Source>
    <b:Tag>Wun22</b:Tag>
    <b:SourceType>InternetSite</b:SourceType>
    <b:Guid>{48CCE239-7B16-4D37-BD28-F86CB6DAB340}</b:Guid>
    <b:Publisher>t</b:Publisher>
    <b:RefOrder>21</b:RefOrder>
  </b:Source>
  <b:Source>
    <b:Tag>Nil221</b:Tag>
    <b:SourceType>InternetSite</b:SourceType>
    <b:Guid>{1F1B9F54-ED27-446F-B98C-DC8066873AC9}</b:Guid>
    <b:Author>
      <b:Author>
        <b:NameList>
          <b:Person>
            <b:Last>Wunsch</b:Last>
            <b:First>Nils-Gerrit</b:First>
          </b:Person>
        </b:NameList>
      </b:Author>
    </b:Author>
    <b:Title>Statista</b:Title>
    <b:InternetSiteTitle>EBIT of the Nestlé Group worldwide 2008-2021</b:InternetSiteTitle>
    <b:Year>2022</b:Year>
    <b:Month>March</b:Month>
    <b:Day>16</b:Day>
    <b:URL>https://www.statista.com/statistics/268888/ebit-of-the-nestle-group-worldwide/#:~:text=In%202021%2C%20the%20trading%20operating%20profit%20%28EBIT%29%20of,worldwide%20from%202008%20to%202021%20%28in%20million%20CHF%29</b:URL>
    <b:RefOrder>22</b:RefOrder>
  </b:Source>
  <b:Source>
    <b:Tag>Alp22</b:Tag>
    <b:SourceType>InternetSite</b:SourceType>
    <b:Guid>{7D91ADC7-4DC2-435A-90AE-06614D65CA20}</b:Guid>
    <b:Author>
      <b:Author>
        <b:Corporate>Alpha Spread</b:Corporate>
      </b:Author>
    </b:Author>
    <b:Title>Instrict value</b:Title>
    <b:InternetSiteTitle>Alpha Sprea</b:InternetSiteTitle>
    <b:Year>2022</b:Year>
    <b:URL>https://www.alphaspread.com/security/otc/nsrgf/summary</b:URL>
    <b:RefOrder>16</b:RefOrder>
  </b:Source>
  <b:Source>
    <b:Tag>Anm21</b:Tag>
    <b:SourceType>InternetSite</b:SourceType>
    <b:Guid>{8D05315F-C193-437A-AFEB-DCD28F3DB4D0}</b:Guid>
    <b:Author>
      <b:Author>
        <b:NameList>
          <b:Person>
            <b:Last>Karwal</b:Last>
            <b:First>Anmol</b:First>
          </b:Person>
        </b:NameList>
      </b:Author>
    </b:Author>
    <b:Title>Unilever, Nestle cut hedges before emerging market FX rebound</b:Title>
    <b:InternetSiteTitle>EuroFinance</b:InternetSiteTitle>
    <b:Year>2021</b:Year>
    <b:Month>July</b:Month>
    <b:Day>6</b:Day>
    <b:URL>https://www.eurofinance.com/news/consumer-goods-giants-bet-on-em-recovery-with-fx-hedge-reduction/</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3C66C1-89FC-49C8-B305-634118334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9903</TotalTime>
  <Pages>10</Pages>
  <Words>2618</Words>
  <Characters>14924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Lecturer - Isaiah Oino Module cod-LCBB6002</dc:subject>
  <dc:creator/>
  <cp:keywords/>
  <dc:description/>
  <cp:lastModifiedBy>alina coman</cp:lastModifiedBy>
  <cp:revision>167</cp:revision>
  <dcterms:created xsi:type="dcterms:W3CDTF">2022-07-25T17:36:00Z</dcterms:created>
  <dcterms:modified xsi:type="dcterms:W3CDTF">2022-08-05T21:39:00Z</dcterms:modified>
</cp:coreProperties>
</file>