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b/>
          <w:bCs/>
          <w:color w:val="4472C4" w:themeColor="accent1"/>
          <w:sz w:val="32"/>
          <w:szCs w:val="32"/>
          <w:lang w:val="en-GB"/>
        </w:rPr>
        <w:id w:val="-952863033"/>
        <w:docPartObj>
          <w:docPartGallery w:val="Cover Pages"/>
          <w:docPartUnique/>
        </w:docPartObj>
      </w:sdtPr>
      <w:sdtEndPr>
        <w:rPr>
          <w:color w:val="2F5496" w:themeColor="accent1" w:themeShade="BF"/>
        </w:rPr>
      </w:sdtEndPr>
      <w:sdtContent>
        <w:p w14:paraId="6161B88F" w14:textId="5570CDF8" w:rsidR="007D1CA4" w:rsidRPr="007D1CA4" w:rsidRDefault="007D1CA4">
          <w:pPr>
            <w:pStyle w:val="NoSpacing"/>
            <w:spacing w:before="1540" w:after="240"/>
            <w:jc w:val="center"/>
            <w:rPr>
              <w:b/>
              <w:bCs/>
              <w:color w:val="4472C4" w:themeColor="accent1"/>
            </w:rPr>
          </w:pPr>
          <w:r w:rsidRPr="007D1CA4">
            <w:rPr>
              <w:b/>
              <w:bCs/>
              <w:noProof/>
              <w:color w:val="4472C4" w:themeColor="accent1"/>
            </w:rPr>
            <w:drawing>
              <wp:inline distT="0" distB="0" distL="0" distR="0" wp14:anchorId="2A253A5D" wp14:editId="713CD39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4472C4" w:themeColor="accent1"/>
              <w:sz w:val="36"/>
              <w:szCs w:val="36"/>
            </w:rPr>
            <w:alias w:val="Title"/>
            <w:tag w:val=""/>
            <w:id w:val="1735040861"/>
            <w:placeholder>
              <w:docPart w:val="2C52D11F1C6D413EB6527941E58876C4"/>
            </w:placeholder>
            <w:dataBinding w:prefixMappings="xmlns:ns0='http://purl.org/dc/elements/1.1/' xmlns:ns1='http://schemas.openxmlformats.org/package/2006/metadata/core-properties' " w:xpath="/ns1:coreProperties[1]/ns0:title[1]" w:storeItemID="{6C3C8BC8-F283-45AE-878A-BAB7291924A1}"/>
            <w:text/>
          </w:sdtPr>
          <w:sdtEndPr/>
          <w:sdtContent>
            <w:p w14:paraId="7CF23763" w14:textId="4D9BA51F" w:rsidR="007D1CA4" w:rsidRPr="007D1CA4" w:rsidRDefault="00F6234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80"/>
                  <w:szCs w:val="80"/>
                </w:rPr>
              </w:pPr>
              <w:r w:rsidRPr="008E3953">
                <w:rPr>
                  <w:rFonts w:asciiTheme="majorHAnsi" w:eastAsiaTheme="majorEastAsia" w:hAnsiTheme="majorHAnsi" w:cstheme="majorBidi"/>
                  <w:b/>
                  <w:bCs/>
                  <w:caps/>
                  <w:color w:val="4472C4" w:themeColor="accent1"/>
                  <w:sz w:val="36"/>
                  <w:szCs w:val="36"/>
                </w:rPr>
                <w:t>COACHIING AND MENTORING</w:t>
              </w:r>
            </w:p>
          </w:sdtContent>
        </w:sdt>
        <w:sdt>
          <w:sdtPr>
            <w:rPr>
              <w:b/>
              <w:bCs/>
              <w:color w:val="4472C4" w:themeColor="accent1"/>
              <w:sz w:val="28"/>
              <w:szCs w:val="28"/>
            </w:rPr>
            <w:alias w:val="Subtitle"/>
            <w:tag w:val=""/>
            <w:id w:val="328029620"/>
            <w:placeholder>
              <w:docPart w:val="BB75615D61B141908F815352CD15C5D0"/>
            </w:placeholder>
            <w:dataBinding w:prefixMappings="xmlns:ns0='http://purl.org/dc/elements/1.1/' xmlns:ns1='http://schemas.openxmlformats.org/package/2006/metadata/core-properties' " w:xpath="/ns1:coreProperties[1]/ns0:subject[1]" w:storeItemID="{6C3C8BC8-F283-45AE-878A-BAB7291924A1}"/>
            <w:text/>
          </w:sdtPr>
          <w:sdtEndPr/>
          <w:sdtContent>
            <w:p w14:paraId="7343D150" w14:textId="5A55B22A" w:rsidR="007D1CA4" w:rsidRPr="007D1CA4" w:rsidRDefault="007D1CA4">
              <w:pPr>
                <w:pStyle w:val="NoSpacing"/>
                <w:jc w:val="center"/>
                <w:rPr>
                  <w:b/>
                  <w:bCs/>
                  <w:color w:val="4472C4" w:themeColor="accent1"/>
                  <w:sz w:val="28"/>
                  <w:szCs w:val="28"/>
                </w:rPr>
              </w:pPr>
              <w:r w:rsidRPr="007D1CA4">
                <w:rPr>
                  <w:b/>
                  <w:bCs/>
                  <w:color w:val="4472C4" w:themeColor="accent1"/>
                  <w:sz w:val="28"/>
                  <w:szCs w:val="28"/>
                </w:rPr>
                <w:t>BMSW6105</w:t>
              </w:r>
            </w:p>
          </w:sdtContent>
        </w:sdt>
        <w:p w14:paraId="0BC1F01D" w14:textId="77777777" w:rsidR="007D1CA4" w:rsidRPr="007D1CA4" w:rsidRDefault="007D1CA4">
          <w:pPr>
            <w:pStyle w:val="NoSpacing"/>
            <w:spacing w:before="480"/>
            <w:jc w:val="center"/>
            <w:rPr>
              <w:b/>
              <w:bCs/>
              <w:color w:val="4472C4" w:themeColor="accent1"/>
            </w:rPr>
          </w:pPr>
          <w:r w:rsidRPr="007D1CA4">
            <w:rPr>
              <w:b/>
              <w:bCs/>
              <w:noProof/>
              <w:color w:val="4472C4" w:themeColor="accent1"/>
            </w:rPr>
            <mc:AlternateContent>
              <mc:Choice Requires="wps">
                <w:drawing>
                  <wp:anchor distT="0" distB="0" distL="114300" distR="114300" simplePos="0" relativeHeight="251659264" behindDoc="0" locked="0" layoutInCell="1" allowOverlap="1" wp14:anchorId="458EC8A2" wp14:editId="11B3DB4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6A11C66" w14:textId="6EA3B503" w:rsidR="007D1CA4" w:rsidRDefault="007D1CA4">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5DCB4108" w14:textId="714A265C" w:rsidR="007D1CA4" w:rsidRPr="007D1CA4" w:rsidRDefault="00E25EB4">
                                <w:pPr>
                                  <w:pStyle w:val="NoSpacing"/>
                                  <w:jc w:val="center"/>
                                  <w:rPr>
                                    <w:b/>
                                    <w:bCs/>
                                    <w:color w:val="4472C4" w:themeColor="accent1"/>
                                  </w:rPr>
                                </w:pPr>
                                <w:sdt>
                                  <w:sdtPr>
                                    <w:rPr>
                                      <w:b/>
                                      <w:bCs/>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D1CA4" w:rsidRPr="007D1CA4">
                                      <w:rPr>
                                        <w:b/>
                                        <w:bCs/>
                                        <w:caps/>
                                        <w:color w:val="4472C4" w:themeColor="accent1"/>
                                      </w:rPr>
                                      <w:t>Natalie Jayne Sahi</w:t>
                                    </w:r>
                                  </w:sdtContent>
                                </w:sdt>
                              </w:p>
                              <w:p w14:paraId="598AB0CA" w14:textId="1F14D767" w:rsidR="007D1CA4" w:rsidRPr="007D1CA4" w:rsidRDefault="00E25EB4">
                                <w:pPr>
                                  <w:pStyle w:val="NoSpacing"/>
                                  <w:jc w:val="center"/>
                                  <w:rPr>
                                    <w:b/>
                                    <w:bCs/>
                                    <w:color w:val="4472C4" w:themeColor="accent1"/>
                                  </w:rPr>
                                </w:pPr>
                                <w:sdt>
                                  <w:sdtPr>
                                    <w:rPr>
                                      <w:b/>
                                      <w:bC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D1CA4" w:rsidRPr="007D1CA4">
                                      <w:rPr>
                                        <w:b/>
                                        <w:bCs/>
                                        <w:color w:val="4472C4" w:themeColor="accent1"/>
                                      </w:rPr>
                                      <w:t>1915519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58EC8A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6A11C66" w14:textId="6EA3B503" w:rsidR="007D1CA4" w:rsidRDefault="007D1CA4">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5DCB4108" w14:textId="714A265C" w:rsidR="007D1CA4" w:rsidRPr="007D1CA4" w:rsidRDefault="00E25EB4">
                          <w:pPr>
                            <w:pStyle w:val="NoSpacing"/>
                            <w:jc w:val="center"/>
                            <w:rPr>
                              <w:b/>
                              <w:bCs/>
                              <w:color w:val="4472C4" w:themeColor="accent1"/>
                            </w:rPr>
                          </w:pPr>
                          <w:sdt>
                            <w:sdtPr>
                              <w:rPr>
                                <w:b/>
                                <w:bCs/>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D1CA4" w:rsidRPr="007D1CA4">
                                <w:rPr>
                                  <w:b/>
                                  <w:bCs/>
                                  <w:caps/>
                                  <w:color w:val="4472C4" w:themeColor="accent1"/>
                                </w:rPr>
                                <w:t>Natalie Jayne Sahi</w:t>
                              </w:r>
                            </w:sdtContent>
                          </w:sdt>
                        </w:p>
                        <w:p w14:paraId="598AB0CA" w14:textId="1F14D767" w:rsidR="007D1CA4" w:rsidRPr="007D1CA4" w:rsidRDefault="00E25EB4">
                          <w:pPr>
                            <w:pStyle w:val="NoSpacing"/>
                            <w:jc w:val="center"/>
                            <w:rPr>
                              <w:b/>
                              <w:bCs/>
                              <w:color w:val="4472C4" w:themeColor="accent1"/>
                            </w:rPr>
                          </w:pPr>
                          <w:sdt>
                            <w:sdtPr>
                              <w:rPr>
                                <w:b/>
                                <w:bC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D1CA4" w:rsidRPr="007D1CA4">
                                <w:rPr>
                                  <w:b/>
                                  <w:bCs/>
                                  <w:color w:val="4472C4" w:themeColor="accent1"/>
                                </w:rPr>
                                <w:t>1915519</w:t>
                              </w:r>
                            </w:sdtContent>
                          </w:sdt>
                        </w:p>
                      </w:txbxContent>
                    </v:textbox>
                    <w10:wrap anchorx="margin" anchory="page"/>
                  </v:shape>
                </w:pict>
              </mc:Fallback>
            </mc:AlternateContent>
          </w:r>
          <w:r w:rsidRPr="007D1CA4">
            <w:rPr>
              <w:b/>
              <w:bCs/>
              <w:noProof/>
              <w:color w:val="4472C4" w:themeColor="accent1"/>
            </w:rPr>
            <w:drawing>
              <wp:inline distT="0" distB="0" distL="0" distR="0" wp14:anchorId="3BEFDFE6" wp14:editId="7C6D61B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1DD048D" w14:textId="56FD5DEE" w:rsidR="007D1CA4" w:rsidRPr="007D1CA4" w:rsidRDefault="007D1CA4" w:rsidP="007D1CA4">
          <w:pPr>
            <w:pStyle w:val="Heading1"/>
            <w:rPr>
              <w:b/>
              <w:bCs/>
            </w:rPr>
          </w:pPr>
          <w:r w:rsidRPr="007D1CA4">
            <w:rPr>
              <w:b/>
              <w:bCs/>
            </w:rPr>
            <w:t>1.0 Introduction</w:t>
          </w:r>
          <w:r w:rsidR="00562C34">
            <w:rPr>
              <w:b/>
              <w:bCs/>
            </w:rPr>
            <w:t>…………………………………………………………………………………..1</w:t>
          </w:r>
        </w:p>
        <w:p w14:paraId="347EF3C7" w14:textId="1D0E8B95" w:rsidR="00DD7BCE" w:rsidRPr="00DD7BCE" w:rsidRDefault="007D1CA4" w:rsidP="00DD7BCE">
          <w:pPr>
            <w:pStyle w:val="Heading1"/>
            <w:rPr>
              <w:b/>
              <w:bCs/>
            </w:rPr>
          </w:pPr>
          <w:r w:rsidRPr="007D1CA4">
            <w:rPr>
              <w:b/>
              <w:bCs/>
            </w:rPr>
            <w:t>2.0 Main Findings</w:t>
          </w:r>
          <w:r w:rsidR="00562C34">
            <w:rPr>
              <w:b/>
              <w:bCs/>
            </w:rPr>
            <w:t>……………………….……………………………………………………</w:t>
          </w:r>
          <w:r w:rsidR="00295719">
            <w:rPr>
              <w:b/>
              <w:bCs/>
            </w:rPr>
            <w:t>5</w:t>
          </w:r>
        </w:p>
        <w:p w14:paraId="01451672" w14:textId="37B54A23" w:rsidR="007D1CA4" w:rsidRPr="007D1CA4" w:rsidRDefault="007D1CA4" w:rsidP="007D1CA4">
          <w:pPr>
            <w:pStyle w:val="Heading1"/>
            <w:rPr>
              <w:b/>
              <w:bCs/>
            </w:rPr>
          </w:pPr>
          <w:r w:rsidRPr="007D1CA4">
            <w:rPr>
              <w:b/>
              <w:bCs/>
            </w:rPr>
            <w:t>3.0 Executive Summary</w:t>
          </w:r>
          <w:r w:rsidR="00562C34">
            <w:rPr>
              <w:b/>
              <w:bCs/>
            </w:rPr>
            <w:t>……………………………………………………………………</w:t>
          </w:r>
          <w:r w:rsidR="00680841">
            <w:rPr>
              <w:b/>
              <w:bCs/>
            </w:rPr>
            <w:t>1</w:t>
          </w:r>
        </w:p>
        <w:p w14:paraId="4EE7A41A" w14:textId="695B00FB" w:rsidR="007D1CA4" w:rsidRPr="007D1CA4" w:rsidRDefault="007D1CA4" w:rsidP="007D1CA4">
          <w:pPr>
            <w:pStyle w:val="Heading1"/>
            <w:rPr>
              <w:b/>
              <w:bCs/>
            </w:rPr>
          </w:pPr>
          <w:r w:rsidRPr="007D1CA4">
            <w:rPr>
              <w:b/>
              <w:bCs/>
            </w:rPr>
            <w:t>4.0 Conclusion</w:t>
          </w:r>
          <w:r w:rsidR="00562C34">
            <w:rPr>
              <w:b/>
              <w:bCs/>
            </w:rPr>
            <w:t>…………………………………………………………………………………</w:t>
          </w:r>
          <w:r w:rsidR="00680841">
            <w:rPr>
              <w:b/>
              <w:bCs/>
            </w:rPr>
            <w:t>1</w:t>
          </w:r>
          <w:r w:rsidRPr="007D1CA4">
            <w:rPr>
              <w:b/>
              <w:bCs/>
            </w:rPr>
            <w:t xml:space="preserve"> </w:t>
          </w:r>
        </w:p>
        <w:p w14:paraId="050CF883" w14:textId="77777777" w:rsidR="007D1CA4" w:rsidRPr="007D1CA4" w:rsidRDefault="007D1CA4" w:rsidP="007D1CA4">
          <w:pPr>
            <w:pStyle w:val="Heading1"/>
            <w:rPr>
              <w:b/>
              <w:bCs/>
            </w:rPr>
          </w:pPr>
        </w:p>
        <w:p w14:paraId="238EE364" w14:textId="7E7677C0" w:rsidR="007D1CA4" w:rsidRPr="007D1CA4" w:rsidRDefault="007D1CA4" w:rsidP="007D1CA4">
          <w:pPr>
            <w:pStyle w:val="Heading1"/>
            <w:rPr>
              <w:b/>
              <w:bCs/>
            </w:rPr>
          </w:pPr>
          <w:r w:rsidRPr="007D1CA4">
            <w:rPr>
              <w:b/>
              <w:bCs/>
            </w:rPr>
            <w:br w:type="page"/>
          </w:r>
        </w:p>
      </w:sdtContent>
    </w:sdt>
    <w:p w14:paraId="709CE89C" w14:textId="6488C860" w:rsidR="007D1CA4" w:rsidRPr="00B90C99" w:rsidRDefault="007D1CA4" w:rsidP="007D1CA4">
      <w:pPr>
        <w:pStyle w:val="Heading1"/>
        <w:rPr>
          <w:b/>
          <w:bCs/>
          <w:u w:val="single"/>
        </w:rPr>
      </w:pPr>
      <w:r w:rsidRPr="00B90C99">
        <w:rPr>
          <w:b/>
          <w:bCs/>
          <w:u w:val="single"/>
        </w:rPr>
        <w:lastRenderedPageBreak/>
        <w:t xml:space="preserve">1.0 Introduction </w:t>
      </w:r>
    </w:p>
    <w:p w14:paraId="7B9A931D" w14:textId="77777777" w:rsidR="00076F66" w:rsidRDefault="007D1CA4" w:rsidP="00232155">
      <w:r>
        <w:t xml:space="preserve">The purpose of this report </w:t>
      </w:r>
      <w:r w:rsidR="00232155">
        <w:t xml:space="preserve">is to identify </w:t>
      </w:r>
      <w:r w:rsidR="00E52770">
        <w:t>the</w:t>
      </w:r>
      <w:r w:rsidR="00232155">
        <w:t xml:space="preserve"> developing trends towards coaching </w:t>
      </w:r>
      <w:r w:rsidR="000F0158">
        <w:t xml:space="preserve">and </w:t>
      </w:r>
      <w:r w:rsidR="00076F66">
        <w:t xml:space="preserve">mentoring </w:t>
      </w:r>
      <w:r w:rsidR="00232155">
        <w:t>cultures which can support the growth of professional learning towards an organisation and its stakeholders.</w:t>
      </w:r>
    </w:p>
    <w:p w14:paraId="6001F045" w14:textId="740AA9C8" w:rsidR="00232155" w:rsidRPr="00023D2D" w:rsidRDefault="00232155" w:rsidP="00232155">
      <w:r>
        <w:t xml:space="preserve">Coaching and Mentoring in today’s environment leads and provides guidance to a colleague towards their goals within their job role, this approach can support people to reach their full potential. </w:t>
      </w:r>
    </w:p>
    <w:p w14:paraId="6E7BF891" w14:textId="456B7E0D" w:rsidR="007D1CA4" w:rsidRDefault="007D1CA4" w:rsidP="007D1CA4"/>
    <w:p w14:paraId="37DEDC6C" w14:textId="711BFAFC" w:rsidR="00C26A7A" w:rsidRPr="00C26A7A" w:rsidRDefault="00232155" w:rsidP="00C26A7A">
      <w:pPr>
        <w:pStyle w:val="Heading1"/>
        <w:rPr>
          <w:b/>
          <w:bCs/>
          <w:u w:val="single"/>
        </w:rPr>
      </w:pPr>
      <w:r>
        <w:rPr>
          <w:b/>
          <w:bCs/>
          <w:u w:val="single"/>
        </w:rPr>
        <w:t xml:space="preserve">2.0 </w:t>
      </w:r>
      <w:r w:rsidR="00C26A7A" w:rsidRPr="00C26A7A">
        <w:rPr>
          <w:b/>
          <w:bCs/>
          <w:u w:val="single"/>
        </w:rPr>
        <w:t>Main Findings</w:t>
      </w:r>
    </w:p>
    <w:p w14:paraId="5AC38D77" w14:textId="5E16C73E" w:rsidR="00F62345" w:rsidRPr="00496A82" w:rsidRDefault="00232155" w:rsidP="00023D2D">
      <w:pPr>
        <w:pStyle w:val="Heading1"/>
        <w:rPr>
          <w:sz w:val="22"/>
          <w:szCs w:val="22"/>
        </w:rPr>
      </w:pPr>
      <w:r w:rsidRPr="00496A82">
        <w:rPr>
          <w:sz w:val="22"/>
          <w:szCs w:val="22"/>
        </w:rPr>
        <w:t>2</w:t>
      </w:r>
      <w:r w:rsidR="00023D2D" w:rsidRPr="00496A82">
        <w:rPr>
          <w:sz w:val="22"/>
          <w:szCs w:val="22"/>
        </w:rPr>
        <w:t xml:space="preserve">.1 </w:t>
      </w:r>
      <w:r w:rsidR="00944E6E" w:rsidRPr="00496A82">
        <w:rPr>
          <w:sz w:val="22"/>
          <w:szCs w:val="22"/>
        </w:rPr>
        <w:t xml:space="preserve">Define </w:t>
      </w:r>
      <w:r w:rsidR="00023D2D" w:rsidRPr="00496A82">
        <w:rPr>
          <w:sz w:val="22"/>
          <w:szCs w:val="22"/>
        </w:rPr>
        <w:t xml:space="preserve">Coaching </w:t>
      </w:r>
      <w:r w:rsidR="00C367E5">
        <w:rPr>
          <w:sz w:val="22"/>
          <w:szCs w:val="22"/>
        </w:rPr>
        <w:t>(Task</w:t>
      </w:r>
      <w:r w:rsidR="00DA11F3">
        <w:rPr>
          <w:sz w:val="22"/>
          <w:szCs w:val="22"/>
        </w:rPr>
        <w:t xml:space="preserve">.1) </w:t>
      </w:r>
    </w:p>
    <w:p w14:paraId="22280032" w14:textId="77D14896" w:rsidR="002D73E5" w:rsidRPr="000D0F48" w:rsidRDefault="000D0F48" w:rsidP="00E01E57">
      <w:r w:rsidRPr="000D0F48">
        <w:t>Coaching leadership is the process of educating, counselling, or instructing a person or a group to accomplish and improve productivity or to overcome a performance problem. According to Whitmore (2002), coaching is one of the fastest growing professions in today's environment; proof of the influence of coaching identified that one must encourage a person to accomplish and maximise their potential to raise their performance. Lashaway (2015)  In peer coaching groups, the benefits of one-on-one coaching are blended with the power of peer-to-peer learning. They are regular gatherings of four to six persons from equivalent organisational levels who convene to carry out a coaching engagement.</w:t>
      </w:r>
      <w:bookmarkStart w:id="0" w:name="_GoBack"/>
      <w:bookmarkEnd w:id="0"/>
      <w:r w:rsidR="00E43528" w:rsidRPr="00AC7236">
        <w:rPr>
          <w:shd w:val="clear" w:color="auto" w:fill="FFFFFF"/>
        </w:rPr>
        <w:t>They can manage the quality of the coaching experience without the need for a professional coach to be present. In a peer coaching group, each person takes turns serving as a coache</w:t>
      </w:r>
      <w:r w:rsidR="00E43528">
        <w:rPr>
          <w:shd w:val="clear" w:color="auto" w:fill="FFFFFF"/>
        </w:rPr>
        <w:t>e</w:t>
      </w:r>
      <w:r w:rsidR="00E43528" w:rsidRPr="00AC7236">
        <w:rPr>
          <w:shd w:val="clear" w:color="auto" w:fill="FFFFFF"/>
        </w:rPr>
        <w:t>, and everyone works together to coach one another using tools created expressly to draw on the collective knowledge, wisdom, and experience of the group.</w:t>
      </w:r>
      <w:r w:rsidR="00E43528">
        <w:rPr>
          <w:shd w:val="clear" w:color="auto" w:fill="FFFFFF"/>
        </w:rPr>
        <w:t xml:space="preserve"> </w:t>
      </w:r>
      <w:r w:rsidR="002D73E5" w:rsidRPr="002D73E5">
        <w:t>As stated, the benefits of coaching employees through a learning process rather than teaching them. Coaching can be a very effective way to connect with people who may need guidance on problematic situations that occurs within the workplace. Coaching is essential to any manager's role to ensure teams improve their performance by receiving valuable guidance. Rider (2002) Stated Utilising the Royal Bank of Scotland Group (RBSG) as an illustration to discuss how to use coaching's advantages at a strategic level instead of emphasising only personal growth. This demonstrates how many organisations are missing out on coaching vast benefits by only considering it as a personal development tool. With minimal organisational impact, this is categorised as first-generation coaching. When organisations adopt a quality control approach and assess the coaching intervention's effectiveness, further benefits may be achieved by coaching the advantages of the first and second generations while also utilising and sharing the knowledge the coach acquires about the company benefits.</w:t>
      </w:r>
    </w:p>
    <w:p w14:paraId="7A5D414E" w14:textId="46C9524E" w:rsidR="006F239D" w:rsidRDefault="006F239D" w:rsidP="00E01E57">
      <w:r w:rsidRPr="006F239D">
        <w:t>Sally (2022) Clarified how most organisational coaching is dyadic (one-to-one). Individual coaching can generally last up to 6 to 12 hours which can be time-consuming, especially when a leader within an organisation work in a challenging environment. More models of group coaching have been established, despite significant research and practice in organisational development that suggests interventions in organisations should focus on group coaching. Group coaching can provide a scalable way for personal and professional development that leads to lasting behavioural change and growth. Organisations that adopt a coaching Model called GROUP, which is Goal, Reality, Options, Understanding Others, Perform) incorporate the well-known GROW Goal, Reality, Options, Way framework. In group coaching, many people are learning and growing simultaneously, which provides organisations with a scalable way to support employees through change.</w:t>
      </w:r>
    </w:p>
    <w:p w14:paraId="0AB05947" w14:textId="4A0A244D" w:rsidR="00944E6E" w:rsidRPr="00496A82" w:rsidRDefault="00496A82" w:rsidP="00D400EA">
      <w:pPr>
        <w:pStyle w:val="Heading1"/>
        <w:rPr>
          <w:sz w:val="22"/>
          <w:szCs w:val="22"/>
        </w:rPr>
      </w:pPr>
      <w:r w:rsidRPr="00496A82">
        <w:rPr>
          <w:sz w:val="22"/>
          <w:szCs w:val="22"/>
        </w:rPr>
        <w:lastRenderedPageBreak/>
        <w:t xml:space="preserve">2.2 </w:t>
      </w:r>
      <w:r w:rsidR="00E53A2F">
        <w:rPr>
          <w:sz w:val="22"/>
          <w:szCs w:val="22"/>
        </w:rPr>
        <w:t xml:space="preserve">Define Mentoring </w:t>
      </w:r>
    </w:p>
    <w:p w14:paraId="46E3F5C2" w14:textId="60758F06" w:rsidR="000B4A24" w:rsidRDefault="00900492" w:rsidP="006D7BA8">
      <w:r>
        <w:t xml:space="preserve">Hamilton (2002) </w:t>
      </w:r>
      <w:r w:rsidR="006F239D">
        <w:t>Me</w:t>
      </w:r>
      <w:r w:rsidR="007A43B6">
        <w:t xml:space="preserve">ntoring </w:t>
      </w:r>
      <w:r w:rsidR="00C90E1C">
        <w:t xml:space="preserve">provides </w:t>
      </w:r>
      <w:r w:rsidR="00657EC7">
        <w:t xml:space="preserve">social support to </w:t>
      </w:r>
      <w:r w:rsidR="006A7D65">
        <w:t>individuals as a guidance</w:t>
      </w:r>
      <w:r w:rsidR="00AA7F16">
        <w:t xml:space="preserve"> to navigate them through new experiences and challenges. </w:t>
      </w:r>
      <w:r w:rsidR="00656C15">
        <w:t xml:space="preserve">Mentoring in the workplace </w:t>
      </w:r>
      <w:r w:rsidR="00CB6A23">
        <w:t xml:space="preserve">can be </w:t>
      </w:r>
      <w:r w:rsidR="009F6D12">
        <w:t>somewhat</w:t>
      </w:r>
      <w:r w:rsidR="00CB6A23">
        <w:t xml:space="preserve"> different compared to coaching</w:t>
      </w:r>
      <w:r w:rsidR="00E15EC1">
        <w:t>.</w:t>
      </w:r>
      <w:r w:rsidR="009033A2">
        <w:t xml:space="preserve"> </w:t>
      </w:r>
      <w:r w:rsidR="00E15EC1" w:rsidRPr="00E15EC1">
        <w:t>The best environments for individual mentoring interactions are workplaces. Mentors must apply sophisticated teaching behaviours, which the authors identify as reflective questioning and problem solving, to instil the abilities necessary in modern workplaces many of which are also applicable in other environments.</w:t>
      </w:r>
      <w:r w:rsidR="003921BC">
        <w:t xml:space="preserve"> </w:t>
      </w:r>
      <w:r w:rsidR="00C45BC1">
        <w:t xml:space="preserve">Singh (2002) </w:t>
      </w:r>
      <w:r w:rsidR="000B4A24" w:rsidRPr="000B4A24">
        <w:t>mentorship can play a crucial role in transferring knowledge, skills, and attitudes from experienced workers, as was recognised in a study conducted in a university context where the professor mentored students in a formal activity. A vital tool for knowledge sharing in an organisation is mentoring. People with creative thinking abilities can mix basic elements in novel ways to produce innovative output. They consist of unconventional thinking, perceptual styles, and cognitive styles. Through mentoring, creative mentors have successfully imparted these two sorts of mentoring talents to their students.</w:t>
      </w:r>
    </w:p>
    <w:p w14:paraId="18FCB27F" w14:textId="355807A5" w:rsidR="007E4FA3" w:rsidRDefault="007E4FA3" w:rsidP="007E4FA3">
      <w:pPr>
        <w:pStyle w:val="Heading1"/>
        <w:rPr>
          <w:sz w:val="22"/>
          <w:szCs w:val="22"/>
        </w:rPr>
      </w:pPr>
      <w:r>
        <w:rPr>
          <w:sz w:val="22"/>
          <w:szCs w:val="22"/>
        </w:rPr>
        <w:t>2.3 Sim</w:t>
      </w:r>
      <w:r w:rsidR="00FB379C">
        <w:rPr>
          <w:sz w:val="22"/>
          <w:szCs w:val="22"/>
        </w:rPr>
        <w:t xml:space="preserve">ilarities between Coaching and Mentoring </w:t>
      </w:r>
    </w:p>
    <w:p w14:paraId="203E7B7D" w14:textId="3B688519" w:rsidR="002F44EC" w:rsidRDefault="002F44EC" w:rsidP="008226F0">
      <w:r w:rsidRPr="002F44EC">
        <w:t>MacLennan (1995) When a person excels as a coach, the positions merge. He or she is most likely to be chosen as a coaching skills mentor. The opposite is untrue. A mentor can only become a coach if they consciously develop the abilities necessary for adequate coaching time to be truthful. The performer's ability to accomplish more is the coach's primary focus. The mentor wants to be a resource that the performer can use. If a mentor has the fundamental management, people, and teaching or training abilities, they may do the function satisfactorily. An excellent coach must possess the knowledge, skills, and abilities to support performers without giving instructions. The distinctions between coaches and mentors are not established in theory, as is customary with definitions, but rather in actuality. The boundaries of each position are determined by what the organisation establishes for that role.</w:t>
      </w:r>
    </w:p>
    <w:p w14:paraId="32EE4456" w14:textId="31C45570" w:rsidR="00961CE1" w:rsidRPr="00961CE1" w:rsidRDefault="00961CE1" w:rsidP="00961CE1">
      <w:pPr>
        <w:pStyle w:val="Heading1"/>
        <w:rPr>
          <w:sz w:val="22"/>
          <w:szCs w:val="22"/>
          <w:shd w:val="clear" w:color="auto" w:fill="FFFFFF"/>
        </w:rPr>
      </w:pPr>
      <w:r w:rsidRPr="00961CE1">
        <w:rPr>
          <w:sz w:val="22"/>
          <w:szCs w:val="22"/>
          <w:shd w:val="clear" w:color="auto" w:fill="FFFFFF"/>
        </w:rPr>
        <w:t xml:space="preserve">2.4 Compare Coaching and Mentoring </w:t>
      </w:r>
    </w:p>
    <w:p w14:paraId="02F5612B" w14:textId="254D0DCA" w:rsidR="00FD3789" w:rsidRDefault="007274B3" w:rsidP="00056450">
      <w:pPr>
        <w:rPr>
          <w:shd w:val="clear" w:color="auto" w:fill="FFFFFF"/>
        </w:rPr>
      </w:pPr>
      <w:r>
        <w:rPr>
          <w:shd w:val="clear" w:color="auto" w:fill="FFFFFF"/>
        </w:rPr>
        <w:t xml:space="preserve">McCarthy (2013) </w:t>
      </w:r>
      <w:r w:rsidR="00056450" w:rsidRPr="00056450">
        <w:rPr>
          <w:shd w:val="clear" w:color="auto" w:fill="FFFFFF"/>
        </w:rPr>
        <w:t>Clutterbuck helps us recognise the changes that occur over time and in various circumstances by expressing the concepts of coaching and mentoring at a specific period. These changes can nearly be unnoticed unless someone focuses our attention on them. This article examines the differences between coaching and mentoring and highlights the definitions of mentoring that are evident in Clutterbuck's work.</w:t>
      </w:r>
    </w:p>
    <w:p w14:paraId="1816C604" w14:textId="1FD3626F" w:rsidR="00FD3789" w:rsidRDefault="00FD3789" w:rsidP="00056450">
      <w:pPr>
        <w:rPr>
          <w:shd w:val="clear" w:color="auto" w:fill="FFFFFF"/>
        </w:rPr>
      </w:pPr>
      <w:r w:rsidRPr="00FD3789">
        <w:rPr>
          <w:shd w:val="clear" w:color="auto" w:fill="FFFFFF"/>
        </w:rPr>
        <w:t xml:space="preserve">It is feasible for people to engage in an engaging discussion on mentoring without being aware that they are discussing very different procedures with different applications and goals. Clutterbuck emphasises critical distinctions between the American and European approaches. The sponsorship model of mentoring is well-liked in North America, where mentors support their proteges by opening doors and using their influence. Then there are European versions, which are now practised in America, where mentors assist their mentees in reflecting on the present and making decisions for the future. On the other side, Clutterbuck argues that one of the new trends is that senior European managers are increasingly adopting the American mentoring style in some masculine, task-driven cultures. Organisations that want to promote mentoring should be clear about the goals they have for mentoring and then think about the best way to get there. For instance, what kind of mentoring and coaching would work best together? The relationship is the most significant indicator of success in mentoring, just like it is in coaching. Clutterbuck (2008) According to Clutterbuck's research, informal mentoring is more successful than formal mentoring. Therefore, this may be the case because mentoring can typically be reviewed through formal systems, where the pairing may or may not be successful, but choosing a mentor in an informal relationship strengthens the bond between the two parties. A mentoring relationship typically lasts longer than a coaching relationship and </w:t>
      </w:r>
      <w:r w:rsidRPr="00FD3789">
        <w:rPr>
          <w:shd w:val="clear" w:color="auto" w:fill="FFFFFF"/>
        </w:rPr>
        <w:lastRenderedPageBreak/>
        <w:t>develops over time; therefore, it should be assessed regularly to determine whether to continue, switch to a different mentor, or have multiple mentors at once. Garvey (2012) The recent proliferation of coaching approaches is one distinction between coaching and mentoring that Clutterbuck's work does not make obvious. While numerous methods, can be employed in mentoring, research on mentoring can process diverse types of input rather than discussing them. This can be due to the increased commercialisation of coaching, which requires coaches to stand out, or because people who utilise coaching services seek the coaches' coaching ideas. However, in the end, the relationship creates excellent outcomes, not the structure or model the coach implements.</w:t>
      </w:r>
    </w:p>
    <w:p w14:paraId="4F6312F3" w14:textId="75E10915" w:rsidR="008A590D" w:rsidRPr="008A590D" w:rsidRDefault="008A590D" w:rsidP="008A590D">
      <w:pPr>
        <w:pStyle w:val="Heading1"/>
        <w:rPr>
          <w:sz w:val="22"/>
          <w:szCs w:val="22"/>
          <w:shd w:val="clear" w:color="auto" w:fill="FFFFFF"/>
        </w:rPr>
      </w:pPr>
      <w:r w:rsidRPr="008A590D">
        <w:rPr>
          <w:sz w:val="22"/>
          <w:szCs w:val="22"/>
          <w:shd w:val="clear" w:color="auto" w:fill="FFFFFF"/>
        </w:rPr>
        <w:t xml:space="preserve">2.5 Tangible and intangible benefits of coaching and mentoring </w:t>
      </w:r>
    </w:p>
    <w:p w14:paraId="60B6BDE5" w14:textId="575DA00C" w:rsidR="005B4D97" w:rsidRDefault="005B4D97" w:rsidP="005B4D97"/>
    <w:p w14:paraId="3DD1DEC6" w14:textId="375C39C8" w:rsidR="00056450" w:rsidRDefault="00056450" w:rsidP="005B4D97"/>
    <w:p w14:paraId="68217E0D" w14:textId="77777777" w:rsidR="00056450" w:rsidRPr="005B4D97" w:rsidRDefault="00056450" w:rsidP="005B4D97"/>
    <w:p w14:paraId="4FE5B16F" w14:textId="77777777" w:rsidR="006D7BA8" w:rsidRDefault="006D7BA8" w:rsidP="006D7BA8"/>
    <w:p w14:paraId="7D513BBE" w14:textId="469EA9D2" w:rsidR="004F7134" w:rsidRPr="00C43FBB" w:rsidRDefault="00C43FBB" w:rsidP="00634692">
      <w:pPr>
        <w:pStyle w:val="Heading1"/>
        <w:rPr>
          <w:b/>
          <w:bCs/>
          <w:u w:val="single"/>
        </w:rPr>
      </w:pPr>
      <w:r w:rsidRPr="00C43FBB">
        <w:rPr>
          <w:b/>
          <w:bCs/>
          <w:u w:val="single"/>
        </w:rPr>
        <w:t>References</w:t>
      </w:r>
      <w:r w:rsidR="009E009F" w:rsidRPr="00C43FBB">
        <w:rPr>
          <w:b/>
          <w:bCs/>
          <w:u w:val="single"/>
        </w:rPr>
        <w:t xml:space="preserve"> </w:t>
      </w:r>
    </w:p>
    <w:p w14:paraId="6F989F89" w14:textId="77777777" w:rsidR="0082325A" w:rsidRDefault="0082325A" w:rsidP="0082325A">
      <w:pP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0"/>
          <w:szCs w:val="20"/>
          <w:lang w:eastAsia="en-GB"/>
        </w:rPr>
      </w:pPr>
    </w:p>
    <w:p w14:paraId="491D9E6D" w14:textId="52D60D8E" w:rsidR="00EB5EF9" w:rsidRDefault="00EB5EF9" w:rsidP="00885893">
      <w:pPr>
        <w:rPr>
          <w:lang w:eastAsia="en-GB"/>
        </w:rPr>
      </w:pPr>
      <w:r>
        <w:rPr>
          <w:lang w:eastAsia="en-GB"/>
        </w:rPr>
        <w:t xml:space="preserve">Clutterbuck, D 2008. What’s happening in coaching and mentoring? And what is the difference between then? Development and Learning in Organizations 22(4):8-10. </w:t>
      </w:r>
    </w:p>
    <w:p w14:paraId="78D2CFA2" w14:textId="3DDD41E9" w:rsidR="005C2ADC" w:rsidRDefault="005C2ADC" w:rsidP="00885893">
      <w:pPr>
        <w:rPr>
          <w:lang w:eastAsia="en-GB"/>
        </w:rPr>
      </w:pPr>
      <w:r>
        <w:rPr>
          <w:lang w:eastAsia="en-GB"/>
        </w:rPr>
        <w:t>Garvey, B., P. Stokes &amp; S. Megginson. 2018. Coaching and Mentoring: Theory &amp; Practice, 3</w:t>
      </w:r>
      <w:r w:rsidRPr="005C2ADC">
        <w:rPr>
          <w:vertAlign w:val="superscript"/>
          <w:lang w:eastAsia="en-GB"/>
        </w:rPr>
        <w:t>rd</w:t>
      </w:r>
      <w:r>
        <w:rPr>
          <w:lang w:eastAsia="en-GB"/>
        </w:rPr>
        <w:t xml:space="preserve"> Edition, London: Sage.</w:t>
      </w:r>
    </w:p>
    <w:p w14:paraId="10606279" w14:textId="2129786A" w:rsidR="005C2ADC" w:rsidRDefault="005C2ADC" w:rsidP="00885893">
      <w:pPr>
        <w:rPr>
          <w:lang w:eastAsia="en-GB"/>
        </w:rPr>
      </w:pPr>
      <w:r w:rsidRPr="00CD3A07">
        <w:t xml:space="preserve">Hamilton, M.A. and Hamilton, S.F. (2002) “Why mentoring in the workplace works,” </w:t>
      </w:r>
      <w:r w:rsidRPr="00CD3A07">
        <w:rPr>
          <w:i/>
          <w:iCs/>
        </w:rPr>
        <w:t>New Directions for Youth Development</w:t>
      </w:r>
      <w:r w:rsidRPr="00CD3A07">
        <w:t xml:space="preserve">, 2002(93), pp. 59–89. Available at: </w:t>
      </w:r>
      <w:hyperlink r:id="rId12" w:history="1">
        <w:r w:rsidRPr="00CD3A07">
          <w:rPr>
            <w:rStyle w:val="Hyperlink"/>
          </w:rPr>
          <w:t>https://doi.org/10.1002/yd.23320029306</w:t>
        </w:r>
      </w:hyperlink>
      <w:r w:rsidRPr="00CD3A07">
        <w:t>.</w:t>
      </w:r>
    </w:p>
    <w:p w14:paraId="128DF0AF" w14:textId="77777777" w:rsidR="005C2ADC" w:rsidRPr="00885893" w:rsidRDefault="005C2ADC" w:rsidP="005C2ADC">
      <w:pPr>
        <w:rPr>
          <w:lang w:eastAsia="en-GB"/>
        </w:rPr>
      </w:pPr>
      <w:r>
        <w:rPr>
          <w:lang w:eastAsia="en-GB"/>
        </w:rPr>
        <w:t xml:space="preserve">Lashaway.Bokina, N. </w:t>
      </w:r>
      <w:r w:rsidRPr="00885893">
        <w:rPr>
          <w:lang w:eastAsia="en-GB"/>
        </w:rPr>
        <w:t xml:space="preserve">‘AITD’S mentoring program’ (2015) Training &amp; Development. Surry Hills, New South Wales, Australia: Australian Institute of Training and Development, 42(5), p. 27. </w:t>
      </w:r>
      <w:hyperlink r:id="rId13" w:history="1">
        <w:r w:rsidRPr="00885893">
          <w:rPr>
            <w:rStyle w:val="Hyperlink"/>
            <w:rFonts w:ascii="Courier New" w:eastAsia="Times New Roman" w:hAnsi="Courier New" w:cs="Courier New"/>
            <w:lang w:eastAsia="en-GB"/>
          </w:rPr>
          <w:t>https://search.informit.org/doi/10.3316/informit.722478957515517</w:t>
        </w:r>
      </w:hyperlink>
      <w:r w:rsidRPr="00885893">
        <w:rPr>
          <w:lang w:eastAsia="en-GB"/>
        </w:rPr>
        <w:t xml:space="preserve">. </w:t>
      </w:r>
    </w:p>
    <w:p w14:paraId="6F3F1FEB" w14:textId="721082BB" w:rsidR="009268B3" w:rsidRDefault="009268B3" w:rsidP="00885893">
      <w:pPr>
        <w:rPr>
          <w:color w:val="222222"/>
          <w:shd w:val="clear" w:color="auto" w:fill="FFFFFF"/>
        </w:rPr>
      </w:pPr>
      <w:r>
        <w:rPr>
          <w:color w:val="222222"/>
          <w:shd w:val="clear" w:color="auto" w:fill="FFFFFF"/>
        </w:rPr>
        <w:t>MacLennan, N. (1995). Coaching and Mentoring (1</w:t>
      </w:r>
      <w:r w:rsidRPr="009268B3">
        <w:rPr>
          <w:color w:val="222222"/>
          <w:shd w:val="clear" w:color="auto" w:fill="FFFFFF"/>
          <w:vertAlign w:val="superscript"/>
        </w:rPr>
        <w:t>st</w:t>
      </w:r>
      <w:r>
        <w:rPr>
          <w:color w:val="222222"/>
          <w:shd w:val="clear" w:color="auto" w:fill="FFFFFF"/>
        </w:rPr>
        <w:t xml:space="preserve"> ed.) Routledge. </w:t>
      </w:r>
      <w:hyperlink r:id="rId14" w:history="1">
        <w:r w:rsidR="00724581" w:rsidRPr="00DE1567">
          <w:rPr>
            <w:rStyle w:val="Hyperlink"/>
            <w:shd w:val="clear" w:color="auto" w:fill="FFFFFF"/>
          </w:rPr>
          <w:t>https://doi.org/10.4324/9781315260051</w:t>
        </w:r>
      </w:hyperlink>
      <w:r w:rsidR="00724581">
        <w:rPr>
          <w:color w:val="222222"/>
          <w:shd w:val="clear" w:color="auto" w:fill="FFFFFF"/>
        </w:rPr>
        <w:t xml:space="preserve">. </w:t>
      </w:r>
    </w:p>
    <w:p w14:paraId="4D6A531B" w14:textId="6BD54183" w:rsidR="005C2ADC" w:rsidRDefault="005C2ADC" w:rsidP="00885893">
      <w:pPr>
        <w:rPr>
          <w:color w:val="222222"/>
          <w:shd w:val="clear" w:color="auto" w:fill="FFFFFF"/>
        </w:rPr>
      </w:pPr>
      <w:r>
        <w:rPr>
          <w:color w:val="222222"/>
          <w:shd w:val="clear" w:color="auto" w:fill="FFFFFF"/>
        </w:rPr>
        <w:t xml:space="preserve">McCarthy, G (2013). David Clutterbuck, mentoring and coaching: a commentary. International Journal of Sports Science and Coaching, 8 (1), 199-200. </w:t>
      </w:r>
    </w:p>
    <w:p w14:paraId="6A998FEC" w14:textId="000C4DC1" w:rsidR="005C2ADC" w:rsidRDefault="005C2ADC" w:rsidP="00885893">
      <w:pPr>
        <w:rPr>
          <w:color w:val="222222"/>
          <w:shd w:val="clear" w:color="auto" w:fill="FFFFFF"/>
        </w:rPr>
      </w:pPr>
      <w:r>
        <w:rPr>
          <w:color w:val="222222"/>
          <w:shd w:val="clear" w:color="auto" w:fill="FFFFFF"/>
        </w:rPr>
        <w:t xml:space="preserve">Sally Bonneywell, Judie Gannon. (2022) Maximising female leader development through simultaneous individual and group coaching. Coaching: An International Journal of Theory, Research and Practice 15:2, pages 180-196. </w:t>
      </w:r>
    </w:p>
    <w:p w14:paraId="54DF2A81" w14:textId="77777777" w:rsidR="005C2ADC" w:rsidRDefault="005C2ADC" w:rsidP="005C2ADC">
      <w:pPr>
        <w:rPr>
          <w:color w:val="222222"/>
          <w:shd w:val="clear" w:color="auto" w:fill="FFFFFF"/>
        </w:rPr>
      </w:pPr>
      <w:r w:rsidRPr="00CD3A07">
        <w:rPr>
          <w:color w:val="222222"/>
          <w:shd w:val="clear" w:color="auto" w:fill="FFFFFF"/>
        </w:rPr>
        <w:t>Singh, V., Bains, D. and Vinnicombe, S., 2002. Informal mentoring as an organisational resource. </w:t>
      </w:r>
      <w:r w:rsidRPr="00CD3A07">
        <w:rPr>
          <w:i/>
          <w:iCs/>
          <w:color w:val="222222"/>
          <w:shd w:val="clear" w:color="auto" w:fill="FFFFFF"/>
        </w:rPr>
        <w:t>Long range planning</w:t>
      </w:r>
      <w:r w:rsidRPr="00CD3A07">
        <w:rPr>
          <w:color w:val="222222"/>
          <w:shd w:val="clear" w:color="auto" w:fill="FFFFFF"/>
        </w:rPr>
        <w:t>, </w:t>
      </w:r>
      <w:r w:rsidRPr="00CD3A07">
        <w:rPr>
          <w:i/>
          <w:iCs/>
          <w:color w:val="222222"/>
          <w:shd w:val="clear" w:color="auto" w:fill="FFFFFF"/>
        </w:rPr>
        <w:t>35</w:t>
      </w:r>
      <w:r w:rsidRPr="00CD3A07">
        <w:rPr>
          <w:color w:val="222222"/>
          <w:shd w:val="clear" w:color="auto" w:fill="FFFFFF"/>
        </w:rPr>
        <w:t xml:space="preserve">(4), pp.389-405. </w:t>
      </w:r>
    </w:p>
    <w:p w14:paraId="7AAAA16C" w14:textId="11769379" w:rsidR="00563B84" w:rsidRPr="00CD3A07" w:rsidRDefault="006C03F6" w:rsidP="007244F9">
      <w:r w:rsidRPr="00CD3A07">
        <w:t>W</w:t>
      </w:r>
      <w:r w:rsidR="00BA5F30" w:rsidRPr="00CD3A07">
        <w:t>hitmore J., Coaching for Performance: GROWING People, Performance and Purpose</w:t>
      </w:r>
      <w:r w:rsidR="000E39E8" w:rsidRPr="00CD3A07">
        <w:t>, 3ed edn., Nicholas Brealy Publishing. London</w:t>
      </w:r>
      <w:r w:rsidR="00A30D3A" w:rsidRPr="00CD3A07">
        <w:t xml:space="preserve">, 2002. </w:t>
      </w:r>
    </w:p>
    <w:p w14:paraId="462C4F80" w14:textId="378FEDE7" w:rsidR="0086472E" w:rsidRDefault="0086472E" w:rsidP="0086472E">
      <w:pPr>
        <w:rPr>
          <w:shd w:val="clear" w:color="auto" w:fill="FFFFFF"/>
        </w:rPr>
      </w:pPr>
      <w:bookmarkStart w:id="1" w:name="_Hlk121076702"/>
      <w:r>
        <w:rPr>
          <w:shd w:val="clear" w:color="auto" w:fill="FFFFFF"/>
        </w:rPr>
        <w:t>( Lashaway (2015)</w:t>
      </w:r>
      <w:r w:rsidRPr="00AC7236">
        <w:t xml:space="preserve"> </w:t>
      </w:r>
      <w:r w:rsidRPr="00AC7236">
        <w:rPr>
          <w:shd w:val="clear" w:color="auto" w:fill="FFFFFF"/>
        </w:rPr>
        <w:t xml:space="preserve">The advantages of one-on-one coaching and the strength of peer-to-peer learning are combined in peer coaching groups. They are frequent gatherings of four to six people from comparable organisational levels who are meeting to carry out a coaching contract. They can </w:t>
      </w:r>
      <w:r w:rsidRPr="00AC7236">
        <w:rPr>
          <w:shd w:val="clear" w:color="auto" w:fill="FFFFFF"/>
        </w:rPr>
        <w:lastRenderedPageBreak/>
        <w:t>manage the quality of the coaching experience without the need for a professional coach to be present. In a peer coaching group, each person takes turns serving as a coache</w:t>
      </w:r>
      <w:r>
        <w:rPr>
          <w:shd w:val="clear" w:color="auto" w:fill="FFFFFF"/>
        </w:rPr>
        <w:t>e</w:t>
      </w:r>
      <w:r w:rsidRPr="00AC7236">
        <w:rPr>
          <w:shd w:val="clear" w:color="auto" w:fill="FFFFFF"/>
        </w:rPr>
        <w:t>, and everyone works together to coach one another using tools created expressly to draw on the collective knowledge, wisdom, and experience of the group.</w:t>
      </w:r>
      <w:r>
        <w:rPr>
          <w:shd w:val="clear" w:color="auto" w:fill="FFFFFF"/>
        </w:rPr>
        <w:t xml:space="preserve"> )</w:t>
      </w:r>
    </w:p>
    <w:bookmarkEnd w:id="1"/>
    <w:p w14:paraId="6E109D24" w14:textId="77777777" w:rsidR="00A30D3A" w:rsidRPr="00CD3A07" w:rsidRDefault="00A30D3A" w:rsidP="007244F9"/>
    <w:sectPr w:rsidR="00A30D3A" w:rsidRPr="00CD3A07" w:rsidSect="007D1CA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040155" w14:textId="77777777" w:rsidR="00E25EB4" w:rsidRDefault="00E25EB4" w:rsidP="00563B84">
      <w:pPr>
        <w:spacing w:after="0" w:line="240" w:lineRule="auto"/>
      </w:pPr>
      <w:r>
        <w:separator/>
      </w:r>
    </w:p>
  </w:endnote>
  <w:endnote w:type="continuationSeparator" w:id="0">
    <w:p w14:paraId="36835A97" w14:textId="77777777" w:rsidR="00E25EB4" w:rsidRDefault="00E25EB4" w:rsidP="00563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A44BB9" w14:textId="77777777" w:rsidR="00E25EB4" w:rsidRDefault="00E25EB4" w:rsidP="00563B84">
      <w:pPr>
        <w:spacing w:after="0" w:line="240" w:lineRule="auto"/>
      </w:pPr>
      <w:r>
        <w:separator/>
      </w:r>
    </w:p>
  </w:footnote>
  <w:footnote w:type="continuationSeparator" w:id="0">
    <w:p w14:paraId="116569C6" w14:textId="77777777" w:rsidR="00E25EB4" w:rsidRDefault="00E25EB4" w:rsidP="00563B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CA4"/>
    <w:rsid w:val="00013BA0"/>
    <w:rsid w:val="00014E69"/>
    <w:rsid w:val="0002359A"/>
    <w:rsid w:val="00023D2D"/>
    <w:rsid w:val="0003274B"/>
    <w:rsid w:val="0004509B"/>
    <w:rsid w:val="00056450"/>
    <w:rsid w:val="000675E2"/>
    <w:rsid w:val="00076F66"/>
    <w:rsid w:val="00094808"/>
    <w:rsid w:val="000B4A24"/>
    <w:rsid w:val="000B533B"/>
    <w:rsid w:val="000D0F48"/>
    <w:rsid w:val="000E0CFC"/>
    <w:rsid w:val="000E39E8"/>
    <w:rsid w:val="000F0158"/>
    <w:rsid w:val="0011174D"/>
    <w:rsid w:val="0012627C"/>
    <w:rsid w:val="00141850"/>
    <w:rsid w:val="00153A3F"/>
    <w:rsid w:val="00156C2C"/>
    <w:rsid w:val="00163880"/>
    <w:rsid w:val="0017293F"/>
    <w:rsid w:val="0018252F"/>
    <w:rsid w:val="001922A1"/>
    <w:rsid w:val="001A4408"/>
    <w:rsid w:val="001D56DA"/>
    <w:rsid w:val="00211B00"/>
    <w:rsid w:val="00212134"/>
    <w:rsid w:val="002265EA"/>
    <w:rsid w:val="00232155"/>
    <w:rsid w:val="002651DE"/>
    <w:rsid w:val="0027074A"/>
    <w:rsid w:val="00283198"/>
    <w:rsid w:val="00295719"/>
    <w:rsid w:val="002C7B0B"/>
    <w:rsid w:val="002D73E5"/>
    <w:rsid w:val="002E34C6"/>
    <w:rsid w:val="002F0A22"/>
    <w:rsid w:val="002F2786"/>
    <w:rsid w:val="002F44EC"/>
    <w:rsid w:val="00322BB7"/>
    <w:rsid w:val="003428E5"/>
    <w:rsid w:val="00344ECE"/>
    <w:rsid w:val="00354A06"/>
    <w:rsid w:val="00364B25"/>
    <w:rsid w:val="0037245B"/>
    <w:rsid w:val="0037513C"/>
    <w:rsid w:val="003777FC"/>
    <w:rsid w:val="003921BC"/>
    <w:rsid w:val="00397644"/>
    <w:rsid w:val="003A51D2"/>
    <w:rsid w:val="003B0DF6"/>
    <w:rsid w:val="003F1BDA"/>
    <w:rsid w:val="00433109"/>
    <w:rsid w:val="00467FE5"/>
    <w:rsid w:val="00496A82"/>
    <w:rsid w:val="004B63A4"/>
    <w:rsid w:val="004D79F0"/>
    <w:rsid w:val="004E4676"/>
    <w:rsid w:val="004F158D"/>
    <w:rsid w:val="004F7134"/>
    <w:rsid w:val="00520A6E"/>
    <w:rsid w:val="00525EA2"/>
    <w:rsid w:val="005300A1"/>
    <w:rsid w:val="00530263"/>
    <w:rsid w:val="005375B4"/>
    <w:rsid w:val="00541F93"/>
    <w:rsid w:val="00562C34"/>
    <w:rsid w:val="00563B84"/>
    <w:rsid w:val="005832AE"/>
    <w:rsid w:val="00587D95"/>
    <w:rsid w:val="005B4C33"/>
    <w:rsid w:val="005B4D97"/>
    <w:rsid w:val="005B5BBD"/>
    <w:rsid w:val="005C2ADC"/>
    <w:rsid w:val="00614D5A"/>
    <w:rsid w:val="00614DF7"/>
    <w:rsid w:val="006233B8"/>
    <w:rsid w:val="00634692"/>
    <w:rsid w:val="00656C15"/>
    <w:rsid w:val="00657EC7"/>
    <w:rsid w:val="006774BF"/>
    <w:rsid w:val="00680841"/>
    <w:rsid w:val="00693004"/>
    <w:rsid w:val="006A7D65"/>
    <w:rsid w:val="006B32A0"/>
    <w:rsid w:val="006C03F6"/>
    <w:rsid w:val="006C0DFB"/>
    <w:rsid w:val="006C1EEA"/>
    <w:rsid w:val="006D7BA8"/>
    <w:rsid w:val="006E753B"/>
    <w:rsid w:val="006F0E91"/>
    <w:rsid w:val="006F239D"/>
    <w:rsid w:val="00714AE8"/>
    <w:rsid w:val="007244F9"/>
    <w:rsid w:val="00724581"/>
    <w:rsid w:val="007274B3"/>
    <w:rsid w:val="00752ED8"/>
    <w:rsid w:val="00783E64"/>
    <w:rsid w:val="00793CBC"/>
    <w:rsid w:val="007A43B6"/>
    <w:rsid w:val="007A77EC"/>
    <w:rsid w:val="007D154D"/>
    <w:rsid w:val="007D1CA4"/>
    <w:rsid w:val="007E4FA3"/>
    <w:rsid w:val="007E68F1"/>
    <w:rsid w:val="00820440"/>
    <w:rsid w:val="008226F0"/>
    <w:rsid w:val="0082325A"/>
    <w:rsid w:val="00836FB6"/>
    <w:rsid w:val="0086472E"/>
    <w:rsid w:val="00883A89"/>
    <w:rsid w:val="00885893"/>
    <w:rsid w:val="008903F5"/>
    <w:rsid w:val="008A590D"/>
    <w:rsid w:val="008B1E84"/>
    <w:rsid w:val="008D123F"/>
    <w:rsid w:val="008D2FB4"/>
    <w:rsid w:val="008D46EE"/>
    <w:rsid w:val="008D7AF3"/>
    <w:rsid w:val="008E3953"/>
    <w:rsid w:val="00900492"/>
    <w:rsid w:val="009033A2"/>
    <w:rsid w:val="00913C00"/>
    <w:rsid w:val="009207A5"/>
    <w:rsid w:val="009268B3"/>
    <w:rsid w:val="00944E6E"/>
    <w:rsid w:val="00961CE1"/>
    <w:rsid w:val="009648EF"/>
    <w:rsid w:val="00964BAA"/>
    <w:rsid w:val="00966D14"/>
    <w:rsid w:val="00994EFA"/>
    <w:rsid w:val="009E009F"/>
    <w:rsid w:val="009F6D12"/>
    <w:rsid w:val="009F700F"/>
    <w:rsid w:val="00A10CBE"/>
    <w:rsid w:val="00A13629"/>
    <w:rsid w:val="00A15009"/>
    <w:rsid w:val="00A30D3A"/>
    <w:rsid w:val="00A33BB3"/>
    <w:rsid w:val="00A6384E"/>
    <w:rsid w:val="00A87EEC"/>
    <w:rsid w:val="00A915B2"/>
    <w:rsid w:val="00AA7F16"/>
    <w:rsid w:val="00AB4CFF"/>
    <w:rsid w:val="00AC7236"/>
    <w:rsid w:val="00AD7DB3"/>
    <w:rsid w:val="00B03D92"/>
    <w:rsid w:val="00B07011"/>
    <w:rsid w:val="00B7583F"/>
    <w:rsid w:val="00B82BF0"/>
    <w:rsid w:val="00B90C99"/>
    <w:rsid w:val="00BA3E8E"/>
    <w:rsid w:val="00BA5F30"/>
    <w:rsid w:val="00BB7C57"/>
    <w:rsid w:val="00C00A3A"/>
    <w:rsid w:val="00C26A7A"/>
    <w:rsid w:val="00C27882"/>
    <w:rsid w:val="00C367E5"/>
    <w:rsid w:val="00C43FBB"/>
    <w:rsid w:val="00C45BC1"/>
    <w:rsid w:val="00C565D8"/>
    <w:rsid w:val="00C741DD"/>
    <w:rsid w:val="00C84371"/>
    <w:rsid w:val="00C90E1C"/>
    <w:rsid w:val="00CB0DF5"/>
    <w:rsid w:val="00CB6A23"/>
    <w:rsid w:val="00CD3A07"/>
    <w:rsid w:val="00CE71E9"/>
    <w:rsid w:val="00CF3ADB"/>
    <w:rsid w:val="00D01C36"/>
    <w:rsid w:val="00D1212B"/>
    <w:rsid w:val="00D32771"/>
    <w:rsid w:val="00D400EA"/>
    <w:rsid w:val="00D442DF"/>
    <w:rsid w:val="00D76D0A"/>
    <w:rsid w:val="00DA0057"/>
    <w:rsid w:val="00DA11F3"/>
    <w:rsid w:val="00DD4725"/>
    <w:rsid w:val="00DD7BCE"/>
    <w:rsid w:val="00DE17F9"/>
    <w:rsid w:val="00E001DF"/>
    <w:rsid w:val="00E01E57"/>
    <w:rsid w:val="00E15EC1"/>
    <w:rsid w:val="00E16140"/>
    <w:rsid w:val="00E2014C"/>
    <w:rsid w:val="00E25EB4"/>
    <w:rsid w:val="00E25F12"/>
    <w:rsid w:val="00E43528"/>
    <w:rsid w:val="00E52770"/>
    <w:rsid w:val="00E53A2F"/>
    <w:rsid w:val="00E608B4"/>
    <w:rsid w:val="00E60C37"/>
    <w:rsid w:val="00E632B3"/>
    <w:rsid w:val="00E64C18"/>
    <w:rsid w:val="00E750C8"/>
    <w:rsid w:val="00E951A5"/>
    <w:rsid w:val="00E96693"/>
    <w:rsid w:val="00E97A2E"/>
    <w:rsid w:val="00EA40FB"/>
    <w:rsid w:val="00EA7092"/>
    <w:rsid w:val="00EB5EF9"/>
    <w:rsid w:val="00ED66F9"/>
    <w:rsid w:val="00EE6199"/>
    <w:rsid w:val="00EE7328"/>
    <w:rsid w:val="00F110A4"/>
    <w:rsid w:val="00F1207C"/>
    <w:rsid w:val="00F204B4"/>
    <w:rsid w:val="00F35B0B"/>
    <w:rsid w:val="00F62345"/>
    <w:rsid w:val="00F638A4"/>
    <w:rsid w:val="00FB379C"/>
    <w:rsid w:val="00FD3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C9239"/>
  <w15:chartTrackingRefBased/>
  <w15:docId w15:val="{708DB560-AD5F-4A37-BDF7-F0940A44D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C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C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CA4"/>
    <w:rPr>
      <w:rFonts w:eastAsiaTheme="minorEastAsia"/>
      <w:lang w:val="en-US"/>
    </w:rPr>
  </w:style>
  <w:style w:type="character" w:customStyle="1" w:styleId="Heading1Char">
    <w:name w:val="Heading 1 Char"/>
    <w:basedOn w:val="DefaultParagraphFont"/>
    <w:link w:val="Heading1"/>
    <w:uiPriority w:val="9"/>
    <w:rsid w:val="007D1CA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63B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B84"/>
  </w:style>
  <w:style w:type="paragraph" w:styleId="Footer">
    <w:name w:val="footer"/>
    <w:basedOn w:val="Normal"/>
    <w:link w:val="FooterChar"/>
    <w:uiPriority w:val="99"/>
    <w:unhideWhenUsed/>
    <w:rsid w:val="00563B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B84"/>
  </w:style>
  <w:style w:type="character" w:styleId="Emphasis">
    <w:name w:val="Emphasis"/>
    <w:basedOn w:val="DefaultParagraphFont"/>
    <w:uiPriority w:val="20"/>
    <w:qFormat/>
    <w:rsid w:val="00C43FBB"/>
    <w:rPr>
      <w:i/>
      <w:iCs/>
    </w:rPr>
  </w:style>
  <w:style w:type="character" w:customStyle="1" w:styleId="hlfld-contribauthor">
    <w:name w:val="hlfld-contribauthor"/>
    <w:basedOn w:val="DefaultParagraphFont"/>
    <w:rsid w:val="006F0E91"/>
  </w:style>
  <w:style w:type="character" w:customStyle="1" w:styleId="separator">
    <w:name w:val="separator"/>
    <w:basedOn w:val="DefaultParagraphFont"/>
    <w:rsid w:val="006F0E91"/>
  </w:style>
  <w:style w:type="character" w:styleId="Hyperlink">
    <w:name w:val="Hyperlink"/>
    <w:basedOn w:val="DefaultParagraphFont"/>
    <w:uiPriority w:val="99"/>
    <w:unhideWhenUsed/>
    <w:rsid w:val="006F0E91"/>
    <w:rPr>
      <w:color w:val="0000FF"/>
      <w:u w:val="single"/>
    </w:rPr>
  </w:style>
  <w:style w:type="character" w:customStyle="1" w:styleId="nlmsource">
    <w:name w:val="nlm_source"/>
    <w:basedOn w:val="DefaultParagraphFont"/>
    <w:rsid w:val="006F0E91"/>
  </w:style>
  <w:style w:type="paragraph" w:styleId="NormalWeb">
    <w:name w:val="Normal (Web)"/>
    <w:basedOn w:val="Normal"/>
    <w:uiPriority w:val="99"/>
    <w:semiHidden/>
    <w:unhideWhenUsed/>
    <w:rsid w:val="001262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774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8347887">
      <w:bodyDiv w:val="1"/>
      <w:marLeft w:val="0"/>
      <w:marRight w:val="0"/>
      <w:marTop w:val="0"/>
      <w:marBottom w:val="0"/>
      <w:divBdr>
        <w:top w:val="none" w:sz="0" w:space="0" w:color="auto"/>
        <w:left w:val="none" w:sz="0" w:space="0" w:color="auto"/>
        <w:bottom w:val="none" w:sz="0" w:space="0" w:color="auto"/>
        <w:right w:val="none" w:sz="0" w:space="0" w:color="auto"/>
      </w:divBdr>
      <w:divsChild>
        <w:div w:id="324094053">
          <w:marLeft w:val="0"/>
          <w:marRight w:val="0"/>
          <w:marTop w:val="0"/>
          <w:marBottom w:val="0"/>
          <w:divBdr>
            <w:top w:val="none" w:sz="0" w:space="0" w:color="auto"/>
            <w:left w:val="none" w:sz="0" w:space="0" w:color="auto"/>
            <w:bottom w:val="none" w:sz="0" w:space="0" w:color="auto"/>
            <w:right w:val="none" w:sz="0" w:space="0" w:color="auto"/>
          </w:divBdr>
        </w:div>
      </w:divsChild>
    </w:div>
    <w:div w:id="2116901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earch.informit.org/doi/10.3316/informit.722478957515517"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02/yd.23320029306"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doi.org/10.4324/978131526005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C52D11F1C6D413EB6527941E58876C4"/>
        <w:category>
          <w:name w:val="General"/>
          <w:gallery w:val="placeholder"/>
        </w:category>
        <w:types>
          <w:type w:val="bbPlcHdr"/>
        </w:types>
        <w:behaviors>
          <w:behavior w:val="content"/>
        </w:behaviors>
        <w:guid w:val="{B21D214C-D85E-4152-B645-B35778171855}"/>
      </w:docPartPr>
      <w:docPartBody>
        <w:p w:rsidR="00691789" w:rsidRDefault="00F85C58" w:rsidP="00F85C58">
          <w:pPr>
            <w:pStyle w:val="2C52D11F1C6D413EB6527941E58876C4"/>
          </w:pPr>
          <w:r>
            <w:rPr>
              <w:rFonts w:asciiTheme="majorHAnsi" w:eastAsiaTheme="majorEastAsia" w:hAnsiTheme="majorHAnsi" w:cstheme="majorBidi"/>
              <w:caps/>
              <w:color w:val="4472C4" w:themeColor="accent1"/>
              <w:sz w:val="80"/>
              <w:szCs w:val="80"/>
            </w:rPr>
            <w:t>[Document title]</w:t>
          </w:r>
        </w:p>
      </w:docPartBody>
    </w:docPart>
    <w:docPart>
      <w:docPartPr>
        <w:name w:val="BB75615D61B141908F815352CD15C5D0"/>
        <w:category>
          <w:name w:val="General"/>
          <w:gallery w:val="placeholder"/>
        </w:category>
        <w:types>
          <w:type w:val="bbPlcHdr"/>
        </w:types>
        <w:behaviors>
          <w:behavior w:val="content"/>
        </w:behaviors>
        <w:guid w:val="{24E437E0-D1A4-4B73-B822-7D1B7A73ACEE}"/>
      </w:docPartPr>
      <w:docPartBody>
        <w:p w:rsidR="00691789" w:rsidRDefault="00F85C58" w:rsidP="00F85C58">
          <w:pPr>
            <w:pStyle w:val="BB75615D61B141908F815352CD15C5D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58"/>
    <w:rsid w:val="00090F4B"/>
    <w:rsid w:val="00295DE5"/>
    <w:rsid w:val="003E089B"/>
    <w:rsid w:val="00691789"/>
    <w:rsid w:val="0076696E"/>
    <w:rsid w:val="00AA1395"/>
    <w:rsid w:val="00AE650A"/>
    <w:rsid w:val="00D8788A"/>
    <w:rsid w:val="00F85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C52D11F1C6D413EB6527941E58876C4">
    <w:name w:val="2C52D11F1C6D413EB6527941E58876C4"/>
    <w:rsid w:val="00F85C58"/>
  </w:style>
  <w:style w:type="paragraph" w:customStyle="1" w:styleId="BB75615D61B141908F815352CD15C5D0">
    <w:name w:val="BB75615D61B141908F815352CD15C5D0"/>
    <w:rsid w:val="00F85C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1915519</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40919a6d82abc7f2659f2a53d97f3f1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cb9a29c1cab89121956e83bd7ecd28c3"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26794F-1478-47D4-8415-78CE26B8A7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740A8E-4FBC-4C72-BDC0-ABD505A5B24E}">
  <ds:schemaRefs>
    <ds:schemaRef ds:uri="http://schemas.microsoft.com/sharepoint/v3/contenttype/forms"/>
  </ds:schemaRefs>
</ds:datastoreItem>
</file>

<file path=customXml/itemProps4.xml><?xml version="1.0" encoding="utf-8"?>
<ds:datastoreItem xmlns:ds="http://schemas.openxmlformats.org/officeDocument/2006/customXml" ds:itemID="{CA96D076-4C27-4BE4-A1F5-D745F8E95E4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5</Pages>
  <Words>1644</Words>
  <Characters>9371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COACHIING AND MENTORING</vt:lpstr>
    </vt:vector>
  </TitlesOfParts>
  <Company>Natalie Jayne Sahi</Company>
  <LinksUpToDate>false</LinksUpToDate>
  <CharactersWithSpaces>10994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COACHIING AND MENTORING</dc:title>
  <dc:subject>BMSW6105</dc:subject>
  <dc:creator>Natalie Sahi (1915519)</dc:creator>
  <cp:keywords/>
  <dc:description/>
  <cp:lastModifiedBy>Natalie Sahi (1915519)</cp:lastModifiedBy>
  <cp:revision>23</cp:revision>
  <dcterms:created xsi:type="dcterms:W3CDTF">2022-12-04T03:03:00Z</dcterms:created>
  <dcterms:modified xsi:type="dcterms:W3CDTF">2022-12-04T20:56:00Z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