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789C6E" w14:textId="1DF98967" w:rsidR="00022E57" w:rsidRDefault="28B6F5B7" w:rsidP="28B6F5B7">
      <w:pPr>
        <w:rPr>
          <w:rFonts w:ascii="Calibri" w:eastAsia="Calibri" w:hAnsi="Calibri" w:cs="Calibri"/>
          <w:color w:val="000000" w:themeColor="text1"/>
          <w:sz w:val="24"/>
          <w:szCs w:val="24"/>
        </w:rPr>
      </w:pPr>
      <w:r w:rsidRPr="28B6F5B7">
        <w:rPr>
          <w:rFonts w:ascii="Calibri" w:eastAsia="Calibri" w:hAnsi="Calibri" w:cs="Calibri"/>
          <w:color w:val="000000" w:themeColor="text1"/>
          <w:sz w:val="24"/>
          <w:szCs w:val="24"/>
          <w:u w:val="single"/>
        </w:rPr>
        <w:t>Part 1</w:t>
      </w:r>
    </w:p>
    <w:p w14:paraId="5C1BE5A6" w14:textId="396584EB" w:rsidR="00022E57" w:rsidRDefault="28B6F5B7" w:rsidP="28B6F5B7">
      <w:pPr>
        <w:rPr>
          <w:rFonts w:ascii="Calibri" w:eastAsia="Calibri" w:hAnsi="Calibri" w:cs="Calibri"/>
          <w:color w:val="000000" w:themeColor="text1"/>
          <w:sz w:val="24"/>
          <w:szCs w:val="24"/>
        </w:rPr>
      </w:pPr>
      <w:r w:rsidRPr="28B6F5B7">
        <w:rPr>
          <w:rFonts w:ascii="Calibri" w:eastAsia="Calibri" w:hAnsi="Calibri" w:cs="Calibri"/>
          <w:color w:val="000000" w:themeColor="text1"/>
          <w:sz w:val="24"/>
          <w:szCs w:val="24"/>
        </w:rPr>
        <w:t xml:space="preserve">In Iceland, </w:t>
      </w:r>
      <w:r w:rsidR="0021765F">
        <w:rPr>
          <w:rFonts w:ascii="Calibri" w:eastAsia="Calibri" w:hAnsi="Calibri" w:cs="Calibri"/>
          <w:color w:val="000000" w:themeColor="text1"/>
          <w:sz w:val="24"/>
          <w:szCs w:val="24"/>
        </w:rPr>
        <w:t xml:space="preserve">and nearby </w:t>
      </w:r>
      <w:r w:rsidRPr="28B6F5B7">
        <w:rPr>
          <w:rFonts w:ascii="Calibri" w:eastAsia="Calibri" w:hAnsi="Calibri" w:cs="Calibri"/>
          <w:color w:val="000000" w:themeColor="text1"/>
          <w:sz w:val="24"/>
          <w:szCs w:val="24"/>
        </w:rPr>
        <w:t>Nordic countries children are encouraged to play outside as much as possible</w:t>
      </w:r>
      <w:r w:rsidR="00777B3B">
        <w:rPr>
          <w:rFonts w:ascii="Calibri" w:eastAsia="Calibri" w:hAnsi="Calibri" w:cs="Calibri"/>
          <w:color w:val="000000" w:themeColor="text1"/>
          <w:sz w:val="24"/>
          <w:szCs w:val="24"/>
        </w:rPr>
        <w:t>. I</w:t>
      </w:r>
      <w:r w:rsidRPr="28B6F5B7">
        <w:rPr>
          <w:rFonts w:ascii="Calibri" w:eastAsia="Calibri" w:hAnsi="Calibri" w:cs="Calibri"/>
          <w:color w:val="000000" w:themeColor="text1"/>
          <w:sz w:val="24"/>
          <w:szCs w:val="24"/>
        </w:rPr>
        <w:t xml:space="preserve">n the Curriculum Guidelines they have put lots of emphasis on outdoor environments for learning to encourage children to </w:t>
      </w:r>
      <w:r w:rsidR="00CA7D62">
        <w:rPr>
          <w:rFonts w:ascii="Calibri" w:eastAsia="Calibri" w:hAnsi="Calibri" w:cs="Calibri"/>
          <w:color w:val="000000" w:themeColor="text1"/>
          <w:sz w:val="24"/>
          <w:szCs w:val="24"/>
        </w:rPr>
        <w:t>exercise a</w:t>
      </w:r>
      <w:r w:rsidRPr="28B6F5B7">
        <w:rPr>
          <w:rFonts w:ascii="Calibri" w:eastAsia="Calibri" w:hAnsi="Calibri" w:cs="Calibri"/>
          <w:color w:val="000000" w:themeColor="text1"/>
          <w:sz w:val="24"/>
          <w:szCs w:val="24"/>
        </w:rPr>
        <w:t>nd play outside to learn about our natural world and healthy living. (</w:t>
      </w:r>
      <w:proofErr w:type="spellStart"/>
      <w:r w:rsidRPr="28B6F5B7">
        <w:rPr>
          <w:rFonts w:ascii="Calibri" w:eastAsia="Calibri" w:hAnsi="Calibri" w:cs="Calibri"/>
          <w:color w:val="000000" w:themeColor="text1"/>
          <w:sz w:val="24"/>
          <w:szCs w:val="24"/>
        </w:rPr>
        <w:t>Norodahl</w:t>
      </w:r>
      <w:proofErr w:type="spellEnd"/>
      <w:r w:rsidRPr="28B6F5B7">
        <w:rPr>
          <w:rFonts w:ascii="Calibri" w:eastAsia="Calibri" w:hAnsi="Calibri" w:cs="Calibri"/>
          <w:color w:val="000000" w:themeColor="text1"/>
          <w:sz w:val="24"/>
          <w:szCs w:val="24"/>
        </w:rPr>
        <w:t xml:space="preserve"> and </w:t>
      </w:r>
      <w:proofErr w:type="spellStart"/>
      <w:r w:rsidRPr="28B6F5B7">
        <w:rPr>
          <w:rFonts w:ascii="Calibri" w:eastAsia="Calibri" w:hAnsi="Calibri" w:cs="Calibri"/>
          <w:color w:val="000000" w:themeColor="text1"/>
          <w:sz w:val="24"/>
          <w:szCs w:val="24"/>
        </w:rPr>
        <w:t>Joh</w:t>
      </w:r>
      <w:r w:rsidR="00CA7D62">
        <w:rPr>
          <w:rFonts w:ascii="Calibri" w:eastAsia="Calibri" w:hAnsi="Calibri" w:cs="Calibri"/>
          <w:color w:val="000000" w:themeColor="text1"/>
          <w:sz w:val="24"/>
          <w:szCs w:val="24"/>
        </w:rPr>
        <w:t>a</w:t>
      </w:r>
      <w:r w:rsidRPr="28B6F5B7">
        <w:rPr>
          <w:rFonts w:ascii="Calibri" w:eastAsia="Calibri" w:hAnsi="Calibri" w:cs="Calibri"/>
          <w:color w:val="000000" w:themeColor="text1"/>
          <w:sz w:val="24"/>
          <w:szCs w:val="24"/>
        </w:rPr>
        <w:t>nn</w:t>
      </w:r>
      <w:r w:rsidR="00CA7D62">
        <w:rPr>
          <w:rFonts w:ascii="Calibri" w:eastAsia="Calibri" w:hAnsi="Calibri" w:cs="Calibri"/>
          <w:color w:val="000000" w:themeColor="text1"/>
          <w:sz w:val="24"/>
          <w:szCs w:val="24"/>
        </w:rPr>
        <w:t>es</w:t>
      </w:r>
      <w:r w:rsidR="005A3C7F">
        <w:rPr>
          <w:rFonts w:ascii="Calibri" w:eastAsia="Calibri" w:hAnsi="Calibri" w:cs="Calibri"/>
          <w:color w:val="000000" w:themeColor="text1"/>
          <w:sz w:val="24"/>
          <w:szCs w:val="24"/>
        </w:rPr>
        <w:t>s</w:t>
      </w:r>
      <w:r w:rsidRPr="28B6F5B7">
        <w:rPr>
          <w:rFonts w:ascii="Calibri" w:eastAsia="Calibri" w:hAnsi="Calibri" w:cs="Calibri"/>
          <w:color w:val="000000" w:themeColor="text1"/>
          <w:sz w:val="24"/>
          <w:szCs w:val="24"/>
        </w:rPr>
        <w:t>on</w:t>
      </w:r>
      <w:proofErr w:type="spellEnd"/>
      <w:r w:rsidRPr="28B6F5B7">
        <w:rPr>
          <w:rFonts w:ascii="Calibri" w:eastAsia="Calibri" w:hAnsi="Calibri" w:cs="Calibri"/>
          <w:color w:val="000000" w:themeColor="text1"/>
          <w:sz w:val="24"/>
          <w:szCs w:val="24"/>
        </w:rPr>
        <w:t>, 2014, 391-406)</w:t>
      </w:r>
      <w:r w:rsidR="00777B3B">
        <w:rPr>
          <w:rFonts w:ascii="Calibri" w:eastAsia="Calibri" w:hAnsi="Calibri" w:cs="Calibri"/>
          <w:color w:val="000000" w:themeColor="text1"/>
          <w:sz w:val="24"/>
          <w:szCs w:val="24"/>
        </w:rPr>
        <w:t xml:space="preserve"> </w:t>
      </w:r>
      <w:r w:rsidRPr="28B6F5B7">
        <w:rPr>
          <w:rFonts w:ascii="Calibri" w:eastAsia="Calibri" w:hAnsi="Calibri" w:cs="Calibri"/>
          <w:color w:val="000000" w:themeColor="text1"/>
          <w:sz w:val="24"/>
          <w:szCs w:val="24"/>
        </w:rPr>
        <w:t xml:space="preserve">Iceland has been emphasising outside play with children aged 1 to 6 when they are in school each day, </w:t>
      </w:r>
      <w:r w:rsidR="00777B3B">
        <w:rPr>
          <w:rFonts w:ascii="Calibri" w:eastAsia="Calibri" w:hAnsi="Calibri" w:cs="Calibri"/>
          <w:color w:val="000000" w:themeColor="text1"/>
          <w:sz w:val="24"/>
          <w:szCs w:val="24"/>
        </w:rPr>
        <w:t xml:space="preserve">where </w:t>
      </w:r>
      <w:r w:rsidRPr="28B6F5B7">
        <w:rPr>
          <w:rFonts w:ascii="Calibri" w:eastAsia="Calibri" w:hAnsi="Calibri" w:cs="Calibri"/>
          <w:color w:val="000000" w:themeColor="text1"/>
          <w:sz w:val="24"/>
          <w:szCs w:val="24"/>
        </w:rPr>
        <w:t>children aged 6 to 16 are more structured and only go out at playtimes</w:t>
      </w:r>
      <w:r w:rsidR="00777B3B">
        <w:rPr>
          <w:rFonts w:ascii="Calibri" w:eastAsia="Calibri" w:hAnsi="Calibri" w:cs="Calibri"/>
          <w:color w:val="000000" w:themeColor="text1"/>
          <w:sz w:val="24"/>
          <w:szCs w:val="24"/>
        </w:rPr>
        <w:t>,</w:t>
      </w:r>
      <w:r w:rsidRPr="28B6F5B7">
        <w:rPr>
          <w:rFonts w:ascii="Calibri" w:eastAsia="Calibri" w:hAnsi="Calibri" w:cs="Calibri"/>
          <w:color w:val="000000" w:themeColor="text1"/>
          <w:sz w:val="24"/>
          <w:szCs w:val="24"/>
        </w:rPr>
        <w:t xml:space="preserve"> consequently we do not know what teachers do outside to </w:t>
      </w:r>
      <w:r w:rsidR="005A3C7F">
        <w:rPr>
          <w:rFonts w:ascii="Calibri" w:eastAsia="Calibri" w:hAnsi="Calibri" w:cs="Calibri"/>
          <w:color w:val="000000" w:themeColor="text1"/>
          <w:sz w:val="24"/>
          <w:szCs w:val="24"/>
        </w:rPr>
        <w:t>aid</w:t>
      </w:r>
      <w:r w:rsidRPr="28B6F5B7">
        <w:rPr>
          <w:rFonts w:ascii="Calibri" w:eastAsia="Calibri" w:hAnsi="Calibri" w:cs="Calibri"/>
          <w:color w:val="000000" w:themeColor="text1"/>
          <w:sz w:val="24"/>
          <w:szCs w:val="24"/>
        </w:rPr>
        <w:t xml:space="preserve"> the</w:t>
      </w:r>
      <w:r w:rsidR="00777B3B">
        <w:rPr>
          <w:rFonts w:ascii="Calibri" w:eastAsia="Calibri" w:hAnsi="Calibri" w:cs="Calibri"/>
          <w:color w:val="000000" w:themeColor="text1"/>
          <w:sz w:val="24"/>
          <w:szCs w:val="24"/>
        </w:rPr>
        <w:t>ir</w:t>
      </w:r>
      <w:r w:rsidRPr="28B6F5B7">
        <w:rPr>
          <w:rFonts w:ascii="Calibri" w:eastAsia="Calibri" w:hAnsi="Calibri" w:cs="Calibri"/>
          <w:color w:val="000000" w:themeColor="text1"/>
          <w:sz w:val="24"/>
          <w:szCs w:val="24"/>
        </w:rPr>
        <w:t xml:space="preserve"> learning and the </w:t>
      </w:r>
      <w:r w:rsidR="005A3C7F">
        <w:rPr>
          <w:rFonts w:ascii="Calibri" w:eastAsia="Calibri" w:hAnsi="Calibri" w:cs="Calibri"/>
          <w:color w:val="000000" w:themeColor="text1"/>
          <w:sz w:val="24"/>
          <w:szCs w:val="24"/>
        </w:rPr>
        <w:t>differences</w:t>
      </w:r>
      <w:r w:rsidRPr="28B6F5B7">
        <w:rPr>
          <w:rFonts w:ascii="Calibri" w:eastAsia="Calibri" w:hAnsi="Calibri" w:cs="Calibri"/>
          <w:color w:val="000000" w:themeColor="text1"/>
          <w:sz w:val="24"/>
          <w:szCs w:val="24"/>
        </w:rPr>
        <w:t xml:space="preserve"> between different teacher</w:t>
      </w:r>
      <w:r w:rsidR="00777B3B">
        <w:rPr>
          <w:rFonts w:ascii="Calibri" w:eastAsia="Calibri" w:hAnsi="Calibri" w:cs="Calibri"/>
          <w:color w:val="000000" w:themeColor="text1"/>
          <w:sz w:val="24"/>
          <w:szCs w:val="24"/>
        </w:rPr>
        <w:t>s a</w:t>
      </w:r>
      <w:r w:rsidRPr="28B6F5B7">
        <w:rPr>
          <w:rFonts w:ascii="Calibri" w:eastAsia="Calibri" w:hAnsi="Calibri" w:cs="Calibri"/>
          <w:color w:val="000000" w:themeColor="text1"/>
          <w:sz w:val="24"/>
          <w:szCs w:val="24"/>
        </w:rPr>
        <w:t>nd schools</w:t>
      </w:r>
      <w:r w:rsidR="00777B3B">
        <w:rPr>
          <w:rFonts w:ascii="Calibri" w:eastAsia="Calibri" w:hAnsi="Calibri" w:cs="Calibri"/>
          <w:color w:val="000000" w:themeColor="text1"/>
          <w:sz w:val="24"/>
          <w:szCs w:val="24"/>
        </w:rPr>
        <w:t>.</w:t>
      </w:r>
      <w:r w:rsidRPr="28B6F5B7">
        <w:rPr>
          <w:rFonts w:ascii="Calibri" w:eastAsia="Calibri" w:hAnsi="Calibri" w:cs="Calibri"/>
          <w:color w:val="000000" w:themeColor="text1"/>
          <w:sz w:val="24"/>
          <w:szCs w:val="24"/>
        </w:rPr>
        <w:t xml:space="preserve"> </w:t>
      </w:r>
      <w:r w:rsidR="00D40D72">
        <w:rPr>
          <w:rFonts w:ascii="Calibri" w:eastAsia="Calibri" w:hAnsi="Calibri" w:cs="Calibri"/>
          <w:color w:val="000000" w:themeColor="text1"/>
          <w:sz w:val="24"/>
          <w:szCs w:val="24"/>
        </w:rPr>
        <w:t>T</w:t>
      </w:r>
      <w:r w:rsidRPr="28B6F5B7">
        <w:rPr>
          <w:rFonts w:ascii="Calibri" w:eastAsia="Calibri" w:hAnsi="Calibri" w:cs="Calibri"/>
          <w:color w:val="000000" w:themeColor="text1"/>
          <w:sz w:val="24"/>
          <w:szCs w:val="24"/>
        </w:rPr>
        <w:t>here are signs in Iceland that the teachers are encouraging outside education and learning more</w:t>
      </w:r>
      <w:r w:rsidR="00D95369">
        <w:rPr>
          <w:rFonts w:ascii="Calibri" w:eastAsia="Calibri" w:hAnsi="Calibri" w:cs="Calibri"/>
          <w:color w:val="000000" w:themeColor="text1"/>
          <w:sz w:val="24"/>
          <w:szCs w:val="24"/>
        </w:rPr>
        <w:t>,</w:t>
      </w:r>
      <w:r w:rsidRPr="28B6F5B7">
        <w:rPr>
          <w:rFonts w:ascii="Calibri" w:eastAsia="Calibri" w:hAnsi="Calibri" w:cs="Calibri"/>
          <w:color w:val="000000" w:themeColor="text1"/>
          <w:sz w:val="24"/>
          <w:szCs w:val="24"/>
        </w:rPr>
        <w:t xml:space="preserve"> and in</w:t>
      </w:r>
      <w:r w:rsidR="006469FF">
        <w:rPr>
          <w:rFonts w:ascii="Calibri" w:eastAsia="Calibri" w:hAnsi="Calibri" w:cs="Calibri"/>
          <w:color w:val="000000" w:themeColor="text1"/>
          <w:sz w:val="24"/>
          <w:szCs w:val="24"/>
        </w:rPr>
        <w:t xml:space="preserve"> the cap</w:t>
      </w:r>
      <w:r w:rsidR="009676AD">
        <w:rPr>
          <w:rFonts w:ascii="Calibri" w:eastAsia="Calibri" w:hAnsi="Calibri" w:cs="Calibri"/>
          <w:color w:val="000000" w:themeColor="text1"/>
          <w:sz w:val="24"/>
          <w:szCs w:val="24"/>
        </w:rPr>
        <w:t>ital</w:t>
      </w:r>
      <w:r w:rsidR="00104985">
        <w:rPr>
          <w:rFonts w:ascii="Calibri" w:eastAsia="Calibri" w:hAnsi="Calibri" w:cs="Calibri"/>
          <w:color w:val="000000" w:themeColor="text1"/>
          <w:sz w:val="24"/>
          <w:szCs w:val="24"/>
        </w:rPr>
        <w:t xml:space="preserve"> of</w:t>
      </w:r>
      <w:r w:rsidRPr="28B6F5B7">
        <w:rPr>
          <w:rFonts w:ascii="Calibri" w:eastAsia="Calibri" w:hAnsi="Calibri" w:cs="Calibri"/>
          <w:color w:val="000000" w:themeColor="text1"/>
          <w:sz w:val="24"/>
          <w:szCs w:val="24"/>
        </w:rPr>
        <w:t xml:space="preserve"> Reyk</w:t>
      </w:r>
      <w:r w:rsidR="00777B3B">
        <w:rPr>
          <w:rFonts w:ascii="Calibri" w:eastAsia="Calibri" w:hAnsi="Calibri" w:cs="Calibri"/>
          <w:color w:val="000000" w:themeColor="text1"/>
          <w:sz w:val="24"/>
          <w:szCs w:val="24"/>
        </w:rPr>
        <w:t>j</w:t>
      </w:r>
      <w:r w:rsidRPr="28B6F5B7">
        <w:rPr>
          <w:rFonts w:ascii="Calibri" w:eastAsia="Calibri" w:hAnsi="Calibri" w:cs="Calibri"/>
          <w:color w:val="000000" w:themeColor="text1"/>
          <w:sz w:val="24"/>
          <w:szCs w:val="24"/>
        </w:rPr>
        <w:t>avik</w:t>
      </w:r>
      <w:r w:rsidR="00777B3B">
        <w:rPr>
          <w:rFonts w:ascii="Calibri" w:eastAsia="Calibri" w:hAnsi="Calibri" w:cs="Calibri"/>
          <w:color w:val="000000" w:themeColor="text1"/>
          <w:sz w:val="24"/>
          <w:szCs w:val="24"/>
        </w:rPr>
        <w:t>,</w:t>
      </w:r>
      <w:r w:rsidRPr="28B6F5B7">
        <w:rPr>
          <w:rFonts w:ascii="Calibri" w:eastAsia="Calibri" w:hAnsi="Calibri" w:cs="Calibri"/>
          <w:color w:val="000000" w:themeColor="text1"/>
          <w:sz w:val="24"/>
          <w:szCs w:val="24"/>
        </w:rPr>
        <w:t xml:space="preserve"> 70 percent of mandatory schools in that area do outside education </w:t>
      </w:r>
      <w:r w:rsidR="00D40D72">
        <w:rPr>
          <w:rFonts w:ascii="Calibri" w:eastAsia="Calibri" w:hAnsi="Calibri" w:cs="Calibri"/>
          <w:color w:val="000000" w:themeColor="text1"/>
          <w:sz w:val="24"/>
          <w:szCs w:val="24"/>
        </w:rPr>
        <w:t>frequently</w:t>
      </w:r>
      <w:r w:rsidRPr="28B6F5B7">
        <w:rPr>
          <w:rFonts w:ascii="Calibri" w:eastAsia="Calibri" w:hAnsi="Calibri" w:cs="Calibri"/>
          <w:color w:val="000000" w:themeColor="text1"/>
          <w:sz w:val="24"/>
          <w:szCs w:val="24"/>
        </w:rPr>
        <w:t>.</w:t>
      </w:r>
    </w:p>
    <w:p w14:paraId="7226C8F7" w14:textId="5B160D68" w:rsidR="00022E57" w:rsidRDefault="28B6F5B7" w:rsidP="28B6F5B7">
      <w:pPr>
        <w:rPr>
          <w:rFonts w:ascii="Calibri" w:eastAsia="Calibri" w:hAnsi="Calibri" w:cs="Calibri"/>
          <w:color w:val="000000" w:themeColor="text1"/>
          <w:sz w:val="24"/>
          <w:szCs w:val="24"/>
        </w:rPr>
      </w:pPr>
      <w:r w:rsidRPr="28B6F5B7">
        <w:rPr>
          <w:rFonts w:ascii="Calibri" w:eastAsia="Calibri" w:hAnsi="Calibri" w:cs="Calibri"/>
          <w:color w:val="000000" w:themeColor="text1"/>
          <w:sz w:val="24"/>
          <w:szCs w:val="24"/>
        </w:rPr>
        <w:t xml:space="preserve">Adapted from: </w:t>
      </w:r>
      <w:proofErr w:type="spellStart"/>
      <w:r w:rsidRPr="28B6F5B7">
        <w:rPr>
          <w:rFonts w:ascii="Calibri" w:eastAsia="Calibri" w:hAnsi="Calibri" w:cs="Calibri"/>
          <w:color w:val="000000" w:themeColor="text1"/>
          <w:sz w:val="24"/>
          <w:szCs w:val="24"/>
        </w:rPr>
        <w:t>Norodahl</w:t>
      </w:r>
      <w:proofErr w:type="spellEnd"/>
      <w:r w:rsidRPr="28B6F5B7">
        <w:rPr>
          <w:rFonts w:ascii="Calibri" w:eastAsia="Calibri" w:hAnsi="Calibri" w:cs="Calibri"/>
          <w:color w:val="000000" w:themeColor="text1"/>
          <w:sz w:val="24"/>
          <w:szCs w:val="24"/>
        </w:rPr>
        <w:t xml:space="preserve">, K. And </w:t>
      </w:r>
      <w:proofErr w:type="spellStart"/>
      <w:r w:rsidRPr="28B6F5B7">
        <w:rPr>
          <w:rFonts w:ascii="Calibri" w:eastAsia="Calibri" w:hAnsi="Calibri" w:cs="Calibri"/>
          <w:color w:val="000000" w:themeColor="text1"/>
          <w:sz w:val="24"/>
          <w:szCs w:val="24"/>
        </w:rPr>
        <w:t>Johannes</w:t>
      </w:r>
      <w:r w:rsidR="005A3C7F">
        <w:rPr>
          <w:rFonts w:ascii="Calibri" w:eastAsia="Calibri" w:hAnsi="Calibri" w:cs="Calibri"/>
          <w:color w:val="000000" w:themeColor="text1"/>
          <w:sz w:val="24"/>
          <w:szCs w:val="24"/>
        </w:rPr>
        <w:t>s</w:t>
      </w:r>
      <w:r w:rsidRPr="28B6F5B7">
        <w:rPr>
          <w:rFonts w:ascii="Calibri" w:eastAsia="Calibri" w:hAnsi="Calibri" w:cs="Calibri"/>
          <w:color w:val="000000" w:themeColor="text1"/>
          <w:sz w:val="24"/>
          <w:szCs w:val="24"/>
        </w:rPr>
        <w:t>on</w:t>
      </w:r>
      <w:proofErr w:type="spellEnd"/>
      <w:r w:rsidRPr="28B6F5B7">
        <w:rPr>
          <w:rFonts w:ascii="Calibri" w:eastAsia="Calibri" w:hAnsi="Calibri" w:cs="Calibri"/>
          <w:color w:val="000000" w:themeColor="text1"/>
          <w:sz w:val="24"/>
          <w:szCs w:val="24"/>
        </w:rPr>
        <w:t xml:space="preserve">, I. (2014), </w:t>
      </w:r>
      <w:r w:rsidRPr="28B6F5B7">
        <w:rPr>
          <w:rFonts w:ascii="Calibri" w:eastAsia="Calibri" w:hAnsi="Calibri" w:cs="Calibri"/>
          <w:i/>
          <w:iCs/>
          <w:color w:val="000000" w:themeColor="text1"/>
          <w:sz w:val="24"/>
          <w:szCs w:val="24"/>
        </w:rPr>
        <w:t>‘let’s go outside’ Icelandic teachers views</w:t>
      </w:r>
      <w:r w:rsidRPr="28B6F5B7">
        <w:rPr>
          <w:rFonts w:ascii="Calibri" w:eastAsia="Calibri" w:hAnsi="Calibri" w:cs="Calibri"/>
          <w:color w:val="000000" w:themeColor="text1"/>
          <w:sz w:val="24"/>
          <w:szCs w:val="24"/>
        </w:rPr>
        <w:t xml:space="preserve"> </w:t>
      </w:r>
      <w:r w:rsidRPr="28B6F5B7">
        <w:rPr>
          <w:rFonts w:ascii="Calibri" w:eastAsia="Calibri" w:hAnsi="Calibri" w:cs="Calibri"/>
          <w:i/>
          <w:iCs/>
          <w:color w:val="000000" w:themeColor="text1"/>
          <w:sz w:val="24"/>
          <w:szCs w:val="24"/>
        </w:rPr>
        <w:t>of using the outdoors</w:t>
      </w:r>
      <w:r w:rsidRPr="28B6F5B7">
        <w:rPr>
          <w:rFonts w:ascii="Calibri" w:eastAsia="Calibri" w:hAnsi="Calibri" w:cs="Calibri"/>
          <w:color w:val="000000" w:themeColor="text1"/>
          <w:sz w:val="24"/>
          <w:szCs w:val="24"/>
        </w:rPr>
        <w:t xml:space="preserve">, </w:t>
      </w:r>
      <w:r w:rsidRPr="28B6F5B7">
        <w:rPr>
          <w:rFonts w:ascii="Calibri" w:eastAsia="Calibri" w:hAnsi="Calibri" w:cs="Calibri"/>
          <w:i/>
          <w:iCs/>
          <w:color w:val="000000" w:themeColor="text1"/>
          <w:sz w:val="24"/>
          <w:szCs w:val="24"/>
        </w:rPr>
        <w:t>Education</w:t>
      </w:r>
      <w:r w:rsidRPr="28B6F5B7">
        <w:rPr>
          <w:rFonts w:ascii="Calibri" w:eastAsia="Calibri" w:hAnsi="Calibri" w:cs="Calibri"/>
          <w:color w:val="000000" w:themeColor="text1"/>
          <w:sz w:val="24"/>
          <w:szCs w:val="24"/>
        </w:rPr>
        <w:t>. 3-13; International Journal of Primary, Elementary and Early Years Education.</w:t>
      </w:r>
    </w:p>
    <w:p w14:paraId="1CB4D1EA" w14:textId="044B48E9" w:rsidR="00022E57" w:rsidRDefault="28B6F5B7" w:rsidP="28B6F5B7">
      <w:pPr>
        <w:rPr>
          <w:rFonts w:ascii="Calibri" w:eastAsia="Calibri" w:hAnsi="Calibri" w:cs="Calibri"/>
          <w:color w:val="000000" w:themeColor="text1"/>
          <w:sz w:val="24"/>
          <w:szCs w:val="24"/>
        </w:rPr>
      </w:pPr>
      <w:r w:rsidRPr="28B6F5B7">
        <w:rPr>
          <w:rFonts w:ascii="Calibri" w:eastAsia="Calibri" w:hAnsi="Calibri" w:cs="Calibri"/>
          <w:color w:val="000000" w:themeColor="text1"/>
          <w:sz w:val="24"/>
          <w:szCs w:val="24"/>
          <w:u w:val="single"/>
        </w:rPr>
        <w:t>Part 2a</w:t>
      </w:r>
    </w:p>
    <w:p w14:paraId="555AFD69" w14:textId="088CC640" w:rsidR="00022E57" w:rsidRDefault="28B6F5B7" w:rsidP="28B6F5B7">
      <w:pPr>
        <w:rPr>
          <w:rFonts w:ascii="Calibri" w:eastAsia="Calibri" w:hAnsi="Calibri" w:cs="Calibri"/>
          <w:color w:val="000000" w:themeColor="text1"/>
          <w:sz w:val="24"/>
          <w:szCs w:val="24"/>
        </w:rPr>
      </w:pPr>
      <w:r w:rsidRPr="28B6F5B7">
        <w:rPr>
          <w:rFonts w:ascii="Calibri" w:eastAsia="Calibri" w:hAnsi="Calibri" w:cs="Calibri"/>
          <w:color w:val="000000" w:themeColor="text1"/>
          <w:sz w:val="24"/>
          <w:szCs w:val="24"/>
        </w:rPr>
        <w:t>The definition of forest school from the Forest School Network says, “It is an inspirational process that offers children, young people and adult’s regular opportunities to achieve and develop confidence and self-esteem through hands on learning experiences in a woodland environment” (O’Brien and Murray, 20</w:t>
      </w:r>
      <w:r w:rsidR="007A6914">
        <w:rPr>
          <w:rFonts w:ascii="Calibri" w:eastAsia="Calibri" w:hAnsi="Calibri" w:cs="Calibri"/>
          <w:color w:val="000000" w:themeColor="text1"/>
          <w:sz w:val="24"/>
          <w:szCs w:val="24"/>
        </w:rPr>
        <w:t>0</w:t>
      </w:r>
      <w:r w:rsidRPr="28B6F5B7">
        <w:rPr>
          <w:rFonts w:ascii="Calibri" w:eastAsia="Calibri" w:hAnsi="Calibri" w:cs="Calibri"/>
          <w:color w:val="000000" w:themeColor="text1"/>
          <w:sz w:val="24"/>
          <w:szCs w:val="24"/>
        </w:rPr>
        <w:t xml:space="preserve">6.)  Professionals are worried </w:t>
      </w:r>
      <w:r w:rsidR="00D40D72">
        <w:rPr>
          <w:rFonts w:ascii="Calibri" w:eastAsia="Calibri" w:hAnsi="Calibri" w:cs="Calibri"/>
          <w:color w:val="000000" w:themeColor="text1"/>
          <w:sz w:val="24"/>
          <w:szCs w:val="24"/>
        </w:rPr>
        <w:t xml:space="preserve">that </w:t>
      </w:r>
      <w:r w:rsidRPr="28B6F5B7">
        <w:rPr>
          <w:rFonts w:ascii="Calibri" w:eastAsia="Calibri" w:hAnsi="Calibri" w:cs="Calibri"/>
          <w:color w:val="000000" w:themeColor="text1"/>
          <w:sz w:val="24"/>
          <w:szCs w:val="24"/>
        </w:rPr>
        <w:t>children are not getting to explore woodlands and outdoors as much as possible because of fears of accidents or indoor learning taking president over important outdoor learning time. (Obrien and Murray, 20</w:t>
      </w:r>
      <w:r w:rsidR="00F1382A">
        <w:rPr>
          <w:rFonts w:ascii="Calibri" w:eastAsia="Calibri" w:hAnsi="Calibri" w:cs="Calibri"/>
          <w:color w:val="000000" w:themeColor="text1"/>
          <w:sz w:val="24"/>
          <w:szCs w:val="24"/>
        </w:rPr>
        <w:t>0</w:t>
      </w:r>
      <w:r w:rsidRPr="28B6F5B7">
        <w:rPr>
          <w:rFonts w:ascii="Calibri" w:eastAsia="Calibri" w:hAnsi="Calibri" w:cs="Calibri"/>
          <w:color w:val="000000" w:themeColor="text1"/>
          <w:sz w:val="24"/>
          <w:szCs w:val="24"/>
        </w:rPr>
        <w:t>6.) There is further research indicating that if they miss out on outdoors as children they may miss out as adults to the benefits of nature. (Thompson et al. 2004.) The welsh government are encouraging foundation phase schools to do their own forest school sessions and encourage outdoor learning as much as possible.</w:t>
      </w:r>
    </w:p>
    <w:p w14:paraId="2C0F42F0" w14:textId="7906D558" w:rsidR="00022E57" w:rsidRDefault="28B6F5B7" w:rsidP="28B6F5B7">
      <w:pPr>
        <w:rPr>
          <w:rFonts w:ascii="Calibri" w:eastAsia="Calibri" w:hAnsi="Calibri" w:cs="Calibri"/>
          <w:color w:val="000000" w:themeColor="text1"/>
          <w:sz w:val="24"/>
          <w:szCs w:val="24"/>
        </w:rPr>
      </w:pPr>
      <w:r w:rsidRPr="28B6F5B7">
        <w:rPr>
          <w:rFonts w:ascii="Calibri" w:eastAsia="Calibri" w:hAnsi="Calibri" w:cs="Calibri"/>
          <w:color w:val="000000" w:themeColor="text1"/>
          <w:sz w:val="24"/>
          <w:szCs w:val="24"/>
        </w:rPr>
        <w:t xml:space="preserve">O’Brien, E. and Murray, R. (2006) </w:t>
      </w:r>
      <w:r w:rsidRPr="28B6F5B7">
        <w:rPr>
          <w:rFonts w:ascii="Calibri" w:eastAsia="Calibri" w:hAnsi="Calibri" w:cs="Calibri"/>
          <w:i/>
          <w:iCs/>
          <w:color w:val="000000" w:themeColor="text1"/>
          <w:sz w:val="24"/>
          <w:szCs w:val="24"/>
        </w:rPr>
        <w:t xml:space="preserve">A Marvellous opportunity for children to learn: A participatory evaluation of Forest School in England and Wales. </w:t>
      </w:r>
      <w:r w:rsidRPr="28B6F5B7">
        <w:rPr>
          <w:rFonts w:ascii="Calibri" w:eastAsia="Calibri" w:hAnsi="Calibri" w:cs="Calibri"/>
          <w:color w:val="000000" w:themeColor="text1"/>
          <w:sz w:val="24"/>
          <w:szCs w:val="24"/>
        </w:rPr>
        <w:t>Farnham: Forest Research</w:t>
      </w:r>
    </w:p>
    <w:p w14:paraId="025F50D2" w14:textId="2F630C2B" w:rsidR="00022E57" w:rsidRDefault="28B6F5B7" w:rsidP="28B6F5B7">
      <w:pPr>
        <w:rPr>
          <w:rFonts w:ascii="Calibri" w:eastAsia="Calibri" w:hAnsi="Calibri" w:cs="Calibri"/>
          <w:color w:val="000000" w:themeColor="text1"/>
          <w:sz w:val="24"/>
          <w:szCs w:val="24"/>
        </w:rPr>
      </w:pPr>
      <w:r w:rsidRPr="28B6F5B7">
        <w:rPr>
          <w:rFonts w:ascii="Calibri" w:eastAsia="Calibri" w:hAnsi="Calibri" w:cs="Calibri"/>
          <w:color w:val="000000" w:themeColor="text1"/>
          <w:sz w:val="24"/>
          <w:szCs w:val="24"/>
        </w:rPr>
        <w:t xml:space="preserve">Thompson, C. et al. (2004). </w:t>
      </w:r>
      <w:r w:rsidRPr="28B6F5B7">
        <w:rPr>
          <w:rFonts w:ascii="Calibri" w:eastAsia="Calibri" w:hAnsi="Calibri" w:cs="Calibri"/>
          <w:i/>
          <w:iCs/>
          <w:color w:val="000000" w:themeColor="text1"/>
          <w:sz w:val="24"/>
          <w:szCs w:val="24"/>
        </w:rPr>
        <w:t>Open Space and Social Inclusion</w:t>
      </w:r>
      <w:r w:rsidRPr="28B6F5B7">
        <w:rPr>
          <w:rFonts w:ascii="Calibri" w:eastAsia="Calibri" w:hAnsi="Calibri" w:cs="Calibri"/>
          <w:color w:val="000000" w:themeColor="text1"/>
          <w:sz w:val="24"/>
          <w:szCs w:val="24"/>
        </w:rPr>
        <w:t xml:space="preserve">: </w:t>
      </w:r>
      <w:r w:rsidRPr="28B6F5B7">
        <w:rPr>
          <w:rFonts w:ascii="Calibri" w:eastAsia="Calibri" w:hAnsi="Calibri" w:cs="Calibri"/>
          <w:i/>
          <w:iCs/>
          <w:color w:val="000000" w:themeColor="text1"/>
          <w:sz w:val="24"/>
          <w:szCs w:val="24"/>
        </w:rPr>
        <w:t>Local woodland use in central Scotland</w:t>
      </w:r>
      <w:r w:rsidRPr="28B6F5B7">
        <w:rPr>
          <w:rFonts w:ascii="Calibri" w:eastAsia="Calibri" w:hAnsi="Calibri" w:cs="Calibri"/>
          <w:color w:val="000000" w:themeColor="text1"/>
          <w:sz w:val="24"/>
          <w:szCs w:val="24"/>
        </w:rPr>
        <w:t>. Edinburgh: Report to the Forestry Commission</w:t>
      </w:r>
    </w:p>
    <w:p w14:paraId="48C00691" w14:textId="3C632BCD" w:rsidR="00022E57" w:rsidRDefault="28B6F5B7" w:rsidP="28B6F5B7">
      <w:pPr>
        <w:rPr>
          <w:rFonts w:ascii="Calibri" w:eastAsia="Calibri" w:hAnsi="Calibri" w:cs="Calibri"/>
          <w:color w:val="000000" w:themeColor="text1"/>
          <w:sz w:val="24"/>
          <w:szCs w:val="24"/>
        </w:rPr>
      </w:pPr>
      <w:r w:rsidRPr="28B6F5B7">
        <w:rPr>
          <w:rFonts w:ascii="Calibri" w:eastAsia="Calibri" w:hAnsi="Calibri" w:cs="Calibri"/>
          <w:color w:val="000000" w:themeColor="text1"/>
          <w:sz w:val="24"/>
          <w:szCs w:val="24"/>
        </w:rPr>
        <w:t xml:space="preserve">Welsh Assembly Government, (2009.) </w:t>
      </w:r>
      <w:r w:rsidRPr="28B6F5B7">
        <w:rPr>
          <w:rFonts w:ascii="Calibri" w:eastAsia="Calibri" w:hAnsi="Calibri" w:cs="Calibri"/>
          <w:i/>
          <w:iCs/>
          <w:color w:val="000000" w:themeColor="text1"/>
          <w:sz w:val="24"/>
          <w:szCs w:val="24"/>
        </w:rPr>
        <w:t>Outdoor Learning Handbook</w:t>
      </w:r>
      <w:r w:rsidRPr="28B6F5B7">
        <w:rPr>
          <w:rFonts w:ascii="Calibri" w:eastAsia="Calibri" w:hAnsi="Calibri" w:cs="Calibri"/>
          <w:color w:val="000000" w:themeColor="text1"/>
          <w:sz w:val="24"/>
          <w:szCs w:val="24"/>
        </w:rPr>
        <w:t>. Cardiff: Welsh Assembly Government.</w:t>
      </w:r>
    </w:p>
    <w:p w14:paraId="5B58C50B" w14:textId="62491DCA" w:rsidR="00022E57" w:rsidRDefault="28B6F5B7" w:rsidP="28B6F5B7">
      <w:pPr>
        <w:rPr>
          <w:rFonts w:ascii="Calibri" w:eastAsia="Calibri" w:hAnsi="Calibri" w:cs="Calibri"/>
          <w:color w:val="000000" w:themeColor="text1"/>
          <w:sz w:val="24"/>
          <w:szCs w:val="24"/>
        </w:rPr>
      </w:pPr>
      <w:r w:rsidRPr="28B6F5B7">
        <w:rPr>
          <w:rFonts w:ascii="Calibri" w:eastAsia="Calibri" w:hAnsi="Calibri" w:cs="Calibri"/>
          <w:color w:val="000000" w:themeColor="text1"/>
          <w:sz w:val="24"/>
          <w:szCs w:val="24"/>
          <w:u w:val="single"/>
        </w:rPr>
        <w:t>Part 2b</w:t>
      </w:r>
    </w:p>
    <w:p w14:paraId="4428053C" w14:textId="77777777" w:rsidR="00940BF1" w:rsidRDefault="28B6F5B7" w:rsidP="28B6F5B7">
      <w:pPr>
        <w:rPr>
          <w:rFonts w:ascii="Calibri" w:eastAsia="Calibri" w:hAnsi="Calibri" w:cs="Calibri"/>
          <w:color w:val="000000" w:themeColor="text1"/>
          <w:sz w:val="24"/>
          <w:szCs w:val="24"/>
        </w:rPr>
      </w:pPr>
      <w:r w:rsidRPr="28B6F5B7">
        <w:rPr>
          <w:rFonts w:ascii="Calibri" w:eastAsia="Calibri" w:hAnsi="Calibri" w:cs="Calibri"/>
          <w:color w:val="000000" w:themeColor="text1"/>
          <w:sz w:val="24"/>
          <w:szCs w:val="24"/>
        </w:rPr>
        <w:t xml:space="preserve">If you fail to acknowledge the source of your information in academic writing, you could be accused of </w:t>
      </w:r>
      <w:r w:rsidRPr="009C5F81">
        <w:rPr>
          <w:rFonts w:ascii="Calibri" w:eastAsia="Calibri" w:hAnsi="Calibri" w:cs="Calibri"/>
          <w:b/>
          <w:color w:val="000000" w:themeColor="text1"/>
          <w:sz w:val="24"/>
          <w:szCs w:val="24"/>
          <w:u w:val="single"/>
        </w:rPr>
        <w:t>plagiarism</w:t>
      </w:r>
      <w:r w:rsidRPr="28B6F5B7">
        <w:rPr>
          <w:rFonts w:ascii="Calibri" w:eastAsia="Calibri" w:hAnsi="Calibri" w:cs="Calibri"/>
          <w:color w:val="000000" w:themeColor="text1"/>
          <w:sz w:val="24"/>
          <w:szCs w:val="24"/>
        </w:rPr>
        <w:t xml:space="preserve">. Why is it important that students avoid this? </w:t>
      </w:r>
    </w:p>
    <w:p w14:paraId="4204A5ED" w14:textId="00F14D1D" w:rsidR="00022E57" w:rsidRDefault="0098162C" w:rsidP="28B6F5B7">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The reason you shouldn’t copy peoples work is because you’re not thinking for yourself, your copying other people’s views and opinions and not having any of your own. “</w:t>
      </w:r>
      <w:r w:rsidR="28B6F5B7" w:rsidRPr="28B6F5B7">
        <w:rPr>
          <w:rFonts w:ascii="Calibri" w:eastAsia="Calibri" w:hAnsi="Calibri" w:cs="Calibri"/>
          <w:color w:val="000000" w:themeColor="text1"/>
          <w:sz w:val="24"/>
          <w:szCs w:val="24"/>
        </w:rPr>
        <w:t>So</w:t>
      </w:r>
      <w:r w:rsidR="00D40D72">
        <w:rPr>
          <w:rFonts w:ascii="Calibri" w:eastAsia="Calibri" w:hAnsi="Calibri" w:cs="Calibri"/>
          <w:color w:val="000000" w:themeColor="text1"/>
          <w:sz w:val="24"/>
          <w:szCs w:val="24"/>
        </w:rPr>
        <w:t xml:space="preserve"> </w:t>
      </w:r>
      <w:r>
        <w:rPr>
          <w:rFonts w:ascii="Calibri" w:eastAsia="Calibri" w:hAnsi="Calibri" w:cs="Calibri"/>
          <w:color w:val="000000" w:themeColor="text1"/>
          <w:sz w:val="24"/>
          <w:szCs w:val="24"/>
        </w:rPr>
        <w:t xml:space="preserve">that you </w:t>
      </w:r>
      <w:r w:rsidR="28B6F5B7" w:rsidRPr="28B6F5B7">
        <w:rPr>
          <w:rFonts w:ascii="Calibri" w:eastAsia="Calibri" w:hAnsi="Calibri" w:cs="Calibri"/>
          <w:color w:val="000000" w:themeColor="text1"/>
          <w:sz w:val="24"/>
          <w:szCs w:val="24"/>
        </w:rPr>
        <w:t>don’t pass of someone else’s work as your own</w:t>
      </w:r>
      <w:r>
        <w:rPr>
          <w:rFonts w:ascii="Calibri" w:eastAsia="Calibri" w:hAnsi="Calibri" w:cs="Calibri"/>
          <w:color w:val="000000" w:themeColor="text1"/>
          <w:sz w:val="24"/>
          <w:szCs w:val="24"/>
        </w:rPr>
        <w:t>”</w:t>
      </w:r>
      <w:r w:rsidR="002F7EBB">
        <w:rPr>
          <w:rFonts w:ascii="Calibri" w:eastAsia="Calibri" w:hAnsi="Calibri" w:cs="Calibri"/>
          <w:color w:val="000000" w:themeColor="text1"/>
          <w:sz w:val="24"/>
          <w:szCs w:val="24"/>
        </w:rPr>
        <w:t xml:space="preserve"> </w:t>
      </w:r>
      <w:r w:rsidR="28B6F5B7" w:rsidRPr="28B6F5B7">
        <w:rPr>
          <w:rFonts w:ascii="Calibri" w:eastAsia="Calibri" w:hAnsi="Calibri" w:cs="Calibri"/>
          <w:color w:val="000000" w:themeColor="text1"/>
          <w:sz w:val="24"/>
          <w:szCs w:val="24"/>
        </w:rPr>
        <w:t xml:space="preserve">(Downes and Evans, 2018, p4). </w:t>
      </w:r>
    </w:p>
    <w:p w14:paraId="7C03FC5D" w14:textId="7DA71A57" w:rsidR="00940BF1" w:rsidRDefault="28B6F5B7" w:rsidP="28B6F5B7">
      <w:pPr>
        <w:rPr>
          <w:rFonts w:ascii="Calibri" w:eastAsia="Calibri" w:hAnsi="Calibri" w:cs="Calibri"/>
          <w:color w:val="000000" w:themeColor="text1"/>
          <w:sz w:val="24"/>
          <w:szCs w:val="24"/>
        </w:rPr>
      </w:pPr>
      <w:r w:rsidRPr="28B6F5B7">
        <w:rPr>
          <w:rFonts w:ascii="Calibri" w:eastAsia="Calibri" w:hAnsi="Calibri" w:cs="Calibri"/>
          <w:color w:val="000000" w:themeColor="text1"/>
          <w:sz w:val="24"/>
          <w:szCs w:val="24"/>
        </w:rPr>
        <w:lastRenderedPageBreak/>
        <w:t xml:space="preserve">You only </w:t>
      </w:r>
      <w:proofErr w:type="gramStart"/>
      <w:r w:rsidRPr="28B6F5B7">
        <w:rPr>
          <w:rFonts w:ascii="Calibri" w:eastAsia="Calibri" w:hAnsi="Calibri" w:cs="Calibri"/>
          <w:color w:val="000000" w:themeColor="text1"/>
          <w:sz w:val="24"/>
          <w:szCs w:val="24"/>
        </w:rPr>
        <w:t>have to</w:t>
      </w:r>
      <w:proofErr w:type="gramEnd"/>
      <w:r w:rsidR="002F7EBB">
        <w:rPr>
          <w:rFonts w:ascii="Calibri" w:eastAsia="Calibri" w:hAnsi="Calibri" w:cs="Calibri"/>
          <w:color w:val="000000" w:themeColor="text1"/>
          <w:sz w:val="24"/>
          <w:szCs w:val="24"/>
        </w:rPr>
        <w:t xml:space="preserve"> </w:t>
      </w:r>
      <w:r w:rsidRPr="28B6F5B7">
        <w:rPr>
          <w:rFonts w:ascii="Calibri" w:eastAsia="Calibri" w:hAnsi="Calibri" w:cs="Calibri"/>
          <w:color w:val="000000" w:themeColor="text1"/>
          <w:sz w:val="24"/>
          <w:szCs w:val="24"/>
        </w:rPr>
        <w:t xml:space="preserve">reference when you use a direct quotation. Is this true or false? </w:t>
      </w:r>
      <w:r w:rsidRPr="009C5F81">
        <w:rPr>
          <w:rFonts w:ascii="Calibri" w:eastAsia="Calibri" w:hAnsi="Calibri" w:cs="Calibri"/>
          <w:b/>
          <w:color w:val="000000" w:themeColor="text1"/>
          <w:sz w:val="24"/>
          <w:szCs w:val="24"/>
          <w:u w:val="single"/>
        </w:rPr>
        <w:t>False</w:t>
      </w:r>
      <w:r w:rsidRPr="28B6F5B7">
        <w:rPr>
          <w:rFonts w:ascii="Calibri" w:eastAsia="Calibri" w:hAnsi="Calibri" w:cs="Calibri"/>
          <w:color w:val="000000" w:themeColor="text1"/>
          <w:sz w:val="24"/>
          <w:szCs w:val="24"/>
        </w:rPr>
        <w:t xml:space="preserve"> Explain your answer.</w:t>
      </w:r>
    </w:p>
    <w:p w14:paraId="264CF508" w14:textId="0EAA86D3" w:rsidR="00022E57" w:rsidRDefault="002F7EBB" w:rsidP="28B6F5B7">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We</w:t>
      </w:r>
      <w:r w:rsidR="28B6F5B7" w:rsidRPr="28B6F5B7">
        <w:rPr>
          <w:rFonts w:ascii="Calibri" w:eastAsia="Calibri" w:hAnsi="Calibri" w:cs="Calibri"/>
          <w:color w:val="000000" w:themeColor="text1"/>
          <w:sz w:val="24"/>
          <w:szCs w:val="24"/>
        </w:rPr>
        <w:t xml:space="preserve"> can rewrite paragraphs in our own words, </w:t>
      </w:r>
      <w:proofErr w:type="gramStart"/>
      <w:r w:rsidR="28B6F5B7" w:rsidRPr="28B6F5B7">
        <w:rPr>
          <w:rFonts w:ascii="Calibri" w:eastAsia="Calibri" w:hAnsi="Calibri" w:cs="Calibri"/>
          <w:color w:val="000000" w:themeColor="text1"/>
          <w:sz w:val="24"/>
          <w:szCs w:val="24"/>
        </w:rPr>
        <w:t>as long as</w:t>
      </w:r>
      <w:proofErr w:type="gramEnd"/>
      <w:r w:rsidR="28B6F5B7" w:rsidRPr="28B6F5B7">
        <w:rPr>
          <w:rFonts w:ascii="Calibri" w:eastAsia="Calibri" w:hAnsi="Calibri" w:cs="Calibri"/>
          <w:color w:val="000000" w:themeColor="text1"/>
          <w:sz w:val="24"/>
          <w:szCs w:val="24"/>
        </w:rPr>
        <w:t xml:space="preserve"> </w:t>
      </w:r>
      <w:r w:rsidR="0098162C">
        <w:rPr>
          <w:rFonts w:ascii="Calibri" w:eastAsia="Calibri" w:hAnsi="Calibri" w:cs="Calibri"/>
          <w:color w:val="000000" w:themeColor="text1"/>
          <w:sz w:val="24"/>
          <w:szCs w:val="24"/>
        </w:rPr>
        <w:t>we</w:t>
      </w:r>
      <w:r w:rsidR="28B6F5B7" w:rsidRPr="28B6F5B7">
        <w:rPr>
          <w:rFonts w:ascii="Calibri" w:eastAsia="Calibri" w:hAnsi="Calibri" w:cs="Calibri"/>
          <w:color w:val="000000" w:themeColor="text1"/>
          <w:sz w:val="24"/>
          <w:szCs w:val="24"/>
        </w:rPr>
        <w:t xml:space="preserve"> reference </w:t>
      </w:r>
      <w:r w:rsidR="0098162C">
        <w:rPr>
          <w:rFonts w:ascii="Calibri" w:eastAsia="Calibri" w:hAnsi="Calibri" w:cs="Calibri"/>
          <w:color w:val="000000" w:themeColor="text1"/>
          <w:sz w:val="24"/>
          <w:szCs w:val="24"/>
        </w:rPr>
        <w:t>them</w:t>
      </w:r>
      <w:r w:rsidR="28B6F5B7" w:rsidRPr="28B6F5B7">
        <w:rPr>
          <w:rFonts w:ascii="Calibri" w:eastAsia="Calibri" w:hAnsi="Calibri" w:cs="Calibri"/>
          <w:color w:val="000000" w:themeColor="text1"/>
          <w:sz w:val="24"/>
          <w:szCs w:val="24"/>
        </w:rPr>
        <w:t xml:space="preserve">. </w:t>
      </w:r>
      <w:r>
        <w:rPr>
          <w:rFonts w:ascii="Calibri" w:eastAsia="Calibri" w:hAnsi="Calibri" w:cs="Calibri"/>
          <w:color w:val="000000" w:themeColor="text1"/>
          <w:sz w:val="24"/>
          <w:szCs w:val="24"/>
        </w:rPr>
        <w:t xml:space="preserve">We </w:t>
      </w:r>
      <w:r w:rsidR="28B6F5B7" w:rsidRPr="28B6F5B7">
        <w:rPr>
          <w:rFonts w:ascii="Calibri" w:eastAsia="Calibri" w:hAnsi="Calibri" w:cs="Calibri"/>
          <w:color w:val="000000" w:themeColor="text1"/>
          <w:sz w:val="24"/>
          <w:szCs w:val="24"/>
        </w:rPr>
        <w:t>can paraphrase or summari</w:t>
      </w:r>
      <w:r>
        <w:rPr>
          <w:rFonts w:ascii="Calibri" w:eastAsia="Calibri" w:hAnsi="Calibri" w:cs="Calibri"/>
          <w:color w:val="000000" w:themeColor="text1"/>
          <w:sz w:val="24"/>
          <w:szCs w:val="24"/>
        </w:rPr>
        <w:t>s</w:t>
      </w:r>
      <w:r w:rsidR="28B6F5B7" w:rsidRPr="28B6F5B7">
        <w:rPr>
          <w:rFonts w:ascii="Calibri" w:eastAsia="Calibri" w:hAnsi="Calibri" w:cs="Calibri"/>
          <w:color w:val="000000" w:themeColor="text1"/>
          <w:sz w:val="24"/>
          <w:szCs w:val="24"/>
        </w:rPr>
        <w:t>e</w:t>
      </w:r>
      <w:r>
        <w:rPr>
          <w:rFonts w:ascii="Calibri" w:eastAsia="Calibri" w:hAnsi="Calibri" w:cs="Calibri"/>
          <w:color w:val="000000" w:themeColor="text1"/>
          <w:sz w:val="24"/>
          <w:szCs w:val="24"/>
        </w:rPr>
        <w:t xml:space="preserve"> literature tha</w:t>
      </w:r>
      <w:r w:rsidR="006E0D5A">
        <w:rPr>
          <w:rFonts w:ascii="Calibri" w:eastAsia="Calibri" w:hAnsi="Calibri" w:cs="Calibri"/>
          <w:color w:val="000000" w:themeColor="text1"/>
          <w:sz w:val="24"/>
          <w:szCs w:val="24"/>
        </w:rPr>
        <w:t>t,</w:t>
      </w:r>
      <w:r>
        <w:rPr>
          <w:rFonts w:ascii="Calibri" w:eastAsia="Calibri" w:hAnsi="Calibri" w:cs="Calibri"/>
          <w:color w:val="000000" w:themeColor="text1"/>
          <w:sz w:val="24"/>
          <w:szCs w:val="24"/>
        </w:rPr>
        <w:t xml:space="preserve"> we have read but these </w:t>
      </w:r>
      <w:r w:rsidR="28B6F5B7" w:rsidRPr="28B6F5B7">
        <w:rPr>
          <w:rFonts w:ascii="Calibri" w:eastAsia="Calibri" w:hAnsi="Calibri" w:cs="Calibri"/>
          <w:color w:val="000000" w:themeColor="text1"/>
          <w:sz w:val="24"/>
          <w:szCs w:val="24"/>
        </w:rPr>
        <w:t xml:space="preserve">would also need to be referenced </w:t>
      </w:r>
      <w:r>
        <w:rPr>
          <w:rFonts w:ascii="Calibri" w:eastAsia="Calibri" w:hAnsi="Calibri" w:cs="Calibri"/>
          <w:color w:val="000000" w:themeColor="text1"/>
          <w:sz w:val="24"/>
          <w:szCs w:val="24"/>
        </w:rPr>
        <w:t xml:space="preserve">even if </w:t>
      </w:r>
      <w:r w:rsidR="28B6F5B7" w:rsidRPr="28B6F5B7">
        <w:rPr>
          <w:rFonts w:ascii="Calibri" w:eastAsia="Calibri" w:hAnsi="Calibri" w:cs="Calibri"/>
          <w:color w:val="000000" w:themeColor="text1"/>
          <w:sz w:val="24"/>
          <w:szCs w:val="24"/>
        </w:rPr>
        <w:t>the</w:t>
      </w:r>
      <w:r>
        <w:rPr>
          <w:rFonts w:ascii="Calibri" w:eastAsia="Calibri" w:hAnsi="Calibri" w:cs="Calibri"/>
          <w:color w:val="000000" w:themeColor="text1"/>
          <w:sz w:val="24"/>
          <w:szCs w:val="24"/>
        </w:rPr>
        <w:t xml:space="preserve">y are </w:t>
      </w:r>
      <w:r w:rsidR="28B6F5B7" w:rsidRPr="28B6F5B7">
        <w:rPr>
          <w:rFonts w:ascii="Calibri" w:eastAsia="Calibri" w:hAnsi="Calibri" w:cs="Calibri"/>
          <w:color w:val="000000" w:themeColor="text1"/>
          <w:sz w:val="24"/>
          <w:szCs w:val="24"/>
        </w:rPr>
        <w:t xml:space="preserve">not </w:t>
      </w:r>
      <w:r>
        <w:rPr>
          <w:rFonts w:ascii="Calibri" w:eastAsia="Calibri" w:hAnsi="Calibri" w:cs="Calibri"/>
          <w:color w:val="000000" w:themeColor="text1"/>
          <w:sz w:val="24"/>
          <w:szCs w:val="24"/>
        </w:rPr>
        <w:t xml:space="preserve">used as </w:t>
      </w:r>
      <w:r w:rsidR="28B6F5B7" w:rsidRPr="28B6F5B7">
        <w:rPr>
          <w:rFonts w:ascii="Calibri" w:eastAsia="Calibri" w:hAnsi="Calibri" w:cs="Calibri"/>
          <w:color w:val="000000" w:themeColor="text1"/>
          <w:sz w:val="24"/>
          <w:szCs w:val="24"/>
        </w:rPr>
        <w:t>direct quotes.</w:t>
      </w:r>
    </w:p>
    <w:p w14:paraId="56EF8486" w14:textId="77777777" w:rsidR="00940BF1" w:rsidRDefault="28B6F5B7" w:rsidP="28B6F5B7">
      <w:pPr>
        <w:rPr>
          <w:rFonts w:ascii="Calibri" w:eastAsia="Calibri" w:hAnsi="Calibri" w:cs="Calibri"/>
          <w:color w:val="000000" w:themeColor="text1"/>
          <w:sz w:val="24"/>
          <w:szCs w:val="24"/>
        </w:rPr>
      </w:pPr>
      <w:r w:rsidRPr="28B6F5B7">
        <w:rPr>
          <w:rFonts w:ascii="Calibri" w:eastAsia="Calibri" w:hAnsi="Calibri" w:cs="Calibri"/>
          <w:color w:val="000000" w:themeColor="text1"/>
          <w:sz w:val="24"/>
          <w:szCs w:val="24"/>
        </w:rPr>
        <w:t xml:space="preserve">Wikipedia is a good place to search for information for your academic assignments. Explain with reasons, whether you believe this statement is true or false. </w:t>
      </w:r>
    </w:p>
    <w:p w14:paraId="23DE6404" w14:textId="3DBBED75" w:rsidR="00022E57" w:rsidRDefault="28B6F5B7" w:rsidP="28B6F5B7">
      <w:pPr>
        <w:rPr>
          <w:rFonts w:ascii="Calibri" w:eastAsia="Calibri" w:hAnsi="Calibri" w:cs="Calibri"/>
          <w:color w:val="000000" w:themeColor="text1"/>
          <w:sz w:val="24"/>
          <w:szCs w:val="24"/>
        </w:rPr>
      </w:pPr>
      <w:r w:rsidRPr="28B6F5B7">
        <w:rPr>
          <w:rFonts w:ascii="Calibri" w:eastAsia="Calibri" w:hAnsi="Calibri" w:cs="Calibri"/>
          <w:color w:val="000000" w:themeColor="text1"/>
          <w:sz w:val="24"/>
          <w:szCs w:val="24"/>
        </w:rPr>
        <w:t xml:space="preserve">False I believe that </w:t>
      </w:r>
      <w:r w:rsidR="006E0D5A">
        <w:rPr>
          <w:rFonts w:ascii="Calibri" w:eastAsia="Calibri" w:hAnsi="Calibri" w:cs="Calibri"/>
          <w:color w:val="000000" w:themeColor="text1"/>
          <w:sz w:val="24"/>
          <w:szCs w:val="24"/>
        </w:rPr>
        <w:t>W</w:t>
      </w:r>
      <w:r w:rsidRPr="28B6F5B7">
        <w:rPr>
          <w:rFonts w:ascii="Calibri" w:eastAsia="Calibri" w:hAnsi="Calibri" w:cs="Calibri"/>
          <w:color w:val="000000" w:themeColor="text1"/>
          <w:sz w:val="24"/>
          <w:szCs w:val="24"/>
        </w:rPr>
        <w:t xml:space="preserve">ikipedia is a good place to start to look for information but as </w:t>
      </w:r>
      <w:r w:rsidR="006E0D5A">
        <w:rPr>
          <w:rFonts w:ascii="Calibri" w:eastAsia="Calibri" w:hAnsi="Calibri" w:cs="Calibri"/>
          <w:color w:val="000000" w:themeColor="text1"/>
          <w:sz w:val="24"/>
          <w:szCs w:val="24"/>
        </w:rPr>
        <w:t xml:space="preserve">it’s not factual and </w:t>
      </w:r>
      <w:r w:rsidRPr="28B6F5B7">
        <w:rPr>
          <w:rFonts w:ascii="Calibri" w:eastAsia="Calibri" w:hAnsi="Calibri" w:cs="Calibri"/>
          <w:color w:val="000000" w:themeColor="text1"/>
          <w:sz w:val="24"/>
          <w:szCs w:val="24"/>
        </w:rPr>
        <w:t xml:space="preserve">it can be changed, it may </w:t>
      </w:r>
      <w:r w:rsidR="006E0D5A">
        <w:rPr>
          <w:rFonts w:ascii="Calibri" w:eastAsia="Calibri" w:hAnsi="Calibri" w:cs="Calibri"/>
          <w:color w:val="000000" w:themeColor="text1"/>
          <w:sz w:val="24"/>
          <w:szCs w:val="24"/>
        </w:rPr>
        <w:t xml:space="preserve">lead to incorrect conclusions or the </w:t>
      </w:r>
      <w:r w:rsidRPr="28B6F5B7">
        <w:rPr>
          <w:rFonts w:ascii="Calibri" w:eastAsia="Calibri" w:hAnsi="Calibri" w:cs="Calibri"/>
          <w:color w:val="000000" w:themeColor="text1"/>
          <w:sz w:val="24"/>
          <w:szCs w:val="24"/>
        </w:rPr>
        <w:t>information</w:t>
      </w:r>
      <w:r w:rsidR="006E0D5A">
        <w:rPr>
          <w:rFonts w:ascii="Calibri" w:eastAsia="Calibri" w:hAnsi="Calibri" w:cs="Calibri"/>
          <w:color w:val="000000" w:themeColor="text1"/>
          <w:sz w:val="24"/>
          <w:szCs w:val="24"/>
        </w:rPr>
        <w:t xml:space="preserve"> may not to be up to date.</w:t>
      </w:r>
      <w:r w:rsidRPr="28B6F5B7">
        <w:rPr>
          <w:rFonts w:ascii="Calibri" w:eastAsia="Calibri" w:hAnsi="Calibri" w:cs="Calibri"/>
          <w:color w:val="000000" w:themeColor="text1"/>
          <w:sz w:val="24"/>
          <w:szCs w:val="24"/>
        </w:rPr>
        <w:t xml:space="preserve"> </w:t>
      </w:r>
      <w:r w:rsidR="00EF1E4F">
        <w:rPr>
          <w:rFonts w:ascii="Calibri" w:eastAsia="Calibri" w:hAnsi="Calibri" w:cs="Calibri"/>
          <w:color w:val="000000" w:themeColor="text1"/>
          <w:sz w:val="24"/>
          <w:szCs w:val="24"/>
        </w:rPr>
        <w:t>Therefore,</w:t>
      </w:r>
      <w:r w:rsidRPr="28B6F5B7">
        <w:rPr>
          <w:rFonts w:ascii="Calibri" w:eastAsia="Calibri" w:hAnsi="Calibri" w:cs="Calibri"/>
          <w:color w:val="000000" w:themeColor="text1"/>
          <w:sz w:val="24"/>
          <w:szCs w:val="24"/>
        </w:rPr>
        <w:t xml:space="preserve"> I would say its ok to have a look but don’t quote and reference from it. </w:t>
      </w:r>
    </w:p>
    <w:p w14:paraId="21BDAE00" w14:textId="1B24A533" w:rsidR="00022E57" w:rsidRDefault="28B6F5B7" w:rsidP="28B6F5B7">
      <w:pPr>
        <w:rPr>
          <w:rFonts w:ascii="Calibri" w:eastAsia="Calibri" w:hAnsi="Calibri" w:cs="Calibri"/>
          <w:color w:val="000000" w:themeColor="text1"/>
          <w:sz w:val="24"/>
          <w:szCs w:val="24"/>
        </w:rPr>
      </w:pPr>
      <w:r w:rsidRPr="28B6F5B7">
        <w:rPr>
          <w:rFonts w:ascii="Calibri" w:eastAsia="Calibri" w:hAnsi="Calibri" w:cs="Calibri"/>
          <w:color w:val="000000" w:themeColor="text1"/>
          <w:sz w:val="24"/>
          <w:szCs w:val="24"/>
        </w:rPr>
        <w:t>Write a set of instructions which could be included in a referencing guide which explains how to present a very long quotation.</w:t>
      </w:r>
    </w:p>
    <w:p w14:paraId="67E24E8C" w14:textId="489BA890" w:rsidR="00EF1E4F" w:rsidRDefault="00EF1E4F" w:rsidP="00EF1E4F">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 Leave a gap and write as a separate paragraph</w:t>
      </w:r>
      <w:r w:rsidR="00340F70">
        <w:rPr>
          <w:rFonts w:ascii="Calibri" w:eastAsia="Calibri" w:hAnsi="Calibri" w:cs="Calibri"/>
          <w:color w:val="000000" w:themeColor="text1"/>
          <w:sz w:val="24"/>
          <w:szCs w:val="24"/>
        </w:rPr>
        <w:t xml:space="preserve"> on its own</w:t>
      </w:r>
    </w:p>
    <w:p w14:paraId="28F606BF" w14:textId="762D8A65" w:rsidR="00EF1E4F" w:rsidRDefault="00EF1E4F" w:rsidP="00EF1E4F">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 Index</w:t>
      </w:r>
      <w:r w:rsidR="00940BF1">
        <w:rPr>
          <w:rFonts w:ascii="Calibri" w:eastAsia="Calibri" w:hAnsi="Calibri" w:cs="Calibri"/>
          <w:color w:val="000000" w:themeColor="text1"/>
          <w:sz w:val="24"/>
          <w:szCs w:val="24"/>
        </w:rPr>
        <w:t xml:space="preserve"> </w:t>
      </w:r>
      <w:r>
        <w:rPr>
          <w:rFonts w:ascii="Calibri" w:eastAsia="Calibri" w:hAnsi="Calibri" w:cs="Calibri"/>
          <w:color w:val="000000" w:themeColor="text1"/>
          <w:sz w:val="24"/>
          <w:szCs w:val="24"/>
        </w:rPr>
        <w:t>text</w:t>
      </w:r>
    </w:p>
    <w:p w14:paraId="7BE73277" w14:textId="7E3A7304" w:rsidR="00022E57" w:rsidRDefault="00EF1E4F" w:rsidP="28B6F5B7">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 xml:space="preserve">. </w:t>
      </w:r>
      <w:r w:rsidR="00340F70">
        <w:rPr>
          <w:rFonts w:ascii="Calibri" w:eastAsia="Calibri" w:hAnsi="Calibri" w:cs="Calibri"/>
          <w:color w:val="000000" w:themeColor="text1"/>
          <w:sz w:val="24"/>
          <w:szCs w:val="24"/>
        </w:rPr>
        <w:t>C</w:t>
      </w:r>
      <w:r>
        <w:rPr>
          <w:rFonts w:ascii="Calibri" w:eastAsia="Calibri" w:hAnsi="Calibri" w:cs="Calibri"/>
          <w:color w:val="000000" w:themeColor="text1"/>
          <w:sz w:val="24"/>
          <w:szCs w:val="24"/>
        </w:rPr>
        <w:t>itation at</w:t>
      </w:r>
      <w:r w:rsidR="00E37BE1">
        <w:rPr>
          <w:rFonts w:ascii="Calibri" w:eastAsia="Calibri" w:hAnsi="Calibri" w:cs="Calibri"/>
          <w:color w:val="000000" w:themeColor="text1"/>
          <w:sz w:val="24"/>
          <w:szCs w:val="24"/>
        </w:rPr>
        <w:t xml:space="preserve"> the</w:t>
      </w:r>
      <w:r>
        <w:rPr>
          <w:rFonts w:ascii="Calibri" w:eastAsia="Calibri" w:hAnsi="Calibri" w:cs="Calibri"/>
          <w:color w:val="000000" w:themeColor="text1"/>
          <w:sz w:val="24"/>
          <w:szCs w:val="24"/>
        </w:rPr>
        <w:t xml:space="preserve"> end of</w:t>
      </w:r>
      <w:r w:rsidR="00E37BE1">
        <w:rPr>
          <w:rFonts w:ascii="Calibri" w:eastAsia="Calibri" w:hAnsi="Calibri" w:cs="Calibri"/>
          <w:color w:val="000000" w:themeColor="text1"/>
          <w:sz w:val="24"/>
          <w:szCs w:val="24"/>
        </w:rPr>
        <w:t xml:space="preserve"> the</w:t>
      </w:r>
      <w:r>
        <w:rPr>
          <w:rFonts w:ascii="Calibri" w:eastAsia="Calibri" w:hAnsi="Calibri" w:cs="Calibri"/>
          <w:color w:val="000000" w:themeColor="text1"/>
          <w:sz w:val="24"/>
          <w:szCs w:val="24"/>
        </w:rPr>
        <w:t xml:space="preserve"> quot</w:t>
      </w:r>
      <w:r w:rsidR="00340F70">
        <w:rPr>
          <w:rFonts w:ascii="Calibri" w:eastAsia="Calibri" w:hAnsi="Calibri" w:cs="Calibri"/>
          <w:color w:val="000000" w:themeColor="text1"/>
          <w:sz w:val="24"/>
          <w:szCs w:val="24"/>
        </w:rPr>
        <w:t>e</w:t>
      </w:r>
      <w:r w:rsidR="28B6F5B7" w:rsidRPr="28B6F5B7">
        <w:rPr>
          <w:rFonts w:ascii="Calibri" w:eastAsia="Calibri" w:hAnsi="Calibri" w:cs="Calibri"/>
          <w:color w:val="000000" w:themeColor="text1"/>
          <w:sz w:val="24"/>
          <w:szCs w:val="24"/>
        </w:rPr>
        <w:t xml:space="preserve">       </w:t>
      </w:r>
    </w:p>
    <w:p w14:paraId="02F8FC57" w14:textId="77777777" w:rsidR="00940BF1" w:rsidRDefault="28B6F5B7" w:rsidP="28B6F5B7">
      <w:pPr>
        <w:rPr>
          <w:rFonts w:ascii="Calibri" w:eastAsia="Calibri" w:hAnsi="Calibri" w:cs="Calibri"/>
          <w:color w:val="000000" w:themeColor="text1"/>
          <w:sz w:val="24"/>
          <w:szCs w:val="24"/>
        </w:rPr>
      </w:pPr>
      <w:r w:rsidRPr="28B6F5B7">
        <w:rPr>
          <w:rFonts w:ascii="Calibri" w:eastAsia="Calibri" w:hAnsi="Calibri" w:cs="Calibri"/>
          <w:color w:val="000000" w:themeColor="text1"/>
          <w:sz w:val="24"/>
          <w:szCs w:val="24"/>
        </w:rPr>
        <w:t>Exp</w:t>
      </w:r>
      <w:r w:rsidR="00940BF1">
        <w:rPr>
          <w:rFonts w:ascii="Calibri" w:eastAsia="Calibri" w:hAnsi="Calibri" w:cs="Calibri"/>
          <w:color w:val="000000" w:themeColor="text1"/>
          <w:sz w:val="24"/>
          <w:szCs w:val="24"/>
        </w:rPr>
        <w:t>l</w:t>
      </w:r>
      <w:r w:rsidRPr="28B6F5B7">
        <w:rPr>
          <w:rFonts w:ascii="Calibri" w:eastAsia="Calibri" w:hAnsi="Calibri" w:cs="Calibri"/>
          <w:color w:val="000000" w:themeColor="text1"/>
          <w:sz w:val="24"/>
          <w:szCs w:val="24"/>
        </w:rPr>
        <w:t xml:space="preserve">ain how you can begin to conduct research for an academic assignment. Identify five sources which would be acceptable for academic study. </w:t>
      </w:r>
    </w:p>
    <w:p w14:paraId="32F476DB" w14:textId="54C28E14" w:rsidR="00940BF1" w:rsidRDefault="009A11EF" w:rsidP="28B6F5B7">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Thoroughly read your assignment and here are five of the sources:</w:t>
      </w:r>
    </w:p>
    <w:p w14:paraId="0CCC1A4F" w14:textId="1E801823" w:rsidR="00940BF1" w:rsidRDefault="00E37BE1" w:rsidP="28B6F5B7">
      <w:pPr>
        <w:rPr>
          <w:rFonts w:ascii="Calibri" w:eastAsia="Calibri" w:hAnsi="Calibri" w:cs="Calibri"/>
          <w:color w:val="000000" w:themeColor="text1"/>
          <w:sz w:val="24"/>
          <w:szCs w:val="24"/>
        </w:rPr>
      </w:pPr>
      <w:r>
        <w:rPr>
          <w:rFonts w:ascii="Calibri" w:eastAsia="Calibri" w:hAnsi="Calibri" w:cs="Calibri"/>
          <w:color w:val="000000" w:themeColor="text1"/>
          <w:sz w:val="24"/>
          <w:szCs w:val="24"/>
        </w:rPr>
        <w:t>books</w:t>
      </w:r>
      <w:r w:rsidRPr="28B6F5B7">
        <w:rPr>
          <w:rFonts w:ascii="Calibri" w:eastAsia="Calibri" w:hAnsi="Calibri" w:cs="Calibri"/>
          <w:color w:val="000000" w:themeColor="text1"/>
          <w:sz w:val="24"/>
          <w:szCs w:val="24"/>
        </w:rPr>
        <w:t xml:space="preserve"> </w:t>
      </w:r>
      <w:r w:rsidR="28B6F5B7" w:rsidRPr="28B6F5B7">
        <w:rPr>
          <w:rFonts w:ascii="Calibri" w:eastAsia="Calibri" w:hAnsi="Calibri" w:cs="Calibri"/>
          <w:color w:val="000000" w:themeColor="text1"/>
          <w:sz w:val="24"/>
          <w:szCs w:val="24"/>
        </w:rPr>
        <w:t>and E-books</w:t>
      </w:r>
    </w:p>
    <w:p w14:paraId="147C071A" w14:textId="77777777" w:rsidR="009A11EF" w:rsidRDefault="28B6F5B7" w:rsidP="28B6F5B7">
      <w:pPr>
        <w:rPr>
          <w:rFonts w:ascii="Calibri" w:eastAsia="Calibri" w:hAnsi="Calibri" w:cs="Calibri"/>
          <w:color w:val="000000" w:themeColor="text1"/>
          <w:sz w:val="24"/>
          <w:szCs w:val="24"/>
        </w:rPr>
      </w:pPr>
      <w:r w:rsidRPr="28B6F5B7">
        <w:rPr>
          <w:rFonts w:ascii="Calibri" w:eastAsia="Calibri" w:hAnsi="Calibri" w:cs="Calibri"/>
          <w:color w:val="000000" w:themeColor="text1"/>
          <w:sz w:val="24"/>
          <w:szCs w:val="24"/>
        </w:rPr>
        <w:t>Journal</w:t>
      </w:r>
    </w:p>
    <w:p w14:paraId="5395EC72" w14:textId="77777777" w:rsidR="009A11EF" w:rsidRDefault="28B6F5B7" w:rsidP="28B6F5B7">
      <w:pPr>
        <w:rPr>
          <w:rFonts w:ascii="Calibri" w:eastAsia="Calibri" w:hAnsi="Calibri" w:cs="Calibri"/>
          <w:color w:val="000000" w:themeColor="text1"/>
          <w:sz w:val="24"/>
          <w:szCs w:val="24"/>
        </w:rPr>
      </w:pPr>
      <w:r w:rsidRPr="28B6F5B7">
        <w:rPr>
          <w:rFonts w:ascii="Calibri" w:eastAsia="Calibri" w:hAnsi="Calibri" w:cs="Calibri"/>
          <w:color w:val="000000" w:themeColor="text1"/>
          <w:sz w:val="24"/>
          <w:szCs w:val="24"/>
        </w:rPr>
        <w:t>Newspaper articles</w:t>
      </w:r>
    </w:p>
    <w:p w14:paraId="761DF8EF" w14:textId="77777777" w:rsidR="009A11EF" w:rsidRDefault="28B6F5B7" w:rsidP="28B6F5B7">
      <w:pPr>
        <w:rPr>
          <w:rFonts w:ascii="Calibri" w:eastAsia="Calibri" w:hAnsi="Calibri" w:cs="Calibri"/>
          <w:color w:val="000000" w:themeColor="text1"/>
          <w:sz w:val="24"/>
          <w:szCs w:val="24"/>
        </w:rPr>
      </w:pPr>
      <w:r w:rsidRPr="28B6F5B7">
        <w:rPr>
          <w:rFonts w:ascii="Calibri" w:eastAsia="Calibri" w:hAnsi="Calibri" w:cs="Calibri"/>
          <w:color w:val="000000" w:themeColor="text1"/>
          <w:sz w:val="24"/>
          <w:szCs w:val="24"/>
        </w:rPr>
        <w:t>Reports and guidelines</w:t>
      </w:r>
    </w:p>
    <w:p w14:paraId="03BA3407" w14:textId="0163BEA3" w:rsidR="009A11EF" w:rsidRDefault="28B6F5B7" w:rsidP="28B6F5B7">
      <w:pPr>
        <w:rPr>
          <w:rFonts w:ascii="Calibri" w:eastAsia="Calibri" w:hAnsi="Calibri" w:cs="Calibri"/>
          <w:color w:val="000000" w:themeColor="text1"/>
          <w:sz w:val="24"/>
          <w:szCs w:val="24"/>
        </w:rPr>
      </w:pPr>
      <w:r w:rsidRPr="28B6F5B7">
        <w:rPr>
          <w:rFonts w:ascii="Calibri" w:eastAsia="Calibri" w:hAnsi="Calibri" w:cs="Calibri"/>
          <w:color w:val="000000" w:themeColor="text1"/>
          <w:sz w:val="24"/>
          <w:szCs w:val="24"/>
        </w:rPr>
        <w:t>Interne</w:t>
      </w:r>
      <w:r w:rsidR="009A11EF">
        <w:rPr>
          <w:rFonts w:ascii="Calibri" w:eastAsia="Calibri" w:hAnsi="Calibri" w:cs="Calibri"/>
          <w:color w:val="000000" w:themeColor="text1"/>
          <w:sz w:val="24"/>
          <w:szCs w:val="24"/>
        </w:rPr>
        <w:t>t</w:t>
      </w:r>
    </w:p>
    <w:p w14:paraId="5E5787A5" w14:textId="7E21DBD9" w:rsidR="00022E57" w:rsidRDefault="28B6F5B7" w:rsidP="28B6F5B7">
      <w:pPr>
        <w:rPr>
          <w:sz w:val="24"/>
          <w:szCs w:val="24"/>
          <w:u w:val="single"/>
        </w:rPr>
      </w:pPr>
      <w:r w:rsidRPr="28B6F5B7">
        <w:rPr>
          <w:sz w:val="24"/>
          <w:szCs w:val="24"/>
          <w:u w:val="single"/>
        </w:rPr>
        <w:t>Part 3</w:t>
      </w:r>
    </w:p>
    <w:p w14:paraId="02025932" w14:textId="5AA54F9B" w:rsidR="5BC8FBD6" w:rsidRDefault="00E37BE1" w:rsidP="5BC8FBD6">
      <w:pPr>
        <w:rPr>
          <w:b/>
          <w:bCs/>
          <w:sz w:val="24"/>
          <w:szCs w:val="24"/>
        </w:rPr>
      </w:pPr>
      <w:r>
        <w:rPr>
          <w:b/>
          <w:bCs/>
          <w:sz w:val="24"/>
          <w:szCs w:val="24"/>
        </w:rPr>
        <w:t>Write a critical response to an article.</w:t>
      </w:r>
    </w:p>
    <w:p w14:paraId="7A0C75A2" w14:textId="77777777" w:rsidR="001C63F7" w:rsidRDefault="28B6F5B7" w:rsidP="28B6F5B7">
      <w:pPr>
        <w:rPr>
          <w:sz w:val="24"/>
          <w:szCs w:val="24"/>
        </w:rPr>
      </w:pPr>
      <w:r w:rsidRPr="28B6F5B7">
        <w:rPr>
          <w:sz w:val="24"/>
          <w:szCs w:val="24"/>
        </w:rPr>
        <w:t xml:space="preserve">We are looking at a critical response to Suzanne Mackenzie article ‘Yes, but …' Rhetoric, reality and resistance in teaching assistants’ experiences of inclusive education. This article is about the tensions between </w:t>
      </w:r>
      <w:r w:rsidRPr="28B6F5B7">
        <w:rPr>
          <w:rFonts w:ascii="Calibri" w:eastAsia="Calibri" w:hAnsi="Calibri" w:cs="Calibri"/>
          <w:color w:val="000000" w:themeColor="text1"/>
          <w:sz w:val="24"/>
          <w:szCs w:val="24"/>
        </w:rPr>
        <w:t xml:space="preserve">policy and institutional frameworks and how this is different from day to day reality for the teaching assistants and how their different understandings can influence </w:t>
      </w:r>
      <w:r w:rsidR="00E37BE1" w:rsidRPr="28B6F5B7">
        <w:rPr>
          <w:rFonts w:ascii="Calibri" w:eastAsia="Calibri" w:hAnsi="Calibri" w:cs="Calibri"/>
          <w:color w:val="000000" w:themeColor="text1"/>
          <w:sz w:val="24"/>
          <w:szCs w:val="24"/>
        </w:rPr>
        <w:t>this.</w:t>
      </w:r>
      <w:r w:rsidR="00E37BE1" w:rsidRPr="28B6F5B7">
        <w:rPr>
          <w:sz w:val="24"/>
          <w:szCs w:val="24"/>
        </w:rPr>
        <w:t xml:space="preserve"> Susanne</w:t>
      </w:r>
      <w:r w:rsidRPr="28B6F5B7">
        <w:rPr>
          <w:sz w:val="24"/>
          <w:szCs w:val="24"/>
        </w:rPr>
        <w:t xml:space="preserve"> Mackenzie</w:t>
      </w:r>
      <w:r w:rsidR="00E37BE1">
        <w:rPr>
          <w:sz w:val="24"/>
          <w:szCs w:val="24"/>
        </w:rPr>
        <w:t>’s</w:t>
      </w:r>
      <w:r w:rsidRPr="28B6F5B7">
        <w:rPr>
          <w:sz w:val="24"/>
          <w:szCs w:val="24"/>
        </w:rPr>
        <w:t xml:space="preserve"> main findings are to look at policy and frameworks and compare them to the day to day running of inclusion, she looks at bringing back the voice of teaching assistants to the classroom to help them be valued and be able to give in-put and be acknowledge for the work they do and information they know of the individual children,</w:t>
      </w:r>
      <w:r w:rsidR="00E37BE1">
        <w:rPr>
          <w:sz w:val="24"/>
          <w:szCs w:val="24"/>
        </w:rPr>
        <w:t xml:space="preserve"> and</w:t>
      </w:r>
      <w:r w:rsidRPr="28B6F5B7">
        <w:rPr>
          <w:sz w:val="24"/>
          <w:szCs w:val="24"/>
        </w:rPr>
        <w:t xml:space="preserve"> looking at the co-operation between teachers and teaching assistants. She also </w:t>
      </w:r>
      <w:r w:rsidRPr="28B6F5B7">
        <w:rPr>
          <w:sz w:val="24"/>
          <w:szCs w:val="24"/>
        </w:rPr>
        <w:lastRenderedPageBreak/>
        <w:t xml:space="preserve">looks at the difference of opinions of teaching assistants and how personal experiences guide their view on inclusion.  The style of language has been formal and informal, the interviews are informal and in their own words exactly as the interview person has said them however formal language is used on the Introduction, policy context and lots of places through-out the article additionally it is easy to read, the writer has used emotional language. Mackenzie uses pathos to persuade you, aimed at </w:t>
      </w:r>
      <w:r w:rsidR="00335E17">
        <w:rPr>
          <w:sz w:val="24"/>
          <w:szCs w:val="24"/>
        </w:rPr>
        <w:t>your</w:t>
      </w:r>
      <w:r w:rsidRPr="28B6F5B7">
        <w:rPr>
          <w:sz w:val="24"/>
          <w:szCs w:val="24"/>
        </w:rPr>
        <w:t xml:space="preserve"> emotions, “often talked about ‘looking after’ and ‘caring’ for the children that they supported. ‘Caring’ and ‘love’ for children were seen to be a major part of TAs’ and teachers’ role” (Mackenzie, 2011, p69).  Mackenzie persuades you in her article with Pathos </w:t>
      </w:r>
      <w:r w:rsidR="00E630E3">
        <w:rPr>
          <w:sz w:val="24"/>
          <w:szCs w:val="24"/>
        </w:rPr>
        <w:t>an</w:t>
      </w:r>
      <w:r w:rsidRPr="28B6F5B7">
        <w:rPr>
          <w:sz w:val="24"/>
          <w:szCs w:val="24"/>
        </w:rPr>
        <w:t xml:space="preserve"> emotional response,  she makes you think as humans with compassion which could easily encourage you reading this article in an emotionally biased way, you need to be aware of this to think objectively and question what she is saying, and not be biased or just believe exactly what is said, question everything. Mackenzie has made clear arguments about teaching assistants not being included in talks with teachers, and that they are not involved in planning and input on what individual children can do.</w:t>
      </w:r>
      <w:r w:rsidR="00604458">
        <w:rPr>
          <w:sz w:val="24"/>
          <w:szCs w:val="24"/>
        </w:rPr>
        <w:t xml:space="preserve"> </w:t>
      </w:r>
      <w:r w:rsidRPr="28B6F5B7">
        <w:rPr>
          <w:sz w:val="24"/>
          <w:szCs w:val="24"/>
        </w:rPr>
        <w:t xml:space="preserve">"Within policy, there is little guidance on mutual collaboration; TAs appear to have little say in what should happen to </w:t>
      </w:r>
      <w:r w:rsidR="00687EBF" w:rsidRPr="28B6F5B7">
        <w:rPr>
          <w:sz w:val="24"/>
          <w:szCs w:val="24"/>
        </w:rPr>
        <w:t>them and</w:t>
      </w:r>
      <w:r w:rsidRPr="28B6F5B7">
        <w:rPr>
          <w:sz w:val="24"/>
          <w:szCs w:val="24"/>
        </w:rPr>
        <w:t xml:space="preserve"> appear to be often excluded from discussions about the children of whom they have expert knowledge”. (Mackenzie, 2011, p65) though Mackenzie also quote</w:t>
      </w:r>
      <w:r w:rsidR="00335E17">
        <w:rPr>
          <w:sz w:val="24"/>
          <w:szCs w:val="24"/>
        </w:rPr>
        <w:t>s</w:t>
      </w:r>
      <w:r w:rsidRPr="28B6F5B7">
        <w:rPr>
          <w:sz w:val="24"/>
          <w:szCs w:val="24"/>
        </w:rPr>
        <w:t xml:space="preserve"> in her article “Despite recent research demonstrating positive collaboration between TAs and teachers (Groom, 2006; </w:t>
      </w:r>
      <w:proofErr w:type="spellStart"/>
      <w:r w:rsidRPr="28B6F5B7">
        <w:rPr>
          <w:sz w:val="24"/>
          <w:szCs w:val="24"/>
        </w:rPr>
        <w:t>Devecchi</w:t>
      </w:r>
      <w:proofErr w:type="spellEnd"/>
      <w:r w:rsidRPr="28B6F5B7">
        <w:rPr>
          <w:sz w:val="24"/>
          <w:szCs w:val="24"/>
        </w:rPr>
        <w:t xml:space="preserve"> and Rouse, 2010)” (Mackenzie, 2011, p65) So here although Mackenzie has said about bad collaboration and teachers and TAs not working together she has said there are some positive team working but does not go into any more detail on good working relationships. </w:t>
      </w:r>
      <w:r w:rsidR="00687EBF" w:rsidRPr="28B6F5B7">
        <w:rPr>
          <w:sz w:val="24"/>
          <w:szCs w:val="24"/>
        </w:rPr>
        <w:t>So,</w:t>
      </w:r>
      <w:r w:rsidRPr="28B6F5B7">
        <w:rPr>
          <w:sz w:val="24"/>
          <w:szCs w:val="24"/>
        </w:rPr>
        <w:t xml:space="preserve"> there are critical thinking and questions to look at both sides as there are signs of good and bad relationships and collaboration within her article just that she does not give further information on this.</w:t>
      </w:r>
      <w:r w:rsidR="00335E17">
        <w:rPr>
          <w:rFonts w:ascii="Calibri" w:eastAsia="Calibri" w:hAnsi="Calibri" w:cs="Calibri"/>
          <w:color w:val="000000" w:themeColor="text1"/>
          <w:sz w:val="24"/>
          <w:szCs w:val="24"/>
        </w:rPr>
        <w:t xml:space="preserve"> </w:t>
      </w:r>
      <w:r w:rsidRPr="28B6F5B7">
        <w:rPr>
          <w:sz w:val="24"/>
          <w:szCs w:val="24"/>
        </w:rPr>
        <w:t xml:space="preserve">Mackenzie also talked about the teaching assistants having to step up and teach or plan without having training in the area, about the clarity of TAs job role. Webster and Blatchford (2014, quoted in Frederickson and Cline, 2015, p103) describes “Teachers and TAs who lacked confidence in addressing their needs because of lack of appropriate training; there was also inadequate time for teacher – TA planning and consultation”. </w:t>
      </w:r>
      <w:r w:rsidR="00687EBF" w:rsidRPr="28B6F5B7">
        <w:rPr>
          <w:sz w:val="24"/>
          <w:szCs w:val="24"/>
        </w:rPr>
        <w:t>So,</w:t>
      </w:r>
      <w:r w:rsidRPr="28B6F5B7">
        <w:rPr>
          <w:sz w:val="24"/>
          <w:szCs w:val="24"/>
        </w:rPr>
        <w:t xml:space="preserve"> this quote agrees with Mackenzie, about lack of planning and working together, also about lack of training although there is also evidence showing collaboration</w:t>
      </w:r>
      <w:r w:rsidR="004E4474">
        <w:rPr>
          <w:sz w:val="24"/>
          <w:szCs w:val="24"/>
        </w:rPr>
        <w:t>,</w:t>
      </w:r>
      <w:r w:rsidRPr="28B6F5B7">
        <w:rPr>
          <w:sz w:val="24"/>
          <w:szCs w:val="24"/>
        </w:rPr>
        <w:t xml:space="preserve"> and TAs having input on the teaching and looking at changes for the individual children and planning. Webster and Blatchford (2014, quoted in Frederickson and Cline, 2015, p103) “Were often taught primarily by their TA, rather than by their class teacher even where the class teacher was seen to have overall responsibility for the curriculum and teaching strategies the TA was often responsible for actually delivering the teaching, and using their expectations of what the child could achieve, deciding on adaptations and modifications”</w:t>
      </w:r>
      <w:r w:rsidR="00003462">
        <w:rPr>
          <w:sz w:val="24"/>
          <w:szCs w:val="24"/>
        </w:rPr>
        <w:t>. T</w:t>
      </w:r>
      <w:r w:rsidRPr="28B6F5B7">
        <w:rPr>
          <w:sz w:val="24"/>
          <w:szCs w:val="24"/>
        </w:rPr>
        <w:t>his quote goes against what Mackenzie is saying about not having collaboration between TAs and teachers, and not being able to give input on the children they know well although it remains unclear about the clarity of the job role or training in that area. Mackenzie looked "whether the stories offered the reader a new or alternative insight or perspective into their work”</w:t>
      </w:r>
      <w:r w:rsidR="00E70CEF">
        <w:rPr>
          <w:sz w:val="24"/>
          <w:szCs w:val="24"/>
        </w:rPr>
        <w:t>.</w:t>
      </w:r>
      <w:r w:rsidRPr="28B6F5B7">
        <w:rPr>
          <w:sz w:val="24"/>
          <w:szCs w:val="24"/>
        </w:rPr>
        <w:t xml:space="preserve"> (Mackenzie, 2011, p65). Mackenzie was only looking at different or new view’s, not what </w:t>
      </w:r>
      <w:r w:rsidR="002A2FA1">
        <w:rPr>
          <w:sz w:val="24"/>
          <w:szCs w:val="24"/>
        </w:rPr>
        <w:t>was</w:t>
      </w:r>
      <w:r w:rsidRPr="28B6F5B7">
        <w:rPr>
          <w:sz w:val="24"/>
          <w:szCs w:val="24"/>
        </w:rPr>
        <w:t xml:space="preserve"> already working or was the same as previous accounts, so there for</w:t>
      </w:r>
      <w:r w:rsidR="00335E17">
        <w:rPr>
          <w:sz w:val="24"/>
          <w:szCs w:val="24"/>
        </w:rPr>
        <w:t xml:space="preserve"> her </w:t>
      </w:r>
      <w:r w:rsidR="00687EBF">
        <w:rPr>
          <w:sz w:val="24"/>
          <w:szCs w:val="24"/>
        </w:rPr>
        <w:t xml:space="preserve">account </w:t>
      </w:r>
      <w:r w:rsidR="00687EBF" w:rsidRPr="28B6F5B7">
        <w:rPr>
          <w:sz w:val="24"/>
          <w:szCs w:val="24"/>
        </w:rPr>
        <w:t>could</w:t>
      </w:r>
      <w:r w:rsidRPr="28B6F5B7">
        <w:rPr>
          <w:sz w:val="24"/>
          <w:szCs w:val="24"/>
        </w:rPr>
        <w:t xml:space="preserve"> be biased it-self as it is not the full side, you would have to critically think and question other sides of </w:t>
      </w:r>
      <w:r w:rsidRPr="28B6F5B7">
        <w:rPr>
          <w:sz w:val="24"/>
          <w:szCs w:val="24"/>
        </w:rPr>
        <w:lastRenderedPageBreak/>
        <w:t>what is presented in this article.</w:t>
      </w:r>
      <w:r w:rsidR="00335E17">
        <w:rPr>
          <w:rFonts w:ascii="Calibri" w:eastAsia="Calibri" w:hAnsi="Calibri" w:cs="Calibri"/>
          <w:color w:val="000000" w:themeColor="text1"/>
          <w:sz w:val="24"/>
          <w:szCs w:val="24"/>
        </w:rPr>
        <w:t xml:space="preserve"> </w:t>
      </w:r>
      <w:r w:rsidRPr="28B6F5B7">
        <w:rPr>
          <w:sz w:val="24"/>
          <w:szCs w:val="24"/>
        </w:rPr>
        <w:t>A clear statement Mackenzie makes through-out her article is about policy and frameworks not being practical in implementation of day to day work, the curriculum i</w:t>
      </w:r>
      <w:r w:rsidR="00335E17">
        <w:rPr>
          <w:sz w:val="24"/>
          <w:szCs w:val="24"/>
        </w:rPr>
        <w:t>n</w:t>
      </w:r>
      <w:r w:rsidRPr="28B6F5B7">
        <w:rPr>
          <w:sz w:val="24"/>
          <w:szCs w:val="24"/>
        </w:rPr>
        <w:t xml:space="preserve"> Wales is currently being redone so there may be some forms of changes under way, Mackenzie talks about the tensions and problems caused by unmeasurable targets and the different understanding of inclusions and effects that can have on the TAs “official policy on inclusions and their own practice on the ground” Mackenzie, 2011, p64) Understandably different people interpret inclusion different ways, so there are going to be some differences with in the work place. “Inclusion has become something of a cliché, even being ‘evacuated of meaning’. In England teachers and teaching assistants are required to implement inclusion but, in the absence of any universal </w:t>
      </w:r>
      <w:r w:rsidR="00335E17" w:rsidRPr="28B6F5B7">
        <w:rPr>
          <w:sz w:val="24"/>
          <w:szCs w:val="24"/>
        </w:rPr>
        <w:t>definition</w:t>
      </w:r>
      <w:r w:rsidRPr="28B6F5B7">
        <w:rPr>
          <w:sz w:val="24"/>
          <w:szCs w:val="24"/>
        </w:rPr>
        <w:t xml:space="preserve"> of what the term means, the way in which they enact it varies depending on their understanding of this concept” (Sikes, Lawson, Parker, 2007, p355), so there </w:t>
      </w:r>
      <w:r w:rsidR="00B53A1D">
        <w:rPr>
          <w:sz w:val="24"/>
          <w:szCs w:val="24"/>
        </w:rPr>
        <w:t xml:space="preserve">is </w:t>
      </w:r>
      <w:r w:rsidRPr="28B6F5B7">
        <w:rPr>
          <w:sz w:val="24"/>
          <w:szCs w:val="24"/>
        </w:rPr>
        <w:t>some evidence to support that people have their own concept of inclusion. The Pembrokeshire County Council policy: “The appointment of an Additional Learning Needs Coordinator (</w:t>
      </w:r>
      <w:proofErr w:type="spellStart"/>
      <w:r w:rsidRPr="28B6F5B7">
        <w:rPr>
          <w:sz w:val="24"/>
          <w:szCs w:val="24"/>
        </w:rPr>
        <w:t>ALNCo</w:t>
      </w:r>
      <w:proofErr w:type="spellEnd"/>
      <w:r w:rsidRPr="28B6F5B7">
        <w:rPr>
          <w:sz w:val="24"/>
          <w:szCs w:val="24"/>
        </w:rPr>
        <w:t xml:space="preserve">) to oversee the special provisions being made for children with Additional Learning </w:t>
      </w:r>
      <w:r w:rsidR="00B53A1D">
        <w:rPr>
          <w:sz w:val="24"/>
          <w:szCs w:val="24"/>
        </w:rPr>
        <w:t>N</w:t>
      </w:r>
      <w:r w:rsidRPr="28B6F5B7">
        <w:rPr>
          <w:sz w:val="24"/>
          <w:szCs w:val="24"/>
        </w:rPr>
        <w:t xml:space="preserve">eeds. A clear policy for ALN is in place.  The fundamental aim of the inclusion service is to promote achievement </w:t>
      </w:r>
      <w:r w:rsidR="00687EBF" w:rsidRPr="28B6F5B7">
        <w:rPr>
          <w:sz w:val="24"/>
          <w:szCs w:val="24"/>
        </w:rPr>
        <w:t>and well</w:t>
      </w:r>
      <w:r w:rsidRPr="28B6F5B7">
        <w:rPr>
          <w:sz w:val="24"/>
          <w:szCs w:val="24"/>
        </w:rPr>
        <w:t xml:space="preserve">-being for all. In essence, it means making sure that all children and young people have access to the same opportunities and services as everybody else” (Pembrokeshire County Council,2017,p1 Inclusion service and SEN) So there is ALNCO who is in charge of inclusion and special needs, and policies to follow but to say achievement for all and well-being for all brings down how you can deliver it day to day. On the SEND code of practice: </w:t>
      </w:r>
    </w:p>
    <w:p w14:paraId="570DBA04" w14:textId="17D0D6AC" w:rsidR="51888EF4" w:rsidRPr="00687EBF" w:rsidRDefault="001C63F7" w:rsidP="28B6F5B7">
      <w:pPr>
        <w:rPr>
          <w:rFonts w:ascii="Calibri" w:eastAsia="Calibri" w:hAnsi="Calibri" w:cs="Calibri"/>
          <w:color w:val="000000" w:themeColor="text1"/>
          <w:sz w:val="24"/>
          <w:szCs w:val="24"/>
        </w:rPr>
      </w:pPr>
      <w:r>
        <w:rPr>
          <w:sz w:val="24"/>
          <w:szCs w:val="24"/>
        </w:rPr>
        <w:t xml:space="preserve">      </w:t>
      </w:r>
      <w:r w:rsidR="28B6F5B7" w:rsidRPr="28B6F5B7">
        <w:rPr>
          <w:sz w:val="24"/>
          <w:szCs w:val="24"/>
        </w:rPr>
        <w:t>Securing expertise among teachers, lecturers or other professionals to support children</w:t>
      </w:r>
      <w:r w:rsidR="00687EBF">
        <w:rPr>
          <w:sz w:val="24"/>
          <w:szCs w:val="24"/>
        </w:rPr>
        <w:t xml:space="preserve"> </w:t>
      </w:r>
      <w:r w:rsidR="28B6F5B7" w:rsidRPr="28B6F5B7">
        <w:rPr>
          <w:sz w:val="24"/>
          <w:szCs w:val="24"/>
        </w:rPr>
        <w:t>and young people with SEN or disabilities – this should include professional development to secure expertise at different levels:</w:t>
      </w:r>
    </w:p>
    <w:p w14:paraId="7E298B42" w14:textId="0570E840" w:rsidR="51888EF4" w:rsidRDefault="51888EF4" w:rsidP="51888EF4">
      <w:pPr>
        <w:pStyle w:val="ListParagraph"/>
        <w:numPr>
          <w:ilvl w:val="0"/>
          <w:numId w:val="1"/>
        </w:numPr>
        <w:rPr>
          <w:sz w:val="24"/>
          <w:szCs w:val="24"/>
        </w:rPr>
      </w:pPr>
      <w:r w:rsidRPr="51888EF4">
        <w:rPr>
          <w:sz w:val="24"/>
          <w:szCs w:val="24"/>
        </w:rPr>
        <w:t xml:space="preserve">Awareness (to give a basic awareness of a </w:t>
      </w:r>
      <w:proofErr w:type="gramStart"/>
      <w:r w:rsidRPr="51888EF4">
        <w:rPr>
          <w:sz w:val="24"/>
          <w:szCs w:val="24"/>
        </w:rPr>
        <w:t>particular type of SEN</w:t>
      </w:r>
      <w:proofErr w:type="gramEnd"/>
      <w:r w:rsidRPr="51888EF4">
        <w:rPr>
          <w:sz w:val="24"/>
          <w:szCs w:val="24"/>
        </w:rPr>
        <w:t>, appropriate for all staff who will come into contact with a child or young person with that type of SEN)</w:t>
      </w:r>
    </w:p>
    <w:p w14:paraId="69CB9135" w14:textId="1F617F96" w:rsidR="51888EF4" w:rsidRDefault="51888EF4" w:rsidP="51888EF4">
      <w:pPr>
        <w:pStyle w:val="ListParagraph"/>
        <w:numPr>
          <w:ilvl w:val="0"/>
          <w:numId w:val="1"/>
        </w:numPr>
        <w:rPr>
          <w:sz w:val="24"/>
          <w:szCs w:val="24"/>
        </w:rPr>
      </w:pPr>
      <w:r w:rsidRPr="51888EF4">
        <w:rPr>
          <w:sz w:val="24"/>
          <w:szCs w:val="24"/>
        </w:rPr>
        <w:t xml:space="preserve">Enhanced (how to adapt teaching and learning to meet a </w:t>
      </w:r>
      <w:proofErr w:type="gramStart"/>
      <w:r w:rsidRPr="51888EF4">
        <w:rPr>
          <w:sz w:val="24"/>
          <w:szCs w:val="24"/>
        </w:rPr>
        <w:t>particular type of SEN</w:t>
      </w:r>
      <w:proofErr w:type="gramEnd"/>
      <w:r w:rsidRPr="51888EF4">
        <w:rPr>
          <w:sz w:val="24"/>
          <w:szCs w:val="24"/>
        </w:rPr>
        <w:t xml:space="preserve">, for early years practitioners, class and subject teachers/lecturers and teaching assistants working directly with the child or young person on a regular basis), and </w:t>
      </w:r>
    </w:p>
    <w:p w14:paraId="309B2261" w14:textId="77777777" w:rsidR="00266CBA" w:rsidRDefault="28B6F5B7" w:rsidP="28B6F5B7">
      <w:pPr>
        <w:pStyle w:val="ListParagraph"/>
        <w:numPr>
          <w:ilvl w:val="0"/>
          <w:numId w:val="1"/>
        </w:numPr>
        <w:rPr>
          <w:sz w:val="24"/>
          <w:szCs w:val="24"/>
        </w:rPr>
      </w:pPr>
      <w:r w:rsidRPr="28B6F5B7">
        <w:rPr>
          <w:sz w:val="24"/>
          <w:szCs w:val="24"/>
        </w:rPr>
        <w:t xml:space="preserve">Specialist (in-depth training about a </w:t>
      </w:r>
      <w:proofErr w:type="gramStart"/>
      <w:r w:rsidRPr="28B6F5B7">
        <w:rPr>
          <w:sz w:val="24"/>
          <w:szCs w:val="24"/>
        </w:rPr>
        <w:t>particular type of SEN</w:t>
      </w:r>
      <w:proofErr w:type="gramEnd"/>
      <w:r w:rsidRPr="28B6F5B7">
        <w:rPr>
          <w:sz w:val="24"/>
          <w:szCs w:val="24"/>
        </w:rPr>
        <w:t>, for staff who will be advising and supporting those with enhanced-level skills and knowledge). (Department of Education and Health, 2015, p68-69).</w:t>
      </w:r>
    </w:p>
    <w:p w14:paraId="784BA474" w14:textId="36B7E57B" w:rsidR="51888EF4" w:rsidRPr="00266CBA" w:rsidRDefault="00687EBF" w:rsidP="00266CBA">
      <w:pPr>
        <w:rPr>
          <w:sz w:val="24"/>
          <w:szCs w:val="24"/>
        </w:rPr>
      </w:pPr>
      <w:r w:rsidRPr="00266CBA">
        <w:rPr>
          <w:sz w:val="24"/>
          <w:szCs w:val="24"/>
        </w:rPr>
        <w:t>So,</w:t>
      </w:r>
      <w:r w:rsidR="28B6F5B7" w:rsidRPr="00266CBA">
        <w:rPr>
          <w:sz w:val="24"/>
          <w:szCs w:val="24"/>
        </w:rPr>
        <w:t xml:space="preserve"> under the SEND code any one working with SEN children should have awareness of particular type of SEN. Who has training, the level of training or how people understand inclusion still could be questioned and we don’t fully know the answer.</w:t>
      </w:r>
    </w:p>
    <w:p w14:paraId="6CBB1BE4" w14:textId="1F50C24B" w:rsidR="51888EF4" w:rsidRDefault="28B6F5B7" w:rsidP="28B6F5B7">
      <w:pPr>
        <w:rPr>
          <w:sz w:val="24"/>
          <w:szCs w:val="24"/>
        </w:rPr>
      </w:pPr>
      <w:r w:rsidRPr="00687EBF">
        <w:rPr>
          <w:b/>
          <w:sz w:val="24"/>
          <w:szCs w:val="24"/>
          <w:u w:val="single"/>
        </w:rPr>
        <w:t>Conclusion</w:t>
      </w:r>
      <w:r w:rsidRPr="28B6F5B7">
        <w:rPr>
          <w:sz w:val="24"/>
          <w:szCs w:val="24"/>
        </w:rPr>
        <w:t>:</w:t>
      </w:r>
    </w:p>
    <w:p w14:paraId="39F7EA14" w14:textId="565811EF" w:rsidR="28B6F5B7" w:rsidRDefault="28B6F5B7" w:rsidP="28B6F5B7">
      <w:pPr>
        <w:rPr>
          <w:sz w:val="24"/>
          <w:szCs w:val="24"/>
        </w:rPr>
      </w:pPr>
      <w:r w:rsidRPr="28B6F5B7">
        <w:rPr>
          <w:sz w:val="24"/>
          <w:szCs w:val="24"/>
        </w:rPr>
        <w:t>So in conclusion to</w:t>
      </w:r>
      <w:r w:rsidR="00687EBF">
        <w:rPr>
          <w:sz w:val="24"/>
          <w:szCs w:val="24"/>
        </w:rPr>
        <w:t xml:space="preserve"> the</w:t>
      </w:r>
      <w:r w:rsidRPr="28B6F5B7">
        <w:rPr>
          <w:sz w:val="24"/>
          <w:szCs w:val="24"/>
        </w:rPr>
        <w:t xml:space="preserve"> Mackenzie article, I believe she was being emotional in her writing and trying to lead us with a biased view about inclusion and how it is implemented on a day to day situation, She does bring up some points about collaboration between staff and TAs and working together and being included, I have come up with evidence on both sides of this some saying ther</w:t>
      </w:r>
      <w:r w:rsidR="00687EBF">
        <w:rPr>
          <w:sz w:val="24"/>
          <w:szCs w:val="24"/>
        </w:rPr>
        <w:t>e</w:t>
      </w:r>
      <w:r w:rsidRPr="28B6F5B7">
        <w:rPr>
          <w:sz w:val="24"/>
          <w:szCs w:val="24"/>
        </w:rPr>
        <w:t xml:space="preserve"> needs to be more collaboration and working together and others</w:t>
      </w:r>
      <w:r w:rsidR="00186EF5">
        <w:rPr>
          <w:sz w:val="24"/>
          <w:szCs w:val="24"/>
        </w:rPr>
        <w:t xml:space="preserve"> </w:t>
      </w:r>
      <w:r w:rsidRPr="28B6F5B7">
        <w:rPr>
          <w:sz w:val="24"/>
          <w:szCs w:val="24"/>
        </w:rPr>
        <w:lastRenderedPageBreak/>
        <w:t xml:space="preserve">who have good working relationships and work well as a team, I think that this depends on the individual schools and teachers and change from place to place. There is a general understanding of TAs roles, but these roles are different depending if there a HLTA, leading a nurture group, or TA and some taking classes or planning for their individual groups, so there for there may understandably be some misunderstanding about job roles, and it seems most sources agreed with more training being needed depending on what role they were doing. </w:t>
      </w:r>
      <w:r w:rsidR="002958D9">
        <w:rPr>
          <w:sz w:val="24"/>
          <w:szCs w:val="24"/>
        </w:rPr>
        <w:t>Regarding</w:t>
      </w:r>
      <w:r w:rsidRPr="28B6F5B7">
        <w:rPr>
          <w:sz w:val="24"/>
          <w:szCs w:val="24"/>
        </w:rPr>
        <w:t xml:space="preserve"> policy and day to day inclusion and understanding this remains unknown, people do seem to understand inclusion in different ways which is likely to affect their way of how they meet inclusion, but the policies are quite clear, though stating everyone gets same chances and things on a broad scale does not make it understandable to deliver this. </w:t>
      </w:r>
    </w:p>
    <w:p w14:paraId="7D8D251E" w14:textId="61D7434C" w:rsidR="28B6F5B7" w:rsidRDefault="28B6F5B7" w:rsidP="28B6F5B7">
      <w:pPr>
        <w:rPr>
          <w:sz w:val="24"/>
          <w:szCs w:val="24"/>
        </w:rPr>
      </w:pPr>
      <w:r w:rsidRPr="28B6F5B7">
        <w:rPr>
          <w:sz w:val="24"/>
          <w:szCs w:val="24"/>
        </w:rPr>
        <w:t xml:space="preserve">To reflect for me, I would say that I read the article and went running with my heart and agree with Mackenzie, I had to stop and teach myself to critically read it, critically think and question and not go with biased emotion. Doing the poster on critically thinking and skills made me really understand that I had to step back and keep my emotion out of it, I had to reread the whole article again and look properly for the first time with-out being </w:t>
      </w:r>
      <w:r w:rsidR="00687EBF" w:rsidRPr="28B6F5B7">
        <w:rPr>
          <w:sz w:val="24"/>
          <w:szCs w:val="24"/>
        </w:rPr>
        <w:t>led</w:t>
      </w:r>
      <w:r w:rsidRPr="28B6F5B7">
        <w:rPr>
          <w:sz w:val="24"/>
          <w:szCs w:val="24"/>
        </w:rPr>
        <w:t xml:space="preserve">. I have directed and changed and started again many times during this article and really understood that ‘I’ direct myself, I have had to understand that I need help to formally write and use punctuation correctly so I have read extra information around this side to help me and will need to continue to do for some time to help these new skills become part of me. I am quite </w:t>
      </w:r>
      <w:r w:rsidR="00687EBF" w:rsidRPr="28B6F5B7">
        <w:rPr>
          <w:sz w:val="24"/>
          <w:szCs w:val="24"/>
        </w:rPr>
        <w:t>critical,</w:t>
      </w:r>
      <w:r w:rsidRPr="28B6F5B7">
        <w:rPr>
          <w:sz w:val="24"/>
          <w:szCs w:val="24"/>
        </w:rPr>
        <w:t xml:space="preserve"> so I do always </w:t>
      </w:r>
      <w:r w:rsidR="00687EBF" w:rsidRPr="28B6F5B7">
        <w:rPr>
          <w:sz w:val="24"/>
          <w:szCs w:val="24"/>
        </w:rPr>
        <w:t>ask</w:t>
      </w:r>
      <w:r w:rsidRPr="28B6F5B7">
        <w:rPr>
          <w:sz w:val="24"/>
          <w:szCs w:val="24"/>
        </w:rPr>
        <w:t xml:space="preserve"> </w:t>
      </w:r>
      <w:r w:rsidR="00687EBF" w:rsidRPr="28B6F5B7">
        <w:rPr>
          <w:sz w:val="24"/>
          <w:szCs w:val="24"/>
        </w:rPr>
        <w:t>lots</w:t>
      </w:r>
      <w:r w:rsidRPr="28B6F5B7">
        <w:rPr>
          <w:sz w:val="24"/>
          <w:szCs w:val="24"/>
        </w:rPr>
        <w:t xml:space="preserve"> of questions,</w:t>
      </w:r>
      <w:r w:rsidR="00A27DDB">
        <w:rPr>
          <w:sz w:val="24"/>
          <w:szCs w:val="24"/>
        </w:rPr>
        <w:t xml:space="preserve"> and I do tend to look at all sides and not just take for granted what I am told,</w:t>
      </w:r>
      <w:r w:rsidRPr="28B6F5B7">
        <w:rPr>
          <w:sz w:val="24"/>
          <w:szCs w:val="24"/>
        </w:rPr>
        <w:t xml:space="preserve"> my main </w:t>
      </w:r>
      <w:r w:rsidR="00EB6A88">
        <w:rPr>
          <w:sz w:val="24"/>
          <w:szCs w:val="24"/>
        </w:rPr>
        <w:t>objective</w:t>
      </w:r>
      <w:r w:rsidRPr="28B6F5B7">
        <w:rPr>
          <w:sz w:val="24"/>
          <w:szCs w:val="24"/>
        </w:rPr>
        <w:t xml:space="preserve"> is</w:t>
      </w:r>
      <w:r w:rsidR="00EB6A88">
        <w:rPr>
          <w:sz w:val="24"/>
          <w:szCs w:val="24"/>
        </w:rPr>
        <w:t xml:space="preserve"> to</w:t>
      </w:r>
      <w:r w:rsidR="00530B11">
        <w:rPr>
          <w:sz w:val="24"/>
          <w:szCs w:val="24"/>
        </w:rPr>
        <w:t xml:space="preserve"> keep</w:t>
      </w:r>
      <w:r w:rsidRPr="28B6F5B7">
        <w:rPr>
          <w:sz w:val="24"/>
          <w:szCs w:val="24"/>
        </w:rPr>
        <w:t xml:space="preserve"> read</w:t>
      </w:r>
      <w:r w:rsidR="00530B11">
        <w:rPr>
          <w:sz w:val="24"/>
          <w:szCs w:val="24"/>
        </w:rPr>
        <w:t>ing</w:t>
      </w:r>
      <w:r w:rsidR="00F534F3">
        <w:rPr>
          <w:sz w:val="24"/>
          <w:szCs w:val="24"/>
        </w:rPr>
        <w:t xml:space="preserve"> and thinking</w:t>
      </w:r>
      <w:r w:rsidRPr="28B6F5B7">
        <w:rPr>
          <w:sz w:val="24"/>
          <w:szCs w:val="24"/>
        </w:rPr>
        <w:t xml:space="preserve"> critically</w:t>
      </w:r>
      <w:r w:rsidR="00530B11">
        <w:rPr>
          <w:sz w:val="24"/>
          <w:szCs w:val="24"/>
        </w:rPr>
        <w:t xml:space="preserve"> as</w:t>
      </w:r>
      <w:r w:rsidRPr="28B6F5B7">
        <w:rPr>
          <w:sz w:val="24"/>
          <w:szCs w:val="24"/>
        </w:rPr>
        <w:t xml:space="preserve"> I read with my heart and emotion so will be continuing to train my-self to critically read and reflect and keep</w:t>
      </w:r>
      <w:r w:rsidR="00E12951">
        <w:rPr>
          <w:sz w:val="24"/>
          <w:szCs w:val="24"/>
        </w:rPr>
        <w:t xml:space="preserve"> my</w:t>
      </w:r>
      <w:r w:rsidRPr="28B6F5B7">
        <w:rPr>
          <w:sz w:val="24"/>
          <w:szCs w:val="24"/>
        </w:rPr>
        <w:t xml:space="preserve"> emotions out </w:t>
      </w:r>
      <w:r w:rsidR="00E12951">
        <w:rPr>
          <w:sz w:val="24"/>
          <w:szCs w:val="24"/>
        </w:rPr>
        <w:t>and think logically and reasonably</w:t>
      </w:r>
      <w:bookmarkStart w:id="0" w:name="_GoBack"/>
      <w:bookmarkEnd w:id="0"/>
      <w:r w:rsidRPr="28B6F5B7">
        <w:rPr>
          <w:sz w:val="24"/>
          <w:szCs w:val="24"/>
        </w:rPr>
        <w:t>.</w:t>
      </w:r>
    </w:p>
    <w:p w14:paraId="2739665F" w14:textId="7D4B9D09" w:rsidR="28B6F5B7" w:rsidRDefault="28B6F5B7" w:rsidP="28B6F5B7">
      <w:pPr>
        <w:rPr>
          <w:sz w:val="24"/>
          <w:szCs w:val="24"/>
        </w:rPr>
      </w:pPr>
      <w:r w:rsidRPr="28B6F5B7">
        <w:rPr>
          <w:sz w:val="24"/>
          <w:szCs w:val="24"/>
        </w:rPr>
        <w:t>Referencing:</w:t>
      </w:r>
    </w:p>
    <w:p w14:paraId="58D46578" w14:textId="11C63BB7" w:rsidR="00EB6A88" w:rsidRDefault="00EB6A88" w:rsidP="28B6F5B7">
      <w:pPr>
        <w:rPr>
          <w:sz w:val="24"/>
          <w:szCs w:val="24"/>
        </w:rPr>
      </w:pPr>
      <w:r w:rsidRPr="28B6F5B7">
        <w:rPr>
          <w:sz w:val="24"/>
          <w:szCs w:val="24"/>
        </w:rPr>
        <w:t>Academic Skills Centre- University of Birmingham. (2015</w:t>
      </w:r>
      <w:r w:rsidRPr="28B6F5B7">
        <w:rPr>
          <w:i/>
          <w:iCs/>
          <w:sz w:val="24"/>
          <w:szCs w:val="24"/>
        </w:rPr>
        <w:t xml:space="preserve">). A short guide to punctuation. </w:t>
      </w:r>
      <w:r w:rsidRPr="28B6F5B7">
        <w:rPr>
          <w:sz w:val="24"/>
          <w:szCs w:val="24"/>
        </w:rPr>
        <w:t xml:space="preserve">Available at: </w:t>
      </w:r>
      <w:hyperlink r:id="rId7">
        <w:r w:rsidRPr="28B6F5B7">
          <w:rPr>
            <w:rStyle w:val="Hyperlink"/>
            <w:sz w:val="24"/>
            <w:szCs w:val="24"/>
            <w:u w:val="none"/>
          </w:rPr>
          <w:t>https://www.intranet.birmingham.ac.uk/asc</w:t>
        </w:r>
      </w:hyperlink>
      <w:r w:rsidRPr="28B6F5B7">
        <w:rPr>
          <w:sz w:val="24"/>
          <w:szCs w:val="24"/>
        </w:rPr>
        <w:t>.  Accessed: 25/09/2018.</w:t>
      </w:r>
    </w:p>
    <w:p w14:paraId="7CED96E6" w14:textId="1A581EB0" w:rsidR="00EB6A88" w:rsidRPr="00EB6A88" w:rsidRDefault="00EB6A88" w:rsidP="28B6F5B7">
      <w:pPr>
        <w:rPr>
          <w:i/>
          <w:iCs/>
          <w:sz w:val="24"/>
          <w:szCs w:val="24"/>
        </w:rPr>
      </w:pPr>
      <w:r w:rsidRPr="28B6F5B7">
        <w:rPr>
          <w:sz w:val="24"/>
          <w:szCs w:val="24"/>
        </w:rPr>
        <w:t>Department for Education and Health</w:t>
      </w:r>
      <w:r w:rsidRPr="28B6F5B7">
        <w:rPr>
          <w:i/>
          <w:iCs/>
          <w:sz w:val="24"/>
          <w:szCs w:val="24"/>
        </w:rPr>
        <w:t>. (</w:t>
      </w:r>
      <w:r w:rsidRPr="28B6F5B7">
        <w:rPr>
          <w:sz w:val="24"/>
          <w:szCs w:val="24"/>
        </w:rPr>
        <w:t>2015</w:t>
      </w:r>
      <w:r w:rsidRPr="28B6F5B7">
        <w:rPr>
          <w:i/>
          <w:iCs/>
          <w:sz w:val="24"/>
          <w:szCs w:val="24"/>
        </w:rPr>
        <w:t xml:space="preserve">). Special educational needs and </w:t>
      </w:r>
      <w:r w:rsidR="00A92358" w:rsidRPr="28B6F5B7">
        <w:rPr>
          <w:i/>
          <w:iCs/>
          <w:sz w:val="24"/>
          <w:szCs w:val="24"/>
        </w:rPr>
        <w:t>disability</w:t>
      </w:r>
      <w:r w:rsidRPr="28B6F5B7">
        <w:rPr>
          <w:i/>
          <w:iCs/>
          <w:sz w:val="24"/>
          <w:szCs w:val="24"/>
        </w:rPr>
        <w:t xml:space="preserve"> code of practice: 0 to 25 years. </w:t>
      </w:r>
      <w:r w:rsidRPr="28B6F5B7">
        <w:rPr>
          <w:sz w:val="24"/>
          <w:szCs w:val="24"/>
        </w:rPr>
        <w:t xml:space="preserve">Available at: </w:t>
      </w:r>
      <w:hyperlink r:id="rId8">
        <w:r w:rsidRPr="28B6F5B7">
          <w:rPr>
            <w:rStyle w:val="Hyperlink"/>
            <w:sz w:val="24"/>
            <w:szCs w:val="24"/>
            <w:u w:val="none"/>
          </w:rPr>
          <w:t>https://www.gov.uk</w:t>
        </w:r>
      </w:hyperlink>
      <w:r w:rsidRPr="28B6F5B7">
        <w:rPr>
          <w:sz w:val="24"/>
          <w:szCs w:val="24"/>
        </w:rPr>
        <w:t>. Accessed: 25/10/2018</w:t>
      </w:r>
      <w:r w:rsidRPr="28B6F5B7">
        <w:rPr>
          <w:i/>
          <w:iCs/>
          <w:sz w:val="24"/>
          <w:szCs w:val="24"/>
        </w:rPr>
        <w:t>.</w:t>
      </w:r>
    </w:p>
    <w:p w14:paraId="359F5450" w14:textId="0805AF7A" w:rsidR="28B6F5B7" w:rsidRDefault="28B6F5B7" w:rsidP="28B6F5B7">
      <w:pPr>
        <w:rPr>
          <w:sz w:val="24"/>
          <w:szCs w:val="24"/>
        </w:rPr>
      </w:pPr>
      <w:r w:rsidRPr="28B6F5B7">
        <w:rPr>
          <w:sz w:val="24"/>
          <w:szCs w:val="24"/>
        </w:rPr>
        <w:t xml:space="preserve">Downes, E. and Evans A. (2018). </w:t>
      </w:r>
      <w:r w:rsidRPr="28B6F5B7">
        <w:rPr>
          <w:i/>
          <w:iCs/>
          <w:sz w:val="24"/>
          <w:szCs w:val="24"/>
        </w:rPr>
        <w:t>REFERENCING HANDBOOK HARVARD</w:t>
      </w:r>
      <w:r w:rsidRPr="28B6F5B7">
        <w:rPr>
          <w:sz w:val="24"/>
          <w:szCs w:val="24"/>
        </w:rPr>
        <w:t xml:space="preserve">. UWTSD: library and learning resources. </w:t>
      </w:r>
    </w:p>
    <w:p w14:paraId="1509C05A" w14:textId="77777777" w:rsidR="00EB6A88" w:rsidRDefault="00EB6A88" w:rsidP="00EB6A88">
      <w:pPr>
        <w:rPr>
          <w:i/>
          <w:iCs/>
          <w:sz w:val="24"/>
          <w:szCs w:val="24"/>
        </w:rPr>
      </w:pPr>
      <w:r w:rsidRPr="28B6F5B7">
        <w:rPr>
          <w:sz w:val="24"/>
          <w:szCs w:val="24"/>
        </w:rPr>
        <w:t>Frederickson, N. and Cline T.</w:t>
      </w:r>
      <w:r w:rsidRPr="28B6F5B7">
        <w:rPr>
          <w:i/>
          <w:iCs/>
          <w:sz w:val="24"/>
          <w:szCs w:val="24"/>
        </w:rPr>
        <w:t xml:space="preserve"> </w:t>
      </w:r>
      <w:r w:rsidRPr="28B6F5B7">
        <w:rPr>
          <w:sz w:val="24"/>
          <w:szCs w:val="24"/>
        </w:rPr>
        <w:t>(2015).</w:t>
      </w:r>
      <w:r w:rsidRPr="28B6F5B7">
        <w:rPr>
          <w:i/>
          <w:iCs/>
          <w:sz w:val="24"/>
          <w:szCs w:val="24"/>
        </w:rPr>
        <w:t xml:space="preserve"> Special Educational Needs, Inclusion and </w:t>
      </w:r>
      <w:proofErr w:type="gramStart"/>
      <w:r w:rsidRPr="28B6F5B7">
        <w:rPr>
          <w:i/>
          <w:iCs/>
          <w:sz w:val="24"/>
          <w:szCs w:val="24"/>
        </w:rPr>
        <w:t>Diversity.</w:t>
      </w:r>
      <w:r w:rsidRPr="28B6F5B7">
        <w:rPr>
          <w:sz w:val="24"/>
          <w:szCs w:val="24"/>
        </w:rPr>
        <w:t>(</w:t>
      </w:r>
      <w:proofErr w:type="gramEnd"/>
      <w:r w:rsidRPr="28B6F5B7">
        <w:rPr>
          <w:sz w:val="24"/>
          <w:szCs w:val="24"/>
        </w:rPr>
        <w:t>Third edition). Mc Graw Hill Education: Open University Press.</w:t>
      </w:r>
    </w:p>
    <w:p w14:paraId="73F40B64" w14:textId="172B083C" w:rsidR="28B6F5B7" w:rsidRDefault="28B6F5B7" w:rsidP="28B6F5B7">
      <w:pPr>
        <w:rPr>
          <w:sz w:val="24"/>
          <w:szCs w:val="24"/>
        </w:rPr>
      </w:pPr>
      <w:r w:rsidRPr="28B6F5B7">
        <w:rPr>
          <w:sz w:val="24"/>
          <w:szCs w:val="24"/>
        </w:rPr>
        <w:t xml:space="preserve">Mackenzie, S. (2011). </w:t>
      </w:r>
      <w:r w:rsidRPr="28B6F5B7">
        <w:rPr>
          <w:i/>
          <w:iCs/>
          <w:sz w:val="24"/>
          <w:szCs w:val="24"/>
        </w:rPr>
        <w:t>‘</w:t>
      </w:r>
      <w:r w:rsidRPr="28B6F5B7">
        <w:rPr>
          <w:sz w:val="24"/>
          <w:szCs w:val="24"/>
        </w:rPr>
        <w:t xml:space="preserve">Yes, but’ rhetoric, reality and resistance in teaching assistants’ experiences of inclusive education.’ </w:t>
      </w:r>
      <w:r w:rsidRPr="28B6F5B7">
        <w:rPr>
          <w:i/>
          <w:iCs/>
          <w:sz w:val="24"/>
          <w:szCs w:val="24"/>
        </w:rPr>
        <w:t xml:space="preserve">British Journal of Learning Support. </w:t>
      </w:r>
      <w:r w:rsidRPr="28B6F5B7">
        <w:rPr>
          <w:sz w:val="24"/>
          <w:szCs w:val="24"/>
        </w:rPr>
        <w:t>Volume 26, number 2. P64-71.</w:t>
      </w:r>
    </w:p>
    <w:p w14:paraId="68E7A63C" w14:textId="4A8525C2" w:rsidR="00EB6A88" w:rsidRPr="00EB6A88" w:rsidRDefault="00EB6A88" w:rsidP="28B6F5B7">
      <w:pPr>
        <w:rPr>
          <w:i/>
          <w:iCs/>
          <w:sz w:val="24"/>
          <w:szCs w:val="24"/>
        </w:rPr>
      </w:pPr>
      <w:r w:rsidRPr="28B6F5B7">
        <w:rPr>
          <w:sz w:val="24"/>
          <w:szCs w:val="24"/>
        </w:rPr>
        <w:t xml:space="preserve">Pembrokeshire County Council. (2017). </w:t>
      </w:r>
      <w:r w:rsidRPr="28B6F5B7">
        <w:rPr>
          <w:i/>
          <w:iCs/>
          <w:sz w:val="24"/>
          <w:szCs w:val="24"/>
        </w:rPr>
        <w:t xml:space="preserve">Inclusion Service and SEN. </w:t>
      </w:r>
      <w:r w:rsidRPr="28B6F5B7">
        <w:rPr>
          <w:sz w:val="24"/>
          <w:szCs w:val="24"/>
        </w:rPr>
        <w:t>Available at</w:t>
      </w:r>
      <w:r w:rsidRPr="28B6F5B7">
        <w:rPr>
          <w:i/>
          <w:iCs/>
          <w:sz w:val="24"/>
          <w:szCs w:val="24"/>
        </w:rPr>
        <w:t xml:space="preserve">: </w:t>
      </w:r>
      <w:hyperlink r:id="rId9">
        <w:r w:rsidRPr="28B6F5B7">
          <w:rPr>
            <w:rStyle w:val="Hyperlink"/>
            <w:sz w:val="24"/>
            <w:szCs w:val="24"/>
            <w:u w:val="none"/>
          </w:rPr>
          <w:t>www.pembrokeshire.gov.uk/inclusion-service-and-sen</w:t>
        </w:r>
      </w:hyperlink>
      <w:r w:rsidRPr="28B6F5B7">
        <w:rPr>
          <w:i/>
          <w:iCs/>
          <w:sz w:val="24"/>
          <w:szCs w:val="24"/>
        </w:rPr>
        <w:t xml:space="preserve">. </w:t>
      </w:r>
      <w:r w:rsidRPr="28B6F5B7">
        <w:rPr>
          <w:sz w:val="24"/>
          <w:szCs w:val="24"/>
        </w:rPr>
        <w:t>Accessed: 26/10/201</w:t>
      </w:r>
      <w:r w:rsidRPr="28B6F5B7">
        <w:rPr>
          <w:i/>
          <w:iCs/>
          <w:sz w:val="24"/>
          <w:szCs w:val="24"/>
        </w:rPr>
        <w:t>8</w:t>
      </w:r>
    </w:p>
    <w:p w14:paraId="452C47D0" w14:textId="70270958" w:rsidR="28B6F5B7" w:rsidRDefault="28B6F5B7" w:rsidP="28B6F5B7">
      <w:pPr>
        <w:rPr>
          <w:sz w:val="24"/>
          <w:szCs w:val="24"/>
        </w:rPr>
      </w:pPr>
      <w:r w:rsidRPr="28B6F5B7">
        <w:rPr>
          <w:sz w:val="24"/>
          <w:szCs w:val="24"/>
        </w:rPr>
        <w:lastRenderedPageBreak/>
        <w:t xml:space="preserve">Sikes, P. and Lawson, H. and Parker, M. (2007). ‘Voices on: teachers and teaching assistants talk about inclusion’. </w:t>
      </w:r>
      <w:r w:rsidRPr="28B6F5B7">
        <w:rPr>
          <w:i/>
          <w:iCs/>
          <w:sz w:val="24"/>
          <w:szCs w:val="24"/>
        </w:rPr>
        <w:t xml:space="preserve">International Journal of Inclusive Education. </w:t>
      </w:r>
      <w:r w:rsidRPr="28B6F5B7">
        <w:rPr>
          <w:sz w:val="24"/>
          <w:szCs w:val="24"/>
        </w:rPr>
        <w:t>Volume 11, issue 3. P355-370. Accessed: 15</w:t>
      </w:r>
      <w:r w:rsidRPr="28B6F5B7">
        <w:rPr>
          <w:sz w:val="24"/>
          <w:szCs w:val="24"/>
          <w:vertAlign w:val="superscript"/>
        </w:rPr>
        <w:t>th</w:t>
      </w:r>
      <w:r w:rsidRPr="28B6F5B7">
        <w:rPr>
          <w:sz w:val="24"/>
          <w:szCs w:val="24"/>
        </w:rPr>
        <w:t xml:space="preserve"> October 2018. Htttps://doi.org/10.1080/13603110701238819. </w:t>
      </w:r>
    </w:p>
    <w:p w14:paraId="3D81B7E1" w14:textId="08912C80" w:rsidR="28B6F5B7" w:rsidRDefault="28B6F5B7" w:rsidP="28B6F5B7">
      <w:pPr>
        <w:rPr>
          <w:sz w:val="24"/>
          <w:szCs w:val="24"/>
        </w:rPr>
      </w:pPr>
      <w:proofErr w:type="spellStart"/>
      <w:proofErr w:type="gramStart"/>
      <w:r w:rsidRPr="28B6F5B7">
        <w:rPr>
          <w:sz w:val="24"/>
          <w:szCs w:val="24"/>
        </w:rPr>
        <w:t>WikiHow</w:t>
      </w:r>
      <w:proofErr w:type="spellEnd"/>
      <w:r w:rsidRPr="28B6F5B7">
        <w:rPr>
          <w:sz w:val="24"/>
          <w:szCs w:val="24"/>
        </w:rPr>
        <w:t>,(</w:t>
      </w:r>
      <w:proofErr w:type="gramEnd"/>
      <w:r w:rsidRPr="28B6F5B7">
        <w:rPr>
          <w:sz w:val="24"/>
          <w:szCs w:val="24"/>
        </w:rPr>
        <w:t xml:space="preserve">2018).  </w:t>
      </w:r>
      <w:r w:rsidRPr="28B6F5B7">
        <w:rPr>
          <w:i/>
          <w:iCs/>
          <w:sz w:val="24"/>
          <w:szCs w:val="24"/>
        </w:rPr>
        <w:t>How to Write a Critical Analysis</w:t>
      </w:r>
      <w:r w:rsidRPr="28B6F5B7">
        <w:rPr>
          <w:sz w:val="24"/>
          <w:szCs w:val="24"/>
        </w:rPr>
        <w:t xml:space="preserve">. Paragraph 5 - Identify any appeals used. Available at: </w:t>
      </w:r>
      <w:hyperlink r:id="rId10">
        <w:r w:rsidRPr="28B6F5B7">
          <w:rPr>
            <w:rStyle w:val="Hyperlink"/>
            <w:sz w:val="24"/>
            <w:szCs w:val="24"/>
            <w:u w:val="none"/>
          </w:rPr>
          <w:t>https://www.wikihow.com</w:t>
        </w:r>
      </w:hyperlink>
      <w:r w:rsidRPr="28B6F5B7">
        <w:rPr>
          <w:sz w:val="24"/>
          <w:szCs w:val="24"/>
        </w:rPr>
        <w:t>. Accessed: 25/10/2018.</w:t>
      </w:r>
    </w:p>
    <w:p w14:paraId="103864DF" w14:textId="7956175A" w:rsidR="28B6F5B7" w:rsidRDefault="28B6F5B7" w:rsidP="28B6F5B7">
      <w:pPr>
        <w:rPr>
          <w:sz w:val="24"/>
          <w:szCs w:val="24"/>
        </w:rPr>
      </w:pPr>
    </w:p>
    <w:p w14:paraId="16947550" w14:textId="4BC08171" w:rsidR="28B6F5B7" w:rsidRDefault="28B6F5B7" w:rsidP="28B6F5B7">
      <w:pPr>
        <w:rPr>
          <w:sz w:val="24"/>
          <w:szCs w:val="24"/>
        </w:rPr>
      </w:pPr>
    </w:p>
    <w:p w14:paraId="79174494" w14:textId="2B654B06" w:rsidR="28B6F5B7" w:rsidRDefault="28B6F5B7" w:rsidP="28B6F5B7">
      <w:pPr>
        <w:rPr>
          <w:i/>
          <w:iCs/>
          <w:sz w:val="24"/>
          <w:szCs w:val="24"/>
        </w:rPr>
      </w:pPr>
    </w:p>
    <w:p w14:paraId="446A2672" w14:textId="6EA00B54" w:rsidR="51888EF4" w:rsidRDefault="51888EF4" w:rsidP="28B6F5B7">
      <w:pPr>
        <w:ind w:left="360"/>
        <w:rPr>
          <w:sz w:val="24"/>
          <w:szCs w:val="24"/>
        </w:rPr>
      </w:pPr>
    </w:p>
    <w:p w14:paraId="3436B589" w14:textId="02C916E1" w:rsidR="51888EF4" w:rsidRDefault="28B6F5B7" w:rsidP="28B6F5B7">
      <w:pPr>
        <w:ind w:left="360"/>
        <w:rPr>
          <w:sz w:val="24"/>
          <w:szCs w:val="24"/>
        </w:rPr>
      </w:pPr>
      <w:r w:rsidRPr="28B6F5B7">
        <w:rPr>
          <w:sz w:val="24"/>
          <w:szCs w:val="24"/>
        </w:rPr>
        <w:t>-</w:t>
      </w:r>
    </w:p>
    <w:sectPr w:rsidR="51888EF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C57702" w14:textId="77777777" w:rsidR="00217BEA" w:rsidRDefault="00217BEA" w:rsidP="00CA7D62">
      <w:pPr>
        <w:spacing w:after="0" w:line="240" w:lineRule="auto"/>
      </w:pPr>
      <w:r>
        <w:separator/>
      </w:r>
    </w:p>
  </w:endnote>
  <w:endnote w:type="continuationSeparator" w:id="0">
    <w:p w14:paraId="4D4728C2" w14:textId="77777777" w:rsidR="00217BEA" w:rsidRDefault="00217BEA" w:rsidP="00CA7D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7E4D74" w14:textId="77777777" w:rsidR="00217BEA" w:rsidRDefault="00217BEA" w:rsidP="00CA7D62">
      <w:pPr>
        <w:spacing w:after="0" w:line="240" w:lineRule="auto"/>
      </w:pPr>
      <w:r>
        <w:separator/>
      </w:r>
    </w:p>
  </w:footnote>
  <w:footnote w:type="continuationSeparator" w:id="0">
    <w:p w14:paraId="6EE26AA6" w14:textId="77777777" w:rsidR="00217BEA" w:rsidRDefault="00217BEA" w:rsidP="00CA7D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230B8C"/>
    <w:multiLevelType w:val="hybridMultilevel"/>
    <w:tmpl w:val="5A7CA7EC"/>
    <w:lvl w:ilvl="0" w:tplc="9908550A">
      <w:start w:val="1"/>
      <w:numFmt w:val="bullet"/>
      <w:lvlText w:val=""/>
      <w:lvlJc w:val="left"/>
      <w:pPr>
        <w:ind w:left="720" w:hanging="360"/>
      </w:pPr>
      <w:rPr>
        <w:rFonts w:ascii="Symbol" w:hAnsi="Symbol" w:hint="default"/>
      </w:rPr>
    </w:lvl>
    <w:lvl w:ilvl="1" w:tplc="C0169FAA">
      <w:start w:val="1"/>
      <w:numFmt w:val="bullet"/>
      <w:lvlText w:val="o"/>
      <w:lvlJc w:val="left"/>
      <w:pPr>
        <w:ind w:left="1440" w:hanging="360"/>
      </w:pPr>
      <w:rPr>
        <w:rFonts w:ascii="Courier New" w:hAnsi="Courier New" w:hint="default"/>
      </w:rPr>
    </w:lvl>
    <w:lvl w:ilvl="2" w:tplc="C4883744">
      <w:start w:val="1"/>
      <w:numFmt w:val="bullet"/>
      <w:lvlText w:val=""/>
      <w:lvlJc w:val="left"/>
      <w:pPr>
        <w:ind w:left="2160" w:hanging="360"/>
      </w:pPr>
      <w:rPr>
        <w:rFonts w:ascii="Wingdings" w:hAnsi="Wingdings" w:hint="default"/>
      </w:rPr>
    </w:lvl>
    <w:lvl w:ilvl="3" w:tplc="926A94FC">
      <w:start w:val="1"/>
      <w:numFmt w:val="bullet"/>
      <w:lvlText w:val=""/>
      <w:lvlJc w:val="left"/>
      <w:pPr>
        <w:ind w:left="2880" w:hanging="360"/>
      </w:pPr>
      <w:rPr>
        <w:rFonts w:ascii="Symbol" w:hAnsi="Symbol" w:hint="default"/>
      </w:rPr>
    </w:lvl>
    <w:lvl w:ilvl="4" w:tplc="EF4836FA">
      <w:start w:val="1"/>
      <w:numFmt w:val="bullet"/>
      <w:lvlText w:val="o"/>
      <w:lvlJc w:val="left"/>
      <w:pPr>
        <w:ind w:left="3600" w:hanging="360"/>
      </w:pPr>
      <w:rPr>
        <w:rFonts w:ascii="Courier New" w:hAnsi="Courier New" w:hint="default"/>
      </w:rPr>
    </w:lvl>
    <w:lvl w:ilvl="5" w:tplc="7A965410">
      <w:start w:val="1"/>
      <w:numFmt w:val="bullet"/>
      <w:lvlText w:val=""/>
      <w:lvlJc w:val="left"/>
      <w:pPr>
        <w:ind w:left="4320" w:hanging="360"/>
      </w:pPr>
      <w:rPr>
        <w:rFonts w:ascii="Wingdings" w:hAnsi="Wingdings" w:hint="default"/>
      </w:rPr>
    </w:lvl>
    <w:lvl w:ilvl="6" w:tplc="44F265AE">
      <w:start w:val="1"/>
      <w:numFmt w:val="bullet"/>
      <w:lvlText w:val=""/>
      <w:lvlJc w:val="left"/>
      <w:pPr>
        <w:ind w:left="5040" w:hanging="360"/>
      </w:pPr>
      <w:rPr>
        <w:rFonts w:ascii="Symbol" w:hAnsi="Symbol" w:hint="default"/>
      </w:rPr>
    </w:lvl>
    <w:lvl w:ilvl="7" w:tplc="3ECED2F8">
      <w:start w:val="1"/>
      <w:numFmt w:val="bullet"/>
      <w:lvlText w:val="o"/>
      <w:lvlJc w:val="left"/>
      <w:pPr>
        <w:ind w:left="5760" w:hanging="360"/>
      </w:pPr>
      <w:rPr>
        <w:rFonts w:ascii="Courier New" w:hAnsi="Courier New" w:hint="default"/>
      </w:rPr>
    </w:lvl>
    <w:lvl w:ilvl="8" w:tplc="FADA0688">
      <w:start w:val="1"/>
      <w:numFmt w:val="bullet"/>
      <w:lvlText w:val=""/>
      <w:lvlJc w:val="left"/>
      <w:pPr>
        <w:ind w:left="6480" w:hanging="360"/>
      </w:pPr>
      <w:rPr>
        <w:rFonts w:ascii="Wingdings" w:hAnsi="Wingdings" w:hint="default"/>
      </w:rPr>
    </w:lvl>
  </w:abstractNum>
  <w:abstractNum w:abstractNumId="1" w15:restartNumberingAfterBreak="0">
    <w:nsid w:val="36E063A1"/>
    <w:multiLevelType w:val="hybridMultilevel"/>
    <w:tmpl w:val="9FD67BF8"/>
    <w:lvl w:ilvl="0" w:tplc="E4C6044E">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102D04"/>
    <w:multiLevelType w:val="hybridMultilevel"/>
    <w:tmpl w:val="3B4A0992"/>
    <w:lvl w:ilvl="0" w:tplc="E97011E8">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7F2EFEB"/>
    <w:rsid w:val="00003462"/>
    <w:rsid w:val="00022E57"/>
    <w:rsid w:val="000B0DAF"/>
    <w:rsid w:val="000D3631"/>
    <w:rsid w:val="00104985"/>
    <w:rsid w:val="00186EF5"/>
    <w:rsid w:val="001C63F7"/>
    <w:rsid w:val="0021765F"/>
    <w:rsid w:val="00217BEA"/>
    <w:rsid w:val="00266CBA"/>
    <w:rsid w:val="002958D9"/>
    <w:rsid w:val="002A2FA1"/>
    <w:rsid w:val="002F7EBB"/>
    <w:rsid w:val="00335E17"/>
    <w:rsid w:val="00340F70"/>
    <w:rsid w:val="004E4474"/>
    <w:rsid w:val="00530B11"/>
    <w:rsid w:val="0058222B"/>
    <w:rsid w:val="005A3C7F"/>
    <w:rsid w:val="00604458"/>
    <w:rsid w:val="006469FF"/>
    <w:rsid w:val="00687EBF"/>
    <w:rsid w:val="006E0D5A"/>
    <w:rsid w:val="006E27FA"/>
    <w:rsid w:val="006F69C9"/>
    <w:rsid w:val="00777B3B"/>
    <w:rsid w:val="007A6914"/>
    <w:rsid w:val="007E0896"/>
    <w:rsid w:val="00940BF1"/>
    <w:rsid w:val="009676AD"/>
    <w:rsid w:val="0098162C"/>
    <w:rsid w:val="009A11EF"/>
    <w:rsid w:val="009C5F81"/>
    <w:rsid w:val="00A27DDB"/>
    <w:rsid w:val="00A92358"/>
    <w:rsid w:val="00B53A1D"/>
    <w:rsid w:val="00CA7D62"/>
    <w:rsid w:val="00D40D72"/>
    <w:rsid w:val="00D95369"/>
    <w:rsid w:val="00E12951"/>
    <w:rsid w:val="00E37BE1"/>
    <w:rsid w:val="00E630E3"/>
    <w:rsid w:val="00E70CEF"/>
    <w:rsid w:val="00EB6A88"/>
    <w:rsid w:val="00ED1BAF"/>
    <w:rsid w:val="00EF1E4F"/>
    <w:rsid w:val="00F1382A"/>
    <w:rsid w:val="00F534F3"/>
    <w:rsid w:val="164F8149"/>
    <w:rsid w:val="28B6F5B7"/>
    <w:rsid w:val="37F2EFEB"/>
    <w:rsid w:val="51888EF4"/>
    <w:rsid w:val="5BC8FB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F2EFEB"/>
  <w15:chartTrackingRefBased/>
  <w15:docId w15:val="{70930CED-A297-43B7-A5D8-31BFE4B4C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CA7D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7D62"/>
  </w:style>
  <w:style w:type="paragraph" w:styleId="Footer">
    <w:name w:val="footer"/>
    <w:basedOn w:val="Normal"/>
    <w:link w:val="FooterChar"/>
    <w:uiPriority w:val="99"/>
    <w:unhideWhenUsed/>
    <w:rsid w:val="00CA7D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7D62"/>
  </w:style>
  <w:style w:type="character" w:styleId="CommentReference">
    <w:name w:val="annotation reference"/>
    <w:basedOn w:val="DefaultParagraphFont"/>
    <w:uiPriority w:val="99"/>
    <w:semiHidden/>
    <w:unhideWhenUsed/>
    <w:rsid w:val="006E0D5A"/>
    <w:rPr>
      <w:sz w:val="16"/>
      <w:szCs w:val="16"/>
    </w:rPr>
  </w:style>
  <w:style w:type="paragraph" w:styleId="CommentText">
    <w:name w:val="annotation text"/>
    <w:basedOn w:val="Normal"/>
    <w:link w:val="CommentTextChar"/>
    <w:uiPriority w:val="99"/>
    <w:semiHidden/>
    <w:unhideWhenUsed/>
    <w:rsid w:val="006E0D5A"/>
    <w:pPr>
      <w:spacing w:line="240" w:lineRule="auto"/>
    </w:pPr>
    <w:rPr>
      <w:sz w:val="20"/>
      <w:szCs w:val="20"/>
    </w:rPr>
  </w:style>
  <w:style w:type="character" w:customStyle="1" w:styleId="CommentTextChar">
    <w:name w:val="Comment Text Char"/>
    <w:basedOn w:val="DefaultParagraphFont"/>
    <w:link w:val="CommentText"/>
    <w:uiPriority w:val="99"/>
    <w:semiHidden/>
    <w:rsid w:val="006E0D5A"/>
    <w:rPr>
      <w:sz w:val="20"/>
      <w:szCs w:val="20"/>
    </w:rPr>
  </w:style>
  <w:style w:type="paragraph" w:styleId="CommentSubject">
    <w:name w:val="annotation subject"/>
    <w:basedOn w:val="CommentText"/>
    <w:next w:val="CommentText"/>
    <w:link w:val="CommentSubjectChar"/>
    <w:uiPriority w:val="99"/>
    <w:semiHidden/>
    <w:unhideWhenUsed/>
    <w:rsid w:val="006E0D5A"/>
    <w:rPr>
      <w:b/>
      <w:bCs/>
    </w:rPr>
  </w:style>
  <w:style w:type="character" w:customStyle="1" w:styleId="CommentSubjectChar">
    <w:name w:val="Comment Subject Char"/>
    <w:basedOn w:val="CommentTextChar"/>
    <w:link w:val="CommentSubject"/>
    <w:uiPriority w:val="99"/>
    <w:semiHidden/>
    <w:rsid w:val="006E0D5A"/>
    <w:rPr>
      <w:b/>
      <w:bCs/>
      <w:sz w:val="20"/>
      <w:szCs w:val="20"/>
    </w:rPr>
  </w:style>
  <w:style w:type="paragraph" w:styleId="BalloonText">
    <w:name w:val="Balloon Text"/>
    <w:basedOn w:val="Normal"/>
    <w:link w:val="BalloonTextChar"/>
    <w:uiPriority w:val="99"/>
    <w:semiHidden/>
    <w:unhideWhenUsed/>
    <w:rsid w:val="006E0D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0D5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 TargetMode="External"/><Relationship Id="rId3" Type="http://schemas.openxmlformats.org/officeDocument/2006/relationships/settings" Target="settings.xml"/><Relationship Id="rId7" Type="http://schemas.openxmlformats.org/officeDocument/2006/relationships/hyperlink" Target="https://www.intranet.birmingham.ac.uk/asc"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wikihow.com" TargetMode="External"/><Relationship Id="rId4" Type="http://schemas.openxmlformats.org/officeDocument/2006/relationships/webSettings" Target="webSettings.xml"/><Relationship Id="rId9" Type="http://schemas.openxmlformats.org/officeDocument/2006/relationships/hyperlink" Target="http://www.pembrokeshire.gov.uk/inclusion-service-and-s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TotalTime>
  <Pages>6</Pages>
  <Words>2396</Words>
  <Characters>13658</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George (1804786)</dc:creator>
  <cp:keywords/>
  <dc:description/>
  <cp:lastModifiedBy>Jessica</cp:lastModifiedBy>
  <cp:revision>36</cp:revision>
  <dcterms:created xsi:type="dcterms:W3CDTF">2018-10-10T13:07:00Z</dcterms:created>
  <dcterms:modified xsi:type="dcterms:W3CDTF">2018-10-29T17:51:00Z</dcterms:modified>
</cp:coreProperties>
</file>