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AFD6F" w14:textId="77777777" w:rsidR="00C83D2C" w:rsidRDefault="00C83D2C">
      <w:pPr>
        <w:spacing w:line="360" w:lineRule="auto"/>
        <w:jc w:val="both"/>
        <w:rPr>
          <w:rFonts w:ascii="Arial" w:hAnsi="Arial" w:cs="Arial"/>
          <w:b/>
          <w:bCs/>
          <w:sz w:val="22"/>
          <w:szCs w:val="22"/>
        </w:rPr>
      </w:pPr>
    </w:p>
    <w:p w14:paraId="36AAFD70" w14:textId="77777777" w:rsidR="00C83D2C" w:rsidRDefault="00C83D2C">
      <w:pPr>
        <w:spacing w:line="360" w:lineRule="auto"/>
        <w:jc w:val="both"/>
        <w:rPr>
          <w:rFonts w:ascii="Arial" w:hAnsi="Arial" w:cs="Arial"/>
          <w:b/>
          <w:bCs/>
          <w:sz w:val="22"/>
          <w:szCs w:val="22"/>
        </w:rPr>
      </w:pPr>
    </w:p>
    <w:p w14:paraId="36AAFD71" w14:textId="77777777" w:rsidR="00C83D2C" w:rsidRDefault="00C83D2C">
      <w:pPr>
        <w:spacing w:line="360" w:lineRule="auto"/>
        <w:jc w:val="both"/>
        <w:rPr>
          <w:rFonts w:ascii="Arial" w:hAnsi="Arial" w:cs="Arial"/>
          <w:b/>
          <w:bCs/>
          <w:sz w:val="22"/>
          <w:szCs w:val="22"/>
        </w:rPr>
      </w:pPr>
    </w:p>
    <w:p w14:paraId="36AAFD72" w14:textId="77777777" w:rsidR="00C83D2C" w:rsidRDefault="00C83D2C">
      <w:pPr>
        <w:spacing w:line="360" w:lineRule="auto"/>
        <w:jc w:val="both"/>
        <w:rPr>
          <w:rFonts w:ascii="Arial" w:hAnsi="Arial" w:cs="Arial"/>
          <w:b/>
          <w:bCs/>
          <w:sz w:val="22"/>
          <w:szCs w:val="22"/>
        </w:rPr>
      </w:pPr>
    </w:p>
    <w:p w14:paraId="36AAFD73" w14:textId="77777777" w:rsidR="00C83D2C" w:rsidRDefault="00C83D2C">
      <w:pPr>
        <w:spacing w:line="360" w:lineRule="auto"/>
        <w:jc w:val="both"/>
        <w:rPr>
          <w:rFonts w:ascii="Arial" w:hAnsi="Arial" w:cs="Arial"/>
          <w:b/>
          <w:bCs/>
          <w:sz w:val="22"/>
          <w:szCs w:val="22"/>
        </w:rPr>
      </w:pPr>
    </w:p>
    <w:p w14:paraId="36AAFD74" w14:textId="77777777" w:rsidR="00C83D2C" w:rsidRDefault="00C83D2C">
      <w:pPr>
        <w:spacing w:line="360" w:lineRule="auto"/>
        <w:jc w:val="both"/>
        <w:rPr>
          <w:rFonts w:ascii="Arial" w:hAnsi="Arial" w:cs="Arial"/>
          <w:b/>
          <w:bCs/>
          <w:sz w:val="22"/>
          <w:szCs w:val="22"/>
        </w:rPr>
      </w:pPr>
    </w:p>
    <w:p w14:paraId="36AAFD75" w14:textId="77777777" w:rsidR="00C83D2C" w:rsidRDefault="00C83D2C">
      <w:pPr>
        <w:spacing w:line="360" w:lineRule="auto"/>
        <w:jc w:val="both"/>
        <w:rPr>
          <w:rFonts w:ascii="Arial" w:hAnsi="Arial" w:cs="Arial"/>
          <w:b/>
          <w:bCs/>
          <w:sz w:val="22"/>
          <w:szCs w:val="22"/>
        </w:rPr>
      </w:pPr>
    </w:p>
    <w:p w14:paraId="36AAFD76" w14:textId="77777777" w:rsidR="00C83D2C" w:rsidRDefault="00C83D2C">
      <w:pPr>
        <w:spacing w:line="360" w:lineRule="auto"/>
        <w:jc w:val="both"/>
        <w:rPr>
          <w:rFonts w:ascii="Arial" w:hAnsi="Arial" w:cs="Arial"/>
          <w:b/>
          <w:bCs/>
          <w:sz w:val="22"/>
          <w:szCs w:val="22"/>
        </w:rPr>
      </w:pPr>
    </w:p>
    <w:p w14:paraId="36AAFD77" w14:textId="77777777" w:rsidR="00C83D2C" w:rsidRDefault="00C83D2C">
      <w:pPr>
        <w:spacing w:line="360" w:lineRule="auto"/>
        <w:jc w:val="both"/>
        <w:rPr>
          <w:rFonts w:ascii="Arial" w:hAnsi="Arial" w:cs="Arial"/>
          <w:b/>
          <w:bCs/>
          <w:sz w:val="22"/>
          <w:szCs w:val="22"/>
        </w:rPr>
      </w:pPr>
    </w:p>
    <w:p w14:paraId="36AAFD78" w14:textId="77777777" w:rsidR="00C83D2C" w:rsidRDefault="00650F21">
      <w:pPr>
        <w:spacing w:line="360" w:lineRule="auto"/>
        <w:jc w:val="center"/>
        <w:rPr>
          <w:rFonts w:ascii="Arial" w:hAnsi="Arial" w:cs="Arial"/>
          <w:b/>
          <w:bCs/>
          <w:sz w:val="22"/>
          <w:szCs w:val="22"/>
        </w:rPr>
      </w:pPr>
      <w:r>
        <w:rPr>
          <w:rFonts w:ascii="Arial" w:hAnsi="Arial" w:cs="Arial"/>
          <w:b/>
          <w:bCs/>
          <w:sz w:val="22"/>
          <w:szCs w:val="22"/>
        </w:rPr>
        <w:t>Essay on Accounting Fundamentals</w:t>
      </w:r>
    </w:p>
    <w:p w14:paraId="36AAFD79" w14:textId="77777777" w:rsidR="00C83D2C" w:rsidRDefault="00650F21">
      <w:pPr>
        <w:spacing w:line="360" w:lineRule="auto"/>
        <w:jc w:val="both"/>
        <w:rPr>
          <w:rFonts w:ascii="Arial" w:hAnsi="Arial" w:cs="Arial"/>
          <w:b/>
          <w:bCs/>
          <w:sz w:val="22"/>
          <w:szCs w:val="22"/>
        </w:rPr>
      </w:pPr>
      <w:r>
        <w:rPr>
          <w:rFonts w:ascii="Arial" w:hAnsi="Arial" w:cs="Arial"/>
          <w:b/>
          <w:bCs/>
          <w:sz w:val="22"/>
          <w:szCs w:val="22"/>
        </w:rPr>
        <w:br w:type="page"/>
      </w:r>
    </w:p>
    <w:sdt>
      <w:sdtPr>
        <w:rPr>
          <w:rFonts w:ascii="Arial" w:eastAsia="SimSun" w:hAnsi="Arial" w:cs="Arial"/>
          <w:sz w:val="22"/>
          <w:szCs w:val="22"/>
        </w:rPr>
        <w:id w:val="147457875"/>
        <w15:color w:val="DBDBDB"/>
        <w:docPartObj>
          <w:docPartGallery w:val="Table of Contents"/>
          <w:docPartUnique/>
        </w:docPartObj>
      </w:sdtPr>
      <w:sdtEndPr/>
      <w:sdtContent>
        <w:p w14:paraId="36AAFD7A" w14:textId="77777777" w:rsidR="00C83D2C" w:rsidRDefault="00650F21">
          <w:pPr>
            <w:spacing w:line="360" w:lineRule="auto"/>
            <w:jc w:val="both"/>
            <w:rPr>
              <w:rFonts w:ascii="Arial" w:hAnsi="Arial" w:cs="Arial"/>
              <w:sz w:val="22"/>
              <w:szCs w:val="22"/>
            </w:rPr>
          </w:pPr>
          <w:r>
            <w:rPr>
              <w:rFonts w:ascii="Arial" w:eastAsia="SimSun" w:hAnsi="Arial" w:cs="Arial"/>
              <w:b/>
              <w:bCs/>
              <w:sz w:val="22"/>
              <w:szCs w:val="22"/>
            </w:rPr>
            <w:t>Table of Contents</w:t>
          </w:r>
        </w:p>
        <w:p w14:paraId="36AAFD7B" w14:textId="77777777" w:rsidR="00C83D2C" w:rsidRDefault="00650F21">
          <w:pPr>
            <w:pStyle w:val="TOC1"/>
            <w:tabs>
              <w:tab w:val="right" w:leader="dot" w:pos="8306"/>
            </w:tabs>
            <w:spacing w:line="360" w:lineRule="auto"/>
            <w:jc w:val="both"/>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TOC \o "1-1" \h \u </w:instrText>
          </w:r>
          <w:r>
            <w:rPr>
              <w:rFonts w:ascii="Arial" w:hAnsi="Arial" w:cs="Arial"/>
              <w:sz w:val="22"/>
              <w:szCs w:val="22"/>
            </w:rPr>
            <w:fldChar w:fldCharType="separate"/>
          </w:r>
          <w:hyperlink w:anchor="_Toc29735" w:history="1">
            <w:r>
              <w:rPr>
                <w:rFonts w:ascii="Arial" w:hAnsi="Arial" w:cs="Arial"/>
                <w:sz w:val="22"/>
                <w:szCs w:val="22"/>
              </w:rPr>
              <w:t>Prepare Angela’s Income Statement for the year ending 31st December 2021, and a Statement of Financial Position</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_Toc29735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3</w:t>
            </w:r>
            <w:r>
              <w:rPr>
                <w:rFonts w:ascii="Arial" w:hAnsi="Arial" w:cs="Arial"/>
                <w:sz w:val="22"/>
                <w:szCs w:val="22"/>
              </w:rPr>
              <w:fldChar w:fldCharType="end"/>
            </w:r>
          </w:hyperlink>
        </w:p>
        <w:p w14:paraId="36AAFD7C" w14:textId="77777777" w:rsidR="00C83D2C" w:rsidRDefault="00650F21">
          <w:pPr>
            <w:pStyle w:val="TOC1"/>
            <w:tabs>
              <w:tab w:val="right" w:leader="dot" w:pos="8306"/>
            </w:tabs>
            <w:spacing w:line="360" w:lineRule="auto"/>
            <w:jc w:val="both"/>
            <w:rPr>
              <w:rFonts w:ascii="Arial" w:hAnsi="Arial" w:cs="Arial"/>
              <w:sz w:val="22"/>
              <w:szCs w:val="22"/>
            </w:rPr>
          </w:pPr>
          <w:hyperlink w:anchor="_Toc21430" w:history="1">
            <w:r>
              <w:rPr>
                <w:rFonts w:ascii="Arial" w:hAnsi="Arial" w:cs="Arial"/>
                <w:sz w:val="22"/>
                <w:szCs w:val="22"/>
              </w:rPr>
              <w:t>C</w:t>
            </w:r>
            <w:r>
              <w:rPr>
                <w:rFonts w:ascii="Arial" w:hAnsi="Arial" w:cs="Arial"/>
                <w:sz w:val="22"/>
                <w:szCs w:val="22"/>
              </w:rPr>
              <w:t>ritically discuss</w:t>
            </w:r>
            <w:r>
              <w:rPr>
                <w:rFonts w:ascii="Arial" w:hAnsi="Arial" w:cs="Arial"/>
                <w:sz w:val="22"/>
                <w:szCs w:val="22"/>
              </w:rPr>
              <w:t>ion of</w:t>
            </w:r>
            <w:r>
              <w:rPr>
                <w:rFonts w:ascii="Arial" w:hAnsi="Arial" w:cs="Arial"/>
                <w:sz w:val="22"/>
                <w:szCs w:val="22"/>
              </w:rPr>
              <w:t xml:space="preserve"> </w:t>
            </w:r>
            <w:r>
              <w:rPr>
                <w:rFonts w:ascii="Arial" w:hAnsi="Arial" w:cs="Arial"/>
                <w:sz w:val="22"/>
                <w:szCs w:val="22"/>
              </w:rPr>
              <w:t xml:space="preserve">accounting </w:t>
            </w:r>
            <w:r>
              <w:rPr>
                <w:rFonts w:ascii="Arial" w:hAnsi="Arial" w:cs="Arial"/>
                <w:sz w:val="22"/>
                <w:szCs w:val="22"/>
              </w:rPr>
              <w:t>principles and their relevan</w:t>
            </w:r>
            <w:r>
              <w:rPr>
                <w:rFonts w:ascii="Arial" w:hAnsi="Arial" w:cs="Arial"/>
                <w:sz w:val="22"/>
                <w:szCs w:val="22"/>
              </w:rPr>
              <w:t>ce</w:t>
            </w:r>
            <w:r>
              <w:rPr>
                <w:rFonts w:ascii="Arial" w:hAnsi="Arial" w:cs="Arial"/>
                <w:sz w:val="22"/>
                <w:szCs w:val="22"/>
              </w:rPr>
              <w:t xml:space="preserve"> to the prepara</w:t>
            </w:r>
            <w:r>
              <w:rPr>
                <w:rFonts w:ascii="Arial" w:hAnsi="Arial" w:cs="Arial"/>
                <w:sz w:val="22"/>
                <w:szCs w:val="22"/>
              </w:rPr>
              <w:t>tion and presentation of financial accounts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_Toc21430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5</w:t>
            </w:r>
            <w:r>
              <w:rPr>
                <w:rFonts w:ascii="Arial" w:hAnsi="Arial" w:cs="Arial"/>
                <w:sz w:val="22"/>
                <w:szCs w:val="22"/>
              </w:rPr>
              <w:fldChar w:fldCharType="end"/>
            </w:r>
          </w:hyperlink>
        </w:p>
        <w:p w14:paraId="36AAFD7D" w14:textId="77777777" w:rsidR="00C83D2C" w:rsidRDefault="00650F21">
          <w:pPr>
            <w:pStyle w:val="TOC1"/>
            <w:tabs>
              <w:tab w:val="right" w:leader="dot" w:pos="8306"/>
            </w:tabs>
            <w:spacing w:line="360" w:lineRule="auto"/>
            <w:jc w:val="both"/>
            <w:rPr>
              <w:rFonts w:ascii="Arial" w:hAnsi="Arial" w:cs="Arial"/>
              <w:sz w:val="22"/>
              <w:szCs w:val="22"/>
            </w:rPr>
          </w:pPr>
          <w:hyperlink w:anchor="_Toc1077" w:history="1">
            <w:r>
              <w:rPr>
                <w:rFonts w:ascii="Arial" w:hAnsi="Arial" w:cs="Arial"/>
                <w:sz w:val="22"/>
                <w:szCs w:val="22"/>
              </w:rPr>
              <w:t>References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_Toc1077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10</w:t>
            </w:r>
            <w:r>
              <w:rPr>
                <w:rFonts w:ascii="Arial" w:hAnsi="Arial" w:cs="Arial"/>
                <w:sz w:val="22"/>
                <w:szCs w:val="22"/>
              </w:rPr>
              <w:fldChar w:fldCharType="end"/>
            </w:r>
          </w:hyperlink>
        </w:p>
        <w:p w14:paraId="36AAFD7E" w14:textId="77777777" w:rsidR="00C83D2C" w:rsidRDefault="00650F21">
          <w:pPr>
            <w:spacing w:line="360" w:lineRule="auto"/>
            <w:jc w:val="both"/>
            <w:rPr>
              <w:rFonts w:ascii="Arial" w:hAnsi="Arial" w:cs="Arial"/>
              <w:sz w:val="22"/>
              <w:szCs w:val="22"/>
            </w:rPr>
          </w:pPr>
          <w:r>
            <w:rPr>
              <w:rFonts w:ascii="Arial" w:hAnsi="Arial" w:cs="Arial"/>
              <w:sz w:val="22"/>
              <w:szCs w:val="22"/>
            </w:rPr>
            <w:fldChar w:fldCharType="end"/>
          </w:r>
        </w:p>
      </w:sdtContent>
    </w:sdt>
    <w:p w14:paraId="36AAFD7F" w14:textId="77777777" w:rsidR="00C83D2C" w:rsidRDefault="00650F21">
      <w:pPr>
        <w:spacing w:line="360" w:lineRule="auto"/>
        <w:jc w:val="both"/>
        <w:rPr>
          <w:rFonts w:ascii="Arial" w:hAnsi="Arial" w:cs="Arial"/>
          <w:b/>
          <w:bCs/>
          <w:sz w:val="22"/>
          <w:szCs w:val="22"/>
        </w:rPr>
      </w:pPr>
      <w:r>
        <w:rPr>
          <w:rFonts w:ascii="Arial" w:hAnsi="Arial" w:cs="Arial"/>
          <w:b/>
          <w:bCs/>
          <w:sz w:val="22"/>
          <w:szCs w:val="22"/>
        </w:rPr>
        <w:br w:type="page"/>
      </w:r>
    </w:p>
    <w:p w14:paraId="36AAFD80" w14:textId="77777777" w:rsidR="00C83D2C" w:rsidRDefault="00650F21">
      <w:pPr>
        <w:pStyle w:val="Heading1"/>
        <w:spacing w:before="0" w:after="0" w:line="360" w:lineRule="auto"/>
        <w:jc w:val="both"/>
        <w:rPr>
          <w:rFonts w:ascii="Arial" w:hAnsi="Arial" w:cs="Arial"/>
          <w:sz w:val="22"/>
          <w:szCs w:val="22"/>
        </w:rPr>
      </w:pPr>
      <w:bookmarkStart w:id="0" w:name="_Toc29735"/>
      <w:r>
        <w:rPr>
          <w:rFonts w:ascii="Arial" w:hAnsi="Arial" w:cs="Arial"/>
          <w:sz w:val="22"/>
          <w:szCs w:val="22"/>
        </w:rPr>
        <w:lastRenderedPageBreak/>
        <w:t>Prep</w:t>
      </w:r>
      <w:r>
        <w:rPr>
          <w:rFonts w:ascii="Arial" w:hAnsi="Arial" w:cs="Arial"/>
          <w:sz w:val="22"/>
          <w:szCs w:val="22"/>
        </w:rPr>
        <w:t>are Angela’s Income Statement for the year ending 31st December 2021, and a Statement of Financial Position</w:t>
      </w:r>
      <w:bookmarkEnd w:id="0"/>
    </w:p>
    <w:p w14:paraId="36AAFD81" w14:textId="77777777" w:rsidR="00C83D2C" w:rsidRDefault="00650F21">
      <w:pPr>
        <w:spacing w:line="360" w:lineRule="auto"/>
        <w:jc w:val="both"/>
        <w:rPr>
          <w:rFonts w:ascii="Arial" w:hAnsi="Arial" w:cs="Arial"/>
          <w:b/>
          <w:bCs/>
          <w:sz w:val="22"/>
          <w:szCs w:val="22"/>
        </w:rPr>
      </w:pPr>
      <w:r>
        <w:rPr>
          <w:rFonts w:ascii="Arial" w:hAnsi="Arial" w:cs="Arial"/>
          <w:b/>
          <w:bCs/>
          <w:sz w:val="22"/>
          <w:szCs w:val="22"/>
        </w:rPr>
        <w:t>(a)</w:t>
      </w:r>
    </w:p>
    <w:tbl>
      <w:tblPr>
        <w:tblW w:w="5000" w:type="pct"/>
        <w:tblLook w:val="04A0" w:firstRow="1" w:lastRow="0" w:firstColumn="1" w:lastColumn="0" w:noHBand="0" w:noVBand="1"/>
      </w:tblPr>
      <w:tblGrid>
        <w:gridCol w:w="4943"/>
        <w:gridCol w:w="1103"/>
        <w:gridCol w:w="2476"/>
      </w:tblGrid>
      <w:tr w:rsidR="00C83D2C" w14:paraId="36AAFD83" w14:textId="77777777">
        <w:trPr>
          <w:trHeight w:val="288"/>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82" w14:textId="77777777" w:rsidR="00C83D2C" w:rsidRDefault="00650F21">
            <w:pPr>
              <w:spacing w:line="360" w:lineRule="auto"/>
              <w:jc w:val="center"/>
              <w:textAlignment w:val="bottom"/>
              <w:rPr>
                <w:rFonts w:ascii="Arial" w:hAnsi="Arial" w:cs="Arial"/>
                <w:b/>
                <w:bCs/>
                <w:sz w:val="22"/>
                <w:szCs w:val="22"/>
              </w:rPr>
            </w:pPr>
            <w:r>
              <w:rPr>
                <w:rFonts w:ascii="Arial" w:eastAsia="SimSun" w:hAnsi="Arial" w:cs="Arial"/>
                <w:b/>
                <w:bCs/>
                <w:sz w:val="22"/>
                <w:szCs w:val="22"/>
                <w:lang w:bidi="ar"/>
              </w:rPr>
              <w:t>Preparation of Income Statement</w:t>
            </w:r>
          </w:p>
        </w:tc>
      </w:tr>
      <w:tr w:rsidR="00C83D2C" w14:paraId="36AAFD87"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84" w14:textId="77777777" w:rsidR="00C83D2C" w:rsidRDefault="00C83D2C">
            <w:pPr>
              <w:spacing w:line="360" w:lineRule="auto"/>
              <w:jc w:val="both"/>
              <w:rPr>
                <w:rFonts w:ascii="Arial" w:hAnsi="Arial" w:cs="Arial"/>
                <w:b/>
                <w:bCs/>
                <w:sz w:val="22"/>
                <w:szCs w:val="22"/>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85" w14:textId="77777777" w:rsidR="00C83D2C" w:rsidRDefault="00C83D2C">
            <w:pPr>
              <w:spacing w:line="360" w:lineRule="auto"/>
              <w:jc w:val="both"/>
              <w:rPr>
                <w:rFonts w:ascii="Arial" w:hAnsi="Arial" w:cs="Arial"/>
                <w:b/>
                <w:bCs/>
                <w:sz w:val="22"/>
                <w:szCs w:val="22"/>
              </w:rPr>
            </w:pP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86" w14:textId="77777777" w:rsidR="00C83D2C" w:rsidRDefault="00C83D2C">
            <w:pPr>
              <w:spacing w:line="360" w:lineRule="auto"/>
              <w:jc w:val="both"/>
              <w:rPr>
                <w:rFonts w:ascii="Arial" w:hAnsi="Arial" w:cs="Arial"/>
                <w:b/>
                <w:bCs/>
                <w:sz w:val="22"/>
                <w:szCs w:val="22"/>
              </w:rPr>
            </w:pPr>
          </w:p>
        </w:tc>
      </w:tr>
      <w:tr w:rsidR="00C83D2C" w14:paraId="36AAFD8B"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88"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Particulars</w:t>
            </w: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89"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WN</w:t>
            </w: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8A"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Amount (£)</w:t>
            </w:r>
          </w:p>
        </w:tc>
      </w:tr>
      <w:tr w:rsidR="00C83D2C" w14:paraId="36AAFD8F"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8C"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Revenues:</w:t>
            </w: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8D" w14:textId="77777777" w:rsidR="00C83D2C" w:rsidRDefault="00C83D2C">
            <w:pPr>
              <w:spacing w:line="360" w:lineRule="auto"/>
              <w:jc w:val="both"/>
              <w:rPr>
                <w:rFonts w:ascii="Arial" w:hAnsi="Arial" w:cs="Arial"/>
                <w:sz w:val="22"/>
                <w:szCs w:val="22"/>
              </w:rPr>
            </w:pP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8E" w14:textId="77777777" w:rsidR="00C83D2C" w:rsidRDefault="00C83D2C">
            <w:pPr>
              <w:spacing w:line="360" w:lineRule="auto"/>
              <w:jc w:val="both"/>
              <w:rPr>
                <w:rFonts w:ascii="Arial" w:hAnsi="Arial" w:cs="Arial"/>
                <w:sz w:val="22"/>
                <w:szCs w:val="22"/>
              </w:rPr>
            </w:pPr>
          </w:p>
        </w:tc>
      </w:tr>
      <w:tr w:rsidR="00C83D2C" w14:paraId="36AAFD93"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90"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Sales</w:t>
            </w: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91" w14:textId="77777777" w:rsidR="00C83D2C" w:rsidRDefault="00C83D2C">
            <w:pPr>
              <w:spacing w:line="360" w:lineRule="auto"/>
              <w:jc w:val="both"/>
              <w:rPr>
                <w:rFonts w:ascii="Arial" w:hAnsi="Arial" w:cs="Arial"/>
                <w:sz w:val="22"/>
                <w:szCs w:val="22"/>
              </w:rPr>
            </w:pP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92"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310423</w:t>
            </w:r>
          </w:p>
        </w:tc>
      </w:tr>
      <w:tr w:rsidR="00C83D2C" w14:paraId="36AAFD97"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94"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Less: COGS</w:t>
            </w: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95"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1</w:t>
            </w: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96"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219223</w:t>
            </w:r>
          </w:p>
        </w:tc>
      </w:tr>
      <w:tr w:rsidR="00C83D2C" w14:paraId="36AAFD9B"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98" w14:textId="77777777" w:rsidR="00C83D2C" w:rsidRDefault="00C83D2C">
            <w:pPr>
              <w:spacing w:line="360" w:lineRule="auto"/>
              <w:jc w:val="both"/>
              <w:rPr>
                <w:rFonts w:ascii="Arial" w:hAnsi="Arial" w:cs="Arial"/>
                <w:sz w:val="22"/>
                <w:szCs w:val="22"/>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99" w14:textId="77777777" w:rsidR="00C83D2C" w:rsidRDefault="00C83D2C">
            <w:pPr>
              <w:spacing w:line="360" w:lineRule="auto"/>
              <w:jc w:val="both"/>
              <w:rPr>
                <w:rFonts w:ascii="Arial" w:hAnsi="Arial" w:cs="Arial"/>
                <w:sz w:val="22"/>
                <w:szCs w:val="22"/>
              </w:rPr>
            </w:pP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9A" w14:textId="77777777" w:rsidR="00C83D2C" w:rsidRDefault="00C83D2C">
            <w:pPr>
              <w:spacing w:line="360" w:lineRule="auto"/>
              <w:jc w:val="both"/>
              <w:rPr>
                <w:rFonts w:ascii="Arial" w:hAnsi="Arial" w:cs="Arial"/>
                <w:sz w:val="22"/>
                <w:szCs w:val="22"/>
              </w:rPr>
            </w:pPr>
          </w:p>
        </w:tc>
      </w:tr>
      <w:tr w:rsidR="00C83D2C" w14:paraId="36AAFD9F"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9C"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Gross Profit</w:t>
            </w: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9D" w14:textId="77777777" w:rsidR="00C83D2C" w:rsidRDefault="00C83D2C">
            <w:pPr>
              <w:spacing w:line="360" w:lineRule="auto"/>
              <w:jc w:val="both"/>
              <w:rPr>
                <w:rFonts w:ascii="Arial" w:hAnsi="Arial" w:cs="Arial"/>
                <w:b/>
                <w:bCs/>
                <w:sz w:val="22"/>
                <w:szCs w:val="22"/>
              </w:rPr>
            </w:pP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9E"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91200</w:t>
            </w:r>
          </w:p>
        </w:tc>
      </w:tr>
      <w:tr w:rsidR="00C83D2C" w14:paraId="36AAFDA3"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A0" w14:textId="77777777" w:rsidR="00C83D2C" w:rsidRDefault="00C83D2C">
            <w:pPr>
              <w:spacing w:line="360" w:lineRule="auto"/>
              <w:jc w:val="both"/>
              <w:rPr>
                <w:rFonts w:ascii="Arial" w:hAnsi="Arial" w:cs="Arial"/>
                <w:sz w:val="22"/>
                <w:szCs w:val="22"/>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A1" w14:textId="77777777" w:rsidR="00C83D2C" w:rsidRDefault="00C83D2C">
            <w:pPr>
              <w:spacing w:line="360" w:lineRule="auto"/>
              <w:jc w:val="both"/>
              <w:rPr>
                <w:rFonts w:ascii="Arial" w:hAnsi="Arial" w:cs="Arial"/>
                <w:sz w:val="22"/>
                <w:szCs w:val="22"/>
              </w:rPr>
            </w:pP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A2" w14:textId="77777777" w:rsidR="00C83D2C" w:rsidRDefault="00C83D2C">
            <w:pPr>
              <w:spacing w:line="360" w:lineRule="auto"/>
              <w:jc w:val="both"/>
              <w:rPr>
                <w:rFonts w:ascii="Arial" w:hAnsi="Arial" w:cs="Arial"/>
                <w:sz w:val="22"/>
                <w:szCs w:val="22"/>
              </w:rPr>
            </w:pPr>
          </w:p>
        </w:tc>
      </w:tr>
      <w:tr w:rsidR="00C83D2C" w14:paraId="36AAFDA7"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A4"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Expenses:</w:t>
            </w: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A5" w14:textId="77777777" w:rsidR="00C83D2C" w:rsidRDefault="00C83D2C">
            <w:pPr>
              <w:spacing w:line="360" w:lineRule="auto"/>
              <w:jc w:val="both"/>
              <w:rPr>
                <w:rFonts w:ascii="Arial" w:hAnsi="Arial" w:cs="Arial"/>
                <w:sz w:val="22"/>
                <w:szCs w:val="22"/>
              </w:rPr>
            </w:pP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A6" w14:textId="77777777" w:rsidR="00C83D2C" w:rsidRDefault="00C83D2C">
            <w:pPr>
              <w:spacing w:line="360" w:lineRule="auto"/>
              <w:jc w:val="both"/>
              <w:rPr>
                <w:rFonts w:ascii="Arial" w:hAnsi="Arial" w:cs="Arial"/>
                <w:sz w:val="22"/>
                <w:szCs w:val="22"/>
              </w:rPr>
            </w:pPr>
          </w:p>
        </w:tc>
      </w:tr>
      <w:tr w:rsidR="00C83D2C" w14:paraId="36AAFDAB"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A8"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Sundry expenses</w:t>
            </w: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A9" w14:textId="77777777" w:rsidR="00C83D2C" w:rsidRDefault="00C83D2C">
            <w:pPr>
              <w:spacing w:line="360" w:lineRule="auto"/>
              <w:jc w:val="both"/>
              <w:rPr>
                <w:rFonts w:ascii="Arial" w:hAnsi="Arial" w:cs="Arial"/>
                <w:sz w:val="22"/>
                <w:szCs w:val="22"/>
              </w:rPr>
            </w:pP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AA"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2250</w:t>
            </w:r>
          </w:p>
        </w:tc>
      </w:tr>
      <w:tr w:rsidR="00C83D2C" w14:paraId="36AAFDAF"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AC"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Rental and insurance cost</w:t>
            </w: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AD" w14:textId="77777777" w:rsidR="00C83D2C" w:rsidRDefault="00C83D2C">
            <w:pPr>
              <w:spacing w:line="360" w:lineRule="auto"/>
              <w:jc w:val="both"/>
              <w:rPr>
                <w:rFonts w:ascii="Arial" w:hAnsi="Arial" w:cs="Arial"/>
                <w:sz w:val="22"/>
                <w:szCs w:val="22"/>
              </w:rPr>
            </w:pP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AE"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19200</w:t>
            </w:r>
          </w:p>
        </w:tc>
      </w:tr>
      <w:tr w:rsidR="00C83D2C" w14:paraId="36AAFDB3"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B0"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Administration expenses</w:t>
            </w: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B1" w14:textId="77777777" w:rsidR="00C83D2C" w:rsidRDefault="00C83D2C">
            <w:pPr>
              <w:spacing w:line="360" w:lineRule="auto"/>
              <w:jc w:val="both"/>
              <w:rPr>
                <w:rFonts w:ascii="Arial" w:hAnsi="Arial" w:cs="Arial"/>
                <w:sz w:val="22"/>
                <w:szCs w:val="22"/>
              </w:rPr>
            </w:pP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B2"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2772</w:t>
            </w:r>
          </w:p>
        </w:tc>
      </w:tr>
      <w:tr w:rsidR="00C83D2C" w14:paraId="36AAFDB7"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B4"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Salaries and wages</w:t>
            </w: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B5" w14:textId="77777777" w:rsidR="00C83D2C" w:rsidRDefault="00C83D2C">
            <w:pPr>
              <w:spacing w:line="360" w:lineRule="auto"/>
              <w:jc w:val="both"/>
              <w:rPr>
                <w:rFonts w:ascii="Arial" w:hAnsi="Arial" w:cs="Arial"/>
                <w:sz w:val="22"/>
                <w:szCs w:val="22"/>
              </w:rPr>
            </w:pP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B6"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35804</w:t>
            </w:r>
          </w:p>
        </w:tc>
      </w:tr>
      <w:tr w:rsidR="00C83D2C" w14:paraId="36AAFDBB"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B8"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Bad debts</w:t>
            </w: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B9" w14:textId="77777777" w:rsidR="00C83D2C" w:rsidRDefault="00C83D2C">
            <w:pPr>
              <w:spacing w:line="360" w:lineRule="auto"/>
              <w:jc w:val="both"/>
              <w:rPr>
                <w:rFonts w:ascii="Arial" w:hAnsi="Arial" w:cs="Arial"/>
                <w:sz w:val="22"/>
                <w:szCs w:val="22"/>
              </w:rPr>
            </w:pP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BA"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980</w:t>
            </w:r>
          </w:p>
        </w:tc>
      </w:tr>
      <w:tr w:rsidR="00C83D2C" w14:paraId="36AAFDBF"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BC"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Total expenses</w:t>
            </w: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BD" w14:textId="77777777" w:rsidR="00C83D2C" w:rsidRDefault="00C83D2C">
            <w:pPr>
              <w:spacing w:line="360" w:lineRule="auto"/>
              <w:jc w:val="both"/>
              <w:rPr>
                <w:rFonts w:ascii="Arial" w:hAnsi="Arial" w:cs="Arial"/>
                <w:b/>
                <w:bCs/>
                <w:sz w:val="22"/>
                <w:szCs w:val="22"/>
              </w:rPr>
            </w:pP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BE"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61006</w:t>
            </w:r>
          </w:p>
        </w:tc>
      </w:tr>
      <w:tr w:rsidR="00C83D2C" w14:paraId="36AAFDC3"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C0" w14:textId="77777777" w:rsidR="00C83D2C" w:rsidRDefault="00C83D2C">
            <w:pPr>
              <w:spacing w:line="360" w:lineRule="auto"/>
              <w:jc w:val="both"/>
              <w:rPr>
                <w:rFonts w:ascii="Arial" w:hAnsi="Arial" w:cs="Arial"/>
                <w:sz w:val="22"/>
                <w:szCs w:val="22"/>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C1" w14:textId="77777777" w:rsidR="00C83D2C" w:rsidRDefault="00C83D2C">
            <w:pPr>
              <w:spacing w:line="360" w:lineRule="auto"/>
              <w:jc w:val="both"/>
              <w:rPr>
                <w:rFonts w:ascii="Arial" w:hAnsi="Arial" w:cs="Arial"/>
                <w:sz w:val="22"/>
                <w:szCs w:val="22"/>
              </w:rPr>
            </w:pP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C2" w14:textId="77777777" w:rsidR="00C83D2C" w:rsidRDefault="00C83D2C">
            <w:pPr>
              <w:spacing w:line="360" w:lineRule="auto"/>
              <w:jc w:val="both"/>
              <w:rPr>
                <w:rFonts w:ascii="Arial" w:hAnsi="Arial" w:cs="Arial"/>
                <w:sz w:val="22"/>
                <w:szCs w:val="22"/>
              </w:rPr>
            </w:pPr>
          </w:p>
        </w:tc>
      </w:tr>
      <w:tr w:rsidR="00C83D2C" w14:paraId="36AAFDC7" w14:textId="77777777">
        <w:trPr>
          <w:trHeight w:val="288"/>
        </w:trPr>
        <w:tc>
          <w:tcPr>
            <w:tcW w:w="290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C4"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Net profit</w:t>
            </w: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C5" w14:textId="77777777" w:rsidR="00C83D2C" w:rsidRDefault="00C83D2C">
            <w:pPr>
              <w:spacing w:line="360" w:lineRule="auto"/>
              <w:jc w:val="both"/>
              <w:rPr>
                <w:rFonts w:ascii="Arial" w:hAnsi="Arial" w:cs="Arial"/>
                <w:b/>
                <w:bCs/>
                <w:sz w:val="22"/>
                <w:szCs w:val="22"/>
              </w:rPr>
            </w:pPr>
          </w:p>
        </w:tc>
        <w:tc>
          <w:tcPr>
            <w:tcW w:w="145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C6"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30194</w:t>
            </w:r>
          </w:p>
        </w:tc>
      </w:tr>
    </w:tbl>
    <w:p w14:paraId="36AAFDC8" w14:textId="77777777" w:rsidR="00C83D2C" w:rsidRDefault="00650F21">
      <w:pPr>
        <w:spacing w:line="360" w:lineRule="auto"/>
        <w:jc w:val="both"/>
        <w:rPr>
          <w:rFonts w:ascii="Arial" w:hAnsi="Arial" w:cs="Arial"/>
          <w:b/>
          <w:bCs/>
          <w:sz w:val="22"/>
          <w:szCs w:val="22"/>
        </w:rPr>
      </w:pPr>
      <w:r>
        <w:rPr>
          <w:rFonts w:ascii="Arial" w:hAnsi="Arial" w:cs="Arial"/>
          <w:b/>
          <w:bCs/>
          <w:sz w:val="22"/>
          <w:szCs w:val="22"/>
        </w:rPr>
        <w:t>(b)</w:t>
      </w:r>
    </w:p>
    <w:tbl>
      <w:tblPr>
        <w:tblW w:w="5000" w:type="pct"/>
        <w:tblLook w:val="04A0" w:firstRow="1" w:lastRow="0" w:firstColumn="1" w:lastColumn="0" w:noHBand="0" w:noVBand="1"/>
      </w:tblPr>
      <w:tblGrid>
        <w:gridCol w:w="5074"/>
        <w:gridCol w:w="1062"/>
        <w:gridCol w:w="2386"/>
      </w:tblGrid>
      <w:tr w:rsidR="00C83D2C" w14:paraId="36AAFDCA" w14:textId="77777777">
        <w:trPr>
          <w:trHeight w:val="288"/>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C9" w14:textId="77777777" w:rsidR="00C83D2C" w:rsidRDefault="00650F21">
            <w:pPr>
              <w:spacing w:line="360" w:lineRule="auto"/>
              <w:jc w:val="center"/>
              <w:textAlignment w:val="bottom"/>
              <w:rPr>
                <w:rFonts w:ascii="Arial" w:hAnsi="Arial" w:cs="Arial"/>
                <w:b/>
                <w:bCs/>
                <w:sz w:val="22"/>
                <w:szCs w:val="22"/>
              </w:rPr>
            </w:pPr>
            <w:r>
              <w:rPr>
                <w:rFonts w:ascii="Arial" w:eastAsia="SimSun" w:hAnsi="Arial" w:cs="Arial"/>
                <w:b/>
                <w:bCs/>
                <w:sz w:val="22"/>
                <w:szCs w:val="22"/>
                <w:lang w:bidi="ar"/>
              </w:rPr>
              <w:t>Preparation of Balance Sheet</w:t>
            </w:r>
          </w:p>
        </w:tc>
      </w:tr>
      <w:tr w:rsidR="00C83D2C" w14:paraId="36AAFDCE"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CB"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Particulars</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CC"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WN</w:t>
            </w: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CD"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Amount (£)</w:t>
            </w:r>
          </w:p>
        </w:tc>
      </w:tr>
      <w:tr w:rsidR="00C83D2C" w14:paraId="36AAFDD2"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CF"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Non-current Assets</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D0" w14:textId="77777777" w:rsidR="00C83D2C" w:rsidRDefault="00C83D2C">
            <w:pPr>
              <w:spacing w:line="360" w:lineRule="auto"/>
              <w:jc w:val="both"/>
              <w:rPr>
                <w:rFonts w:ascii="Arial" w:hAnsi="Arial" w:cs="Arial"/>
                <w:b/>
                <w:bCs/>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D1" w14:textId="77777777" w:rsidR="00C83D2C" w:rsidRDefault="00C83D2C">
            <w:pPr>
              <w:spacing w:line="360" w:lineRule="auto"/>
              <w:jc w:val="both"/>
              <w:rPr>
                <w:rFonts w:ascii="Arial" w:hAnsi="Arial" w:cs="Arial"/>
                <w:b/>
                <w:bCs/>
                <w:sz w:val="22"/>
                <w:szCs w:val="22"/>
              </w:rPr>
            </w:pPr>
          </w:p>
        </w:tc>
      </w:tr>
      <w:tr w:rsidR="00C83D2C" w14:paraId="36AAFDD6"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D3"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Delivery van</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D4"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2</w:t>
            </w: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D5"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16142</w:t>
            </w:r>
          </w:p>
        </w:tc>
      </w:tr>
      <w:tr w:rsidR="00C83D2C" w14:paraId="36AAFDDA"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D7"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Shop fittings</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D8"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3</w:t>
            </w: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D9"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3948</w:t>
            </w:r>
          </w:p>
        </w:tc>
      </w:tr>
      <w:tr w:rsidR="00C83D2C" w14:paraId="36AAFDDE"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DB"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Other fixed assets</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DC" w14:textId="77777777" w:rsidR="00C83D2C" w:rsidRDefault="00C83D2C">
            <w:pPr>
              <w:spacing w:line="360" w:lineRule="auto"/>
              <w:jc w:val="both"/>
              <w:rPr>
                <w:rFonts w:ascii="Arial" w:hAnsi="Arial" w:cs="Arial"/>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DD"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7850</w:t>
            </w:r>
          </w:p>
        </w:tc>
      </w:tr>
      <w:tr w:rsidR="00C83D2C" w14:paraId="36AAFDE2"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DF"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Total non-current assets</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E0" w14:textId="77777777" w:rsidR="00C83D2C" w:rsidRDefault="00C83D2C">
            <w:pPr>
              <w:spacing w:line="360" w:lineRule="auto"/>
              <w:jc w:val="both"/>
              <w:rPr>
                <w:rFonts w:ascii="Arial" w:hAnsi="Arial" w:cs="Arial"/>
                <w:b/>
                <w:bCs/>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E1"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27940</w:t>
            </w:r>
          </w:p>
        </w:tc>
      </w:tr>
      <w:tr w:rsidR="00C83D2C" w14:paraId="36AAFDE6"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E3" w14:textId="77777777" w:rsidR="00C83D2C" w:rsidRDefault="00C83D2C">
            <w:pPr>
              <w:spacing w:line="360" w:lineRule="auto"/>
              <w:jc w:val="both"/>
              <w:rPr>
                <w:rFonts w:ascii="Arial" w:hAnsi="Arial" w:cs="Arial"/>
                <w:sz w:val="22"/>
                <w:szCs w:val="22"/>
              </w:rPr>
            </w:pP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E4" w14:textId="77777777" w:rsidR="00C83D2C" w:rsidRDefault="00C83D2C">
            <w:pPr>
              <w:spacing w:line="360" w:lineRule="auto"/>
              <w:jc w:val="both"/>
              <w:rPr>
                <w:rFonts w:ascii="Arial" w:hAnsi="Arial" w:cs="Arial"/>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E5" w14:textId="77777777" w:rsidR="00C83D2C" w:rsidRDefault="00C83D2C">
            <w:pPr>
              <w:spacing w:line="360" w:lineRule="auto"/>
              <w:jc w:val="both"/>
              <w:rPr>
                <w:rFonts w:ascii="Arial" w:hAnsi="Arial" w:cs="Arial"/>
                <w:sz w:val="22"/>
                <w:szCs w:val="22"/>
              </w:rPr>
            </w:pPr>
          </w:p>
        </w:tc>
      </w:tr>
      <w:tr w:rsidR="00C83D2C" w14:paraId="36AAFDEA"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E7"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Current Assets</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E8" w14:textId="77777777" w:rsidR="00C83D2C" w:rsidRDefault="00C83D2C">
            <w:pPr>
              <w:spacing w:line="360" w:lineRule="auto"/>
              <w:jc w:val="both"/>
              <w:rPr>
                <w:rFonts w:ascii="Arial" w:hAnsi="Arial" w:cs="Arial"/>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E9" w14:textId="77777777" w:rsidR="00C83D2C" w:rsidRDefault="00C83D2C">
            <w:pPr>
              <w:spacing w:line="360" w:lineRule="auto"/>
              <w:jc w:val="both"/>
              <w:rPr>
                <w:rFonts w:ascii="Arial" w:hAnsi="Arial" w:cs="Arial"/>
                <w:sz w:val="22"/>
                <w:szCs w:val="22"/>
              </w:rPr>
            </w:pPr>
          </w:p>
        </w:tc>
      </w:tr>
      <w:tr w:rsidR="00C83D2C" w14:paraId="36AAFDEE"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EB"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Trade Debtors</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EC" w14:textId="77777777" w:rsidR="00C83D2C" w:rsidRDefault="00C83D2C">
            <w:pPr>
              <w:spacing w:line="360" w:lineRule="auto"/>
              <w:jc w:val="both"/>
              <w:rPr>
                <w:rFonts w:ascii="Arial" w:hAnsi="Arial" w:cs="Arial"/>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ED"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5880</w:t>
            </w:r>
          </w:p>
        </w:tc>
      </w:tr>
      <w:tr w:rsidR="00C83D2C" w14:paraId="36AAFDF2"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EF"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Cash at bank</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F0" w14:textId="77777777" w:rsidR="00C83D2C" w:rsidRDefault="00C83D2C">
            <w:pPr>
              <w:spacing w:line="360" w:lineRule="auto"/>
              <w:jc w:val="both"/>
              <w:rPr>
                <w:rFonts w:ascii="Arial" w:hAnsi="Arial" w:cs="Arial"/>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F1"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82</w:t>
            </w:r>
          </w:p>
        </w:tc>
      </w:tr>
      <w:tr w:rsidR="00C83D2C" w14:paraId="36AAFDF6"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F3"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Stock</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F4" w14:textId="77777777" w:rsidR="00C83D2C" w:rsidRDefault="00C83D2C">
            <w:pPr>
              <w:spacing w:line="360" w:lineRule="auto"/>
              <w:jc w:val="both"/>
              <w:rPr>
                <w:rFonts w:ascii="Arial" w:hAnsi="Arial" w:cs="Arial"/>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F5"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25164</w:t>
            </w:r>
          </w:p>
        </w:tc>
      </w:tr>
      <w:tr w:rsidR="00C83D2C" w14:paraId="36AAFDFA"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F7"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Total current assets</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F8" w14:textId="77777777" w:rsidR="00C83D2C" w:rsidRDefault="00C83D2C">
            <w:pPr>
              <w:spacing w:line="360" w:lineRule="auto"/>
              <w:jc w:val="both"/>
              <w:rPr>
                <w:rFonts w:ascii="Arial" w:hAnsi="Arial" w:cs="Arial"/>
                <w:b/>
                <w:bCs/>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F9"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31126</w:t>
            </w:r>
          </w:p>
        </w:tc>
      </w:tr>
      <w:tr w:rsidR="00C83D2C" w14:paraId="36AAFDFE"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FB" w14:textId="77777777" w:rsidR="00C83D2C" w:rsidRDefault="00C83D2C">
            <w:pPr>
              <w:spacing w:line="360" w:lineRule="auto"/>
              <w:jc w:val="both"/>
              <w:rPr>
                <w:rFonts w:ascii="Arial" w:hAnsi="Arial" w:cs="Arial"/>
                <w:b/>
                <w:bCs/>
                <w:sz w:val="22"/>
                <w:szCs w:val="22"/>
              </w:rPr>
            </w:pP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FC" w14:textId="77777777" w:rsidR="00C83D2C" w:rsidRDefault="00C83D2C">
            <w:pPr>
              <w:spacing w:line="360" w:lineRule="auto"/>
              <w:jc w:val="both"/>
              <w:rPr>
                <w:rFonts w:ascii="Arial" w:hAnsi="Arial" w:cs="Arial"/>
                <w:b/>
                <w:bCs/>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FD" w14:textId="77777777" w:rsidR="00C83D2C" w:rsidRDefault="00C83D2C">
            <w:pPr>
              <w:spacing w:line="360" w:lineRule="auto"/>
              <w:jc w:val="both"/>
              <w:rPr>
                <w:rFonts w:ascii="Arial" w:hAnsi="Arial" w:cs="Arial"/>
                <w:b/>
                <w:bCs/>
                <w:sz w:val="22"/>
                <w:szCs w:val="22"/>
              </w:rPr>
            </w:pPr>
          </w:p>
        </w:tc>
      </w:tr>
      <w:tr w:rsidR="00C83D2C" w14:paraId="36AAFE02"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DFF"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Total Assets</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00" w14:textId="77777777" w:rsidR="00C83D2C" w:rsidRDefault="00C83D2C">
            <w:pPr>
              <w:spacing w:line="360" w:lineRule="auto"/>
              <w:jc w:val="both"/>
              <w:rPr>
                <w:rFonts w:ascii="Arial" w:hAnsi="Arial" w:cs="Arial"/>
                <w:b/>
                <w:bCs/>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01"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59066</w:t>
            </w:r>
          </w:p>
        </w:tc>
      </w:tr>
      <w:tr w:rsidR="00C83D2C" w14:paraId="36AAFE06"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03" w14:textId="77777777" w:rsidR="00C83D2C" w:rsidRDefault="00C83D2C">
            <w:pPr>
              <w:spacing w:line="360" w:lineRule="auto"/>
              <w:jc w:val="both"/>
              <w:rPr>
                <w:rFonts w:ascii="Arial" w:hAnsi="Arial" w:cs="Arial"/>
                <w:sz w:val="22"/>
                <w:szCs w:val="22"/>
              </w:rPr>
            </w:pP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04" w14:textId="77777777" w:rsidR="00C83D2C" w:rsidRDefault="00C83D2C">
            <w:pPr>
              <w:spacing w:line="360" w:lineRule="auto"/>
              <w:jc w:val="both"/>
              <w:rPr>
                <w:rFonts w:ascii="Arial" w:hAnsi="Arial" w:cs="Arial"/>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05" w14:textId="77777777" w:rsidR="00C83D2C" w:rsidRDefault="00C83D2C">
            <w:pPr>
              <w:spacing w:line="360" w:lineRule="auto"/>
              <w:jc w:val="both"/>
              <w:rPr>
                <w:rFonts w:ascii="Arial" w:hAnsi="Arial" w:cs="Arial"/>
                <w:sz w:val="22"/>
                <w:szCs w:val="22"/>
              </w:rPr>
            </w:pPr>
          </w:p>
        </w:tc>
      </w:tr>
      <w:tr w:rsidR="00C83D2C" w14:paraId="36AAFE0A"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07"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Current Liabilities</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08" w14:textId="77777777" w:rsidR="00C83D2C" w:rsidRDefault="00C83D2C">
            <w:pPr>
              <w:spacing w:line="360" w:lineRule="auto"/>
              <w:jc w:val="both"/>
              <w:rPr>
                <w:rFonts w:ascii="Arial" w:hAnsi="Arial" w:cs="Arial"/>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09" w14:textId="77777777" w:rsidR="00C83D2C" w:rsidRDefault="00C83D2C">
            <w:pPr>
              <w:spacing w:line="360" w:lineRule="auto"/>
              <w:jc w:val="both"/>
              <w:rPr>
                <w:rFonts w:ascii="Arial" w:hAnsi="Arial" w:cs="Arial"/>
                <w:sz w:val="22"/>
                <w:szCs w:val="22"/>
              </w:rPr>
            </w:pPr>
          </w:p>
        </w:tc>
      </w:tr>
      <w:tr w:rsidR="00C83D2C" w14:paraId="36AAFE0E"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0B"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Creditor for VAT</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0C" w14:textId="77777777" w:rsidR="00C83D2C" w:rsidRDefault="00C83D2C">
            <w:pPr>
              <w:spacing w:line="360" w:lineRule="auto"/>
              <w:jc w:val="both"/>
              <w:rPr>
                <w:rFonts w:ascii="Arial" w:hAnsi="Arial" w:cs="Arial"/>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0D"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7729</w:t>
            </w:r>
          </w:p>
        </w:tc>
      </w:tr>
      <w:tr w:rsidR="00C83D2C" w14:paraId="36AAFE12"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0F"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Trade payables</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10" w14:textId="77777777" w:rsidR="00C83D2C" w:rsidRDefault="00C83D2C">
            <w:pPr>
              <w:spacing w:line="360" w:lineRule="auto"/>
              <w:jc w:val="both"/>
              <w:rPr>
                <w:rFonts w:ascii="Arial" w:hAnsi="Arial" w:cs="Arial"/>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11"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34420</w:t>
            </w:r>
          </w:p>
        </w:tc>
      </w:tr>
      <w:tr w:rsidR="00C83D2C" w14:paraId="36AAFE16"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13"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Total current liabilities</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14" w14:textId="77777777" w:rsidR="00C83D2C" w:rsidRDefault="00C83D2C">
            <w:pPr>
              <w:spacing w:line="360" w:lineRule="auto"/>
              <w:jc w:val="both"/>
              <w:rPr>
                <w:rFonts w:ascii="Arial" w:hAnsi="Arial" w:cs="Arial"/>
                <w:b/>
                <w:bCs/>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15"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42149</w:t>
            </w:r>
          </w:p>
        </w:tc>
      </w:tr>
      <w:tr w:rsidR="00C83D2C" w14:paraId="36AAFE1A"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17" w14:textId="77777777" w:rsidR="00C83D2C" w:rsidRDefault="00C83D2C">
            <w:pPr>
              <w:spacing w:line="360" w:lineRule="auto"/>
              <w:jc w:val="both"/>
              <w:rPr>
                <w:rFonts w:ascii="Arial" w:hAnsi="Arial" w:cs="Arial"/>
                <w:sz w:val="22"/>
                <w:szCs w:val="22"/>
              </w:rPr>
            </w:pP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18" w14:textId="77777777" w:rsidR="00C83D2C" w:rsidRDefault="00C83D2C">
            <w:pPr>
              <w:spacing w:line="360" w:lineRule="auto"/>
              <w:jc w:val="both"/>
              <w:rPr>
                <w:rFonts w:ascii="Arial" w:hAnsi="Arial" w:cs="Arial"/>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19" w14:textId="77777777" w:rsidR="00C83D2C" w:rsidRDefault="00C83D2C">
            <w:pPr>
              <w:spacing w:line="360" w:lineRule="auto"/>
              <w:jc w:val="both"/>
              <w:rPr>
                <w:rFonts w:ascii="Arial" w:hAnsi="Arial" w:cs="Arial"/>
                <w:sz w:val="22"/>
                <w:szCs w:val="22"/>
              </w:rPr>
            </w:pPr>
          </w:p>
        </w:tc>
      </w:tr>
      <w:tr w:rsidR="00C83D2C" w14:paraId="36AAFE1E"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1B"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Capital</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1C" w14:textId="77777777" w:rsidR="00C83D2C" w:rsidRDefault="00C83D2C">
            <w:pPr>
              <w:spacing w:line="360" w:lineRule="auto"/>
              <w:jc w:val="both"/>
              <w:rPr>
                <w:rFonts w:ascii="Arial" w:hAnsi="Arial" w:cs="Arial"/>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1D" w14:textId="77777777" w:rsidR="00C83D2C" w:rsidRDefault="00C83D2C">
            <w:pPr>
              <w:spacing w:line="360" w:lineRule="auto"/>
              <w:jc w:val="both"/>
              <w:rPr>
                <w:rFonts w:ascii="Arial" w:hAnsi="Arial" w:cs="Arial"/>
                <w:sz w:val="22"/>
                <w:szCs w:val="22"/>
              </w:rPr>
            </w:pPr>
          </w:p>
        </w:tc>
      </w:tr>
      <w:tr w:rsidR="00C83D2C" w14:paraId="36AAFE22"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1F"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Total Capital</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20" w14:textId="77777777" w:rsidR="00C83D2C" w:rsidRDefault="00C83D2C">
            <w:pPr>
              <w:spacing w:line="360" w:lineRule="auto"/>
              <w:jc w:val="both"/>
              <w:rPr>
                <w:rFonts w:ascii="Arial" w:hAnsi="Arial" w:cs="Arial"/>
                <w:b/>
                <w:bCs/>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21"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16917</w:t>
            </w:r>
          </w:p>
        </w:tc>
      </w:tr>
      <w:tr w:rsidR="00C83D2C" w14:paraId="36AAFE26"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23" w14:textId="77777777" w:rsidR="00C83D2C" w:rsidRDefault="00C83D2C">
            <w:pPr>
              <w:spacing w:line="360" w:lineRule="auto"/>
              <w:jc w:val="both"/>
              <w:rPr>
                <w:rFonts w:ascii="Arial" w:hAnsi="Arial" w:cs="Arial"/>
                <w:sz w:val="22"/>
                <w:szCs w:val="22"/>
              </w:rPr>
            </w:pP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24" w14:textId="77777777" w:rsidR="00C83D2C" w:rsidRDefault="00C83D2C">
            <w:pPr>
              <w:spacing w:line="360" w:lineRule="auto"/>
              <w:jc w:val="both"/>
              <w:rPr>
                <w:rFonts w:ascii="Arial" w:hAnsi="Arial" w:cs="Arial"/>
                <w:b/>
                <w:bCs/>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25" w14:textId="77777777" w:rsidR="00C83D2C" w:rsidRDefault="00C83D2C">
            <w:pPr>
              <w:spacing w:line="360" w:lineRule="auto"/>
              <w:jc w:val="both"/>
              <w:rPr>
                <w:rFonts w:ascii="Arial" w:hAnsi="Arial" w:cs="Arial"/>
                <w:sz w:val="22"/>
                <w:szCs w:val="22"/>
              </w:rPr>
            </w:pPr>
          </w:p>
        </w:tc>
      </w:tr>
      <w:tr w:rsidR="00C83D2C" w14:paraId="36AAFE2A" w14:textId="77777777">
        <w:trPr>
          <w:trHeight w:val="288"/>
        </w:trPr>
        <w:tc>
          <w:tcPr>
            <w:tcW w:w="297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27"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Total Capital and Liabilities</w:t>
            </w:r>
          </w:p>
        </w:tc>
        <w:tc>
          <w:tcPr>
            <w:tcW w:w="62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28" w14:textId="77777777" w:rsidR="00C83D2C" w:rsidRDefault="00C83D2C">
            <w:pPr>
              <w:spacing w:line="360" w:lineRule="auto"/>
              <w:jc w:val="both"/>
              <w:rPr>
                <w:rFonts w:ascii="Arial" w:hAnsi="Arial" w:cs="Arial"/>
                <w:b/>
                <w:bCs/>
                <w:sz w:val="22"/>
                <w:szCs w:val="22"/>
              </w:rPr>
            </w:pPr>
          </w:p>
        </w:tc>
        <w:tc>
          <w:tcPr>
            <w:tcW w:w="139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29"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59066</w:t>
            </w:r>
          </w:p>
        </w:tc>
      </w:tr>
    </w:tbl>
    <w:p w14:paraId="36AAFE2B" w14:textId="77777777" w:rsidR="00C83D2C" w:rsidRDefault="00650F21">
      <w:pPr>
        <w:spacing w:line="360" w:lineRule="auto"/>
        <w:jc w:val="both"/>
        <w:rPr>
          <w:rFonts w:ascii="Arial" w:hAnsi="Arial" w:cs="Arial"/>
          <w:b/>
          <w:bCs/>
          <w:sz w:val="22"/>
          <w:szCs w:val="22"/>
        </w:rPr>
      </w:pPr>
      <w:r>
        <w:rPr>
          <w:rFonts w:ascii="Arial" w:hAnsi="Arial" w:cs="Arial"/>
          <w:b/>
          <w:bCs/>
          <w:sz w:val="22"/>
          <w:szCs w:val="22"/>
        </w:rPr>
        <w:t>Working Notes</w:t>
      </w:r>
    </w:p>
    <w:tbl>
      <w:tblPr>
        <w:tblW w:w="4999" w:type="pct"/>
        <w:tblLook w:val="04A0" w:firstRow="1" w:lastRow="0" w:firstColumn="1" w:lastColumn="0" w:noHBand="0" w:noVBand="1"/>
      </w:tblPr>
      <w:tblGrid>
        <w:gridCol w:w="1365"/>
        <w:gridCol w:w="5221"/>
        <w:gridCol w:w="1934"/>
      </w:tblGrid>
      <w:tr w:rsidR="00C83D2C" w14:paraId="36AAFE2E" w14:textId="77777777">
        <w:trPr>
          <w:trHeight w:val="288"/>
        </w:trPr>
        <w:tc>
          <w:tcPr>
            <w:tcW w:w="801" w:type="pct"/>
            <w:tcBorders>
              <w:top w:val="nil"/>
              <w:left w:val="nil"/>
              <w:bottom w:val="nil"/>
              <w:right w:val="nil"/>
            </w:tcBorders>
            <w:shd w:val="clear" w:color="auto" w:fill="auto"/>
            <w:noWrap/>
            <w:vAlign w:val="bottom"/>
          </w:tcPr>
          <w:p w14:paraId="36AAFE2C"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1</w:t>
            </w:r>
          </w:p>
        </w:tc>
        <w:tc>
          <w:tcPr>
            <w:tcW w:w="4198" w:type="pct"/>
            <w:gridSpan w:val="2"/>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2D" w14:textId="77777777" w:rsidR="00C83D2C" w:rsidRDefault="00650F21">
            <w:pPr>
              <w:spacing w:line="360" w:lineRule="auto"/>
              <w:jc w:val="center"/>
              <w:textAlignment w:val="bottom"/>
              <w:rPr>
                <w:rFonts w:ascii="Arial" w:hAnsi="Arial" w:cs="Arial"/>
                <w:b/>
                <w:bCs/>
                <w:sz w:val="22"/>
                <w:szCs w:val="22"/>
              </w:rPr>
            </w:pPr>
            <w:r>
              <w:rPr>
                <w:rFonts w:ascii="Arial" w:eastAsia="SimSun" w:hAnsi="Arial" w:cs="Arial"/>
                <w:b/>
                <w:bCs/>
                <w:sz w:val="22"/>
                <w:szCs w:val="22"/>
                <w:lang w:bidi="ar"/>
              </w:rPr>
              <w:t>Calculation of cost of goods sold</w:t>
            </w:r>
          </w:p>
        </w:tc>
      </w:tr>
      <w:tr w:rsidR="00C83D2C" w14:paraId="36AAFE32" w14:textId="77777777">
        <w:trPr>
          <w:trHeight w:val="288"/>
        </w:trPr>
        <w:tc>
          <w:tcPr>
            <w:tcW w:w="801" w:type="pct"/>
            <w:tcBorders>
              <w:top w:val="nil"/>
              <w:left w:val="nil"/>
              <w:bottom w:val="nil"/>
              <w:right w:val="nil"/>
            </w:tcBorders>
            <w:shd w:val="clear" w:color="auto" w:fill="auto"/>
            <w:noWrap/>
            <w:vAlign w:val="bottom"/>
          </w:tcPr>
          <w:p w14:paraId="36AAFE2F"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30"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Particulars</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31"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Amount (£)</w:t>
            </w:r>
          </w:p>
        </w:tc>
      </w:tr>
      <w:tr w:rsidR="00C83D2C" w14:paraId="36AAFE36" w14:textId="77777777">
        <w:trPr>
          <w:trHeight w:val="288"/>
        </w:trPr>
        <w:tc>
          <w:tcPr>
            <w:tcW w:w="801" w:type="pct"/>
            <w:tcBorders>
              <w:top w:val="nil"/>
              <w:left w:val="nil"/>
              <w:bottom w:val="nil"/>
              <w:right w:val="nil"/>
            </w:tcBorders>
            <w:shd w:val="clear" w:color="auto" w:fill="auto"/>
            <w:noWrap/>
            <w:vAlign w:val="bottom"/>
          </w:tcPr>
          <w:p w14:paraId="36AAFE33"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34"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Opening stock</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35"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30222</w:t>
            </w:r>
          </w:p>
        </w:tc>
      </w:tr>
      <w:tr w:rsidR="00C83D2C" w14:paraId="36AAFE3A" w14:textId="77777777">
        <w:trPr>
          <w:trHeight w:val="288"/>
        </w:trPr>
        <w:tc>
          <w:tcPr>
            <w:tcW w:w="801" w:type="pct"/>
            <w:tcBorders>
              <w:top w:val="nil"/>
              <w:left w:val="nil"/>
              <w:bottom w:val="nil"/>
              <w:right w:val="nil"/>
            </w:tcBorders>
            <w:shd w:val="clear" w:color="auto" w:fill="auto"/>
            <w:noWrap/>
            <w:vAlign w:val="bottom"/>
          </w:tcPr>
          <w:p w14:paraId="36AAFE37"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38"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Add: Purchases</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39"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214165</w:t>
            </w:r>
          </w:p>
        </w:tc>
      </w:tr>
      <w:tr w:rsidR="00C83D2C" w14:paraId="36AAFE3E" w14:textId="77777777">
        <w:trPr>
          <w:trHeight w:val="288"/>
        </w:trPr>
        <w:tc>
          <w:tcPr>
            <w:tcW w:w="801" w:type="pct"/>
            <w:tcBorders>
              <w:top w:val="nil"/>
              <w:left w:val="nil"/>
              <w:bottom w:val="nil"/>
              <w:right w:val="nil"/>
            </w:tcBorders>
            <w:shd w:val="clear" w:color="auto" w:fill="auto"/>
            <w:noWrap/>
            <w:vAlign w:val="bottom"/>
          </w:tcPr>
          <w:p w14:paraId="36AAFE3B"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3C"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Less: Closing stock</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3D"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25164</w:t>
            </w:r>
          </w:p>
        </w:tc>
      </w:tr>
      <w:tr w:rsidR="00C83D2C" w14:paraId="36AAFE42" w14:textId="77777777">
        <w:trPr>
          <w:trHeight w:val="288"/>
        </w:trPr>
        <w:tc>
          <w:tcPr>
            <w:tcW w:w="801" w:type="pct"/>
            <w:tcBorders>
              <w:top w:val="nil"/>
              <w:left w:val="nil"/>
              <w:bottom w:val="nil"/>
              <w:right w:val="nil"/>
            </w:tcBorders>
            <w:shd w:val="clear" w:color="auto" w:fill="auto"/>
            <w:noWrap/>
            <w:vAlign w:val="bottom"/>
          </w:tcPr>
          <w:p w14:paraId="36AAFE3F"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40"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COGS</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41"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219223</w:t>
            </w:r>
          </w:p>
        </w:tc>
      </w:tr>
      <w:tr w:rsidR="00C83D2C" w14:paraId="36AAFE46" w14:textId="77777777">
        <w:trPr>
          <w:trHeight w:val="288"/>
        </w:trPr>
        <w:tc>
          <w:tcPr>
            <w:tcW w:w="801" w:type="pct"/>
            <w:tcBorders>
              <w:top w:val="nil"/>
              <w:left w:val="nil"/>
              <w:bottom w:val="nil"/>
              <w:right w:val="nil"/>
            </w:tcBorders>
            <w:shd w:val="clear" w:color="auto" w:fill="auto"/>
            <w:noWrap/>
            <w:vAlign w:val="bottom"/>
          </w:tcPr>
          <w:p w14:paraId="36AAFE43" w14:textId="77777777" w:rsidR="00C83D2C" w:rsidRDefault="00C83D2C">
            <w:pPr>
              <w:spacing w:line="360" w:lineRule="auto"/>
              <w:jc w:val="both"/>
              <w:rPr>
                <w:rFonts w:ascii="Arial" w:hAnsi="Arial" w:cs="Arial"/>
                <w:b/>
                <w:bCs/>
                <w:sz w:val="22"/>
                <w:szCs w:val="22"/>
              </w:rPr>
            </w:pPr>
          </w:p>
        </w:tc>
        <w:tc>
          <w:tcPr>
            <w:tcW w:w="3063" w:type="pct"/>
            <w:tcBorders>
              <w:top w:val="nil"/>
              <w:left w:val="nil"/>
              <w:bottom w:val="nil"/>
              <w:right w:val="nil"/>
            </w:tcBorders>
            <w:shd w:val="clear" w:color="auto" w:fill="auto"/>
            <w:noWrap/>
            <w:vAlign w:val="bottom"/>
          </w:tcPr>
          <w:p w14:paraId="36AAFE44" w14:textId="77777777" w:rsidR="00C83D2C" w:rsidRDefault="00C83D2C">
            <w:pPr>
              <w:spacing w:line="360" w:lineRule="auto"/>
              <w:jc w:val="both"/>
              <w:rPr>
                <w:rFonts w:ascii="Arial" w:hAnsi="Arial" w:cs="Arial"/>
                <w:sz w:val="22"/>
                <w:szCs w:val="22"/>
              </w:rPr>
            </w:pPr>
          </w:p>
        </w:tc>
        <w:tc>
          <w:tcPr>
            <w:tcW w:w="1135" w:type="pct"/>
            <w:tcBorders>
              <w:top w:val="nil"/>
              <w:left w:val="nil"/>
              <w:bottom w:val="nil"/>
              <w:right w:val="nil"/>
            </w:tcBorders>
            <w:shd w:val="clear" w:color="auto" w:fill="auto"/>
            <w:noWrap/>
            <w:vAlign w:val="bottom"/>
          </w:tcPr>
          <w:p w14:paraId="36AAFE45" w14:textId="77777777" w:rsidR="00C83D2C" w:rsidRDefault="00C83D2C">
            <w:pPr>
              <w:spacing w:line="360" w:lineRule="auto"/>
              <w:jc w:val="both"/>
              <w:rPr>
                <w:rFonts w:ascii="Arial" w:hAnsi="Arial" w:cs="Arial"/>
                <w:sz w:val="22"/>
                <w:szCs w:val="22"/>
              </w:rPr>
            </w:pPr>
          </w:p>
        </w:tc>
      </w:tr>
      <w:tr w:rsidR="00C83D2C" w14:paraId="36AAFE49" w14:textId="77777777">
        <w:trPr>
          <w:trHeight w:val="288"/>
        </w:trPr>
        <w:tc>
          <w:tcPr>
            <w:tcW w:w="801" w:type="pct"/>
            <w:tcBorders>
              <w:top w:val="nil"/>
              <w:left w:val="nil"/>
              <w:bottom w:val="nil"/>
              <w:right w:val="nil"/>
            </w:tcBorders>
            <w:shd w:val="clear" w:color="auto" w:fill="auto"/>
            <w:noWrap/>
            <w:vAlign w:val="bottom"/>
          </w:tcPr>
          <w:p w14:paraId="36AAFE47"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2</w:t>
            </w:r>
          </w:p>
        </w:tc>
        <w:tc>
          <w:tcPr>
            <w:tcW w:w="4198" w:type="pct"/>
            <w:gridSpan w:val="2"/>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48" w14:textId="77777777" w:rsidR="00C83D2C" w:rsidRDefault="00650F21">
            <w:pPr>
              <w:spacing w:line="360" w:lineRule="auto"/>
              <w:jc w:val="center"/>
              <w:textAlignment w:val="bottom"/>
              <w:rPr>
                <w:rFonts w:ascii="Arial" w:hAnsi="Arial" w:cs="Arial"/>
                <w:b/>
                <w:bCs/>
                <w:sz w:val="22"/>
                <w:szCs w:val="22"/>
              </w:rPr>
            </w:pPr>
            <w:r>
              <w:rPr>
                <w:rFonts w:ascii="Arial" w:eastAsia="SimSun" w:hAnsi="Arial" w:cs="Arial"/>
                <w:b/>
                <w:bCs/>
                <w:sz w:val="22"/>
                <w:szCs w:val="22"/>
                <w:lang w:bidi="ar"/>
              </w:rPr>
              <w:t>Calculation of depreciation on delivery van</w:t>
            </w:r>
          </w:p>
        </w:tc>
      </w:tr>
      <w:tr w:rsidR="00C83D2C" w14:paraId="36AAFE4D" w14:textId="77777777">
        <w:trPr>
          <w:trHeight w:val="288"/>
        </w:trPr>
        <w:tc>
          <w:tcPr>
            <w:tcW w:w="801" w:type="pct"/>
            <w:tcBorders>
              <w:top w:val="nil"/>
              <w:left w:val="nil"/>
              <w:bottom w:val="nil"/>
              <w:right w:val="nil"/>
            </w:tcBorders>
            <w:shd w:val="clear" w:color="auto" w:fill="auto"/>
            <w:noWrap/>
            <w:vAlign w:val="bottom"/>
          </w:tcPr>
          <w:p w14:paraId="36AAFE4A"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4B"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Particulars</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4C"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Amount(£)</w:t>
            </w:r>
          </w:p>
        </w:tc>
      </w:tr>
      <w:tr w:rsidR="00C83D2C" w14:paraId="36AAFE51" w14:textId="77777777">
        <w:trPr>
          <w:trHeight w:val="288"/>
        </w:trPr>
        <w:tc>
          <w:tcPr>
            <w:tcW w:w="801" w:type="pct"/>
            <w:tcBorders>
              <w:top w:val="nil"/>
              <w:left w:val="nil"/>
              <w:bottom w:val="nil"/>
              <w:right w:val="nil"/>
            </w:tcBorders>
            <w:shd w:val="clear" w:color="auto" w:fill="auto"/>
            <w:noWrap/>
            <w:vAlign w:val="bottom"/>
          </w:tcPr>
          <w:p w14:paraId="36AAFE4E"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4F"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Cost</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50"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35580</w:t>
            </w:r>
          </w:p>
        </w:tc>
      </w:tr>
      <w:tr w:rsidR="00C83D2C" w14:paraId="36AAFE55" w14:textId="77777777">
        <w:trPr>
          <w:trHeight w:val="288"/>
        </w:trPr>
        <w:tc>
          <w:tcPr>
            <w:tcW w:w="801" w:type="pct"/>
            <w:tcBorders>
              <w:top w:val="nil"/>
              <w:left w:val="nil"/>
              <w:bottom w:val="nil"/>
              <w:right w:val="nil"/>
            </w:tcBorders>
            <w:shd w:val="clear" w:color="auto" w:fill="auto"/>
            <w:noWrap/>
            <w:vAlign w:val="bottom"/>
          </w:tcPr>
          <w:p w14:paraId="36AAFE52"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53"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Less: Accumulated depreciation</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54"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12520</w:t>
            </w:r>
          </w:p>
        </w:tc>
      </w:tr>
      <w:tr w:rsidR="00C83D2C" w14:paraId="36AAFE59" w14:textId="77777777">
        <w:trPr>
          <w:trHeight w:val="288"/>
        </w:trPr>
        <w:tc>
          <w:tcPr>
            <w:tcW w:w="801" w:type="pct"/>
            <w:tcBorders>
              <w:top w:val="nil"/>
              <w:left w:val="nil"/>
              <w:bottom w:val="nil"/>
              <w:right w:val="nil"/>
            </w:tcBorders>
            <w:shd w:val="clear" w:color="auto" w:fill="auto"/>
            <w:noWrap/>
            <w:vAlign w:val="bottom"/>
          </w:tcPr>
          <w:p w14:paraId="36AAFE56"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57"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Total value</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58"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23060</w:t>
            </w:r>
          </w:p>
        </w:tc>
      </w:tr>
      <w:tr w:rsidR="00C83D2C" w14:paraId="36AAFE5D" w14:textId="77777777">
        <w:trPr>
          <w:trHeight w:val="288"/>
        </w:trPr>
        <w:tc>
          <w:tcPr>
            <w:tcW w:w="801" w:type="pct"/>
            <w:tcBorders>
              <w:top w:val="nil"/>
              <w:left w:val="nil"/>
              <w:bottom w:val="nil"/>
              <w:right w:val="nil"/>
            </w:tcBorders>
            <w:shd w:val="clear" w:color="auto" w:fill="auto"/>
            <w:noWrap/>
            <w:vAlign w:val="bottom"/>
          </w:tcPr>
          <w:p w14:paraId="36AAFE5A"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5B"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Less: Current year depreciation</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5C"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6918</w:t>
            </w:r>
          </w:p>
        </w:tc>
      </w:tr>
      <w:tr w:rsidR="00C83D2C" w14:paraId="36AAFE61" w14:textId="77777777">
        <w:trPr>
          <w:trHeight w:val="288"/>
        </w:trPr>
        <w:tc>
          <w:tcPr>
            <w:tcW w:w="801" w:type="pct"/>
            <w:tcBorders>
              <w:top w:val="nil"/>
              <w:left w:val="nil"/>
              <w:bottom w:val="nil"/>
              <w:right w:val="nil"/>
            </w:tcBorders>
            <w:shd w:val="clear" w:color="auto" w:fill="auto"/>
            <w:noWrap/>
            <w:vAlign w:val="bottom"/>
          </w:tcPr>
          <w:p w14:paraId="36AAFE5E"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5F"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 xml:space="preserve">Total value as at 31 </w:t>
            </w:r>
            <w:proofErr w:type="spellStart"/>
            <w:r>
              <w:rPr>
                <w:rFonts w:ascii="Arial" w:eastAsia="SimSun" w:hAnsi="Arial" w:cs="Arial"/>
                <w:sz w:val="22"/>
                <w:szCs w:val="22"/>
                <w:lang w:bidi="ar"/>
              </w:rPr>
              <w:t>december</w:t>
            </w:r>
            <w:proofErr w:type="spellEnd"/>
            <w:r>
              <w:rPr>
                <w:rFonts w:ascii="Arial" w:eastAsia="SimSun" w:hAnsi="Arial" w:cs="Arial"/>
                <w:sz w:val="22"/>
                <w:szCs w:val="22"/>
                <w:lang w:bidi="ar"/>
              </w:rPr>
              <w:t xml:space="preserve"> 2021</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60"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16142</w:t>
            </w:r>
          </w:p>
        </w:tc>
      </w:tr>
      <w:tr w:rsidR="00C83D2C" w14:paraId="36AAFE65" w14:textId="77777777">
        <w:trPr>
          <w:trHeight w:val="288"/>
        </w:trPr>
        <w:tc>
          <w:tcPr>
            <w:tcW w:w="801" w:type="pct"/>
            <w:tcBorders>
              <w:top w:val="nil"/>
              <w:left w:val="nil"/>
              <w:bottom w:val="nil"/>
              <w:right w:val="nil"/>
            </w:tcBorders>
            <w:shd w:val="clear" w:color="auto" w:fill="auto"/>
            <w:noWrap/>
            <w:vAlign w:val="bottom"/>
          </w:tcPr>
          <w:p w14:paraId="36AAFE62" w14:textId="77777777" w:rsidR="00C83D2C" w:rsidRDefault="00C83D2C">
            <w:pPr>
              <w:spacing w:line="360" w:lineRule="auto"/>
              <w:jc w:val="both"/>
              <w:rPr>
                <w:rFonts w:ascii="Arial" w:hAnsi="Arial" w:cs="Arial"/>
                <w:b/>
                <w:bCs/>
                <w:sz w:val="22"/>
                <w:szCs w:val="22"/>
              </w:rPr>
            </w:pPr>
          </w:p>
        </w:tc>
        <w:tc>
          <w:tcPr>
            <w:tcW w:w="3063" w:type="pct"/>
            <w:tcBorders>
              <w:top w:val="nil"/>
              <w:left w:val="nil"/>
              <w:bottom w:val="nil"/>
              <w:right w:val="nil"/>
            </w:tcBorders>
            <w:shd w:val="clear" w:color="auto" w:fill="auto"/>
            <w:noWrap/>
            <w:vAlign w:val="bottom"/>
          </w:tcPr>
          <w:p w14:paraId="36AAFE63" w14:textId="77777777" w:rsidR="00C83D2C" w:rsidRDefault="00C83D2C">
            <w:pPr>
              <w:spacing w:line="360" w:lineRule="auto"/>
              <w:jc w:val="both"/>
              <w:rPr>
                <w:rFonts w:ascii="Arial" w:hAnsi="Arial" w:cs="Arial"/>
                <w:sz w:val="22"/>
                <w:szCs w:val="22"/>
              </w:rPr>
            </w:pPr>
          </w:p>
        </w:tc>
        <w:tc>
          <w:tcPr>
            <w:tcW w:w="1135" w:type="pct"/>
            <w:tcBorders>
              <w:top w:val="nil"/>
              <w:left w:val="nil"/>
              <w:bottom w:val="nil"/>
              <w:right w:val="nil"/>
            </w:tcBorders>
            <w:shd w:val="clear" w:color="auto" w:fill="auto"/>
            <w:noWrap/>
            <w:vAlign w:val="bottom"/>
          </w:tcPr>
          <w:p w14:paraId="36AAFE64" w14:textId="77777777" w:rsidR="00C83D2C" w:rsidRDefault="00C83D2C">
            <w:pPr>
              <w:spacing w:line="360" w:lineRule="auto"/>
              <w:jc w:val="both"/>
              <w:rPr>
                <w:rFonts w:ascii="Arial" w:hAnsi="Arial" w:cs="Arial"/>
                <w:sz w:val="22"/>
                <w:szCs w:val="22"/>
              </w:rPr>
            </w:pPr>
          </w:p>
        </w:tc>
      </w:tr>
      <w:tr w:rsidR="00C83D2C" w14:paraId="36AAFE68" w14:textId="77777777">
        <w:trPr>
          <w:trHeight w:val="288"/>
        </w:trPr>
        <w:tc>
          <w:tcPr>
            <w:tcW w:w="801" w:type="pct"/>
            <w:tcBorders>
              <w:top w:val="nil"/>
              <w:left w:val="nil"/>
              <w:bottom w:val="nil"/>
              <w:right w:val="nil"/>
            </w:tcBorders>
            <w:shd w:val="clear" w:color="auto" w:fill="auto"/>
            <w:noWrap/>
            <w:vAlign w:val="bottom"/>
          </w:tcPr>
          <w:p w14:paraId="36AAFE66"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3</w:t>
            </w:r>
          </w:p>
        </w:tc>
        <w:tc>
          <w:tcPr>
            <w:tcW w:w="4198" w:type="pct"/>
            <w:gridSpan w:val="2"/>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67" w14:textId="77777777" w:rsidR="00C83D2C" w:rsidRDefault="00650F21">
            <w:pPr>
              <w:spacing w:line="360" w:lineRule="auto"/>
              <w:jc w:val="center"/>
              <w:textAlignment w:val="bottom"/>
              <w:rPr>
                <w:rFonts w:ascii="Arial" w:hAnsi="Arial" w:cs="Arial"/>
                <w:b/>
                <w:bCs/>
                <w:sz w:val="22"/>
                <w:szCs w:val="22"/>
              </w:rPr>
            </w:pPr>
            <w:r>
              <w:rPr>
                <w:rFonts w:ascii="Arial" w:eastAsia="SimSun" w:hAnsi="Arial" w:cs="Arial"/>
                <w:b/>
                <w:bCs/>
                <w:sz w:val="22"/>
                <w:szCs w:val="22"/>
                <w:lang w:bidi="ar"/>
              </w:rPr>
              <w:t>Calculation of depreciation on shop fitting</w:t>
            </w:r>
          </w:p>
        </w:tc>
      </w:tr>
      <w:tr w:rsidR="00C83D2C" w14:paraId="36AAFE6C" w14:textId="77777777">
        <w:trPr>
          <w:trHeight w:val="288"/>
        </w:trPr>
        <w:tc>
          <w:tcPr>
            <w:tcW w:w="801" w:type="pct"/>
            <w:tcBorders>
              <w:top w:val="nil"/>
              <w:left w:val="nil"/>
              <w:bottom w:val="nil"/>
              <w:right w:val="nil"/>
            </w:tcBorders>
            <w:shd w:val="clear" w:color="auto" w:fill="auto"/>
            <w:noWrap/>
            <w:vAlign w:val="bottom"/>
          </w:tcPr>
          <w:p w14:paraId="36AAFE69"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6A"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Particulars</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6B" w14:textId="77777777" w:rsidR="00C83D2C" w:rsidRDefault="00650F21">
            <w:pPr>
              <w:spacing w:line="360" w:lineRule="auto"/>
              <w:jc w:val="both"/>
              <w:textAlignment w:val="bottom"/>
              <w:rPr>
                <w:rFonts w:ascii="Arial" w:hAnsi="Arial" w:cs="Arial"/>
                <w:b/>
                <w:bCs/>
                <w:sz w:val="22"/>
                <w:szCs w:val="22"/>
              </w:rPr>
            </w:pPr>
            <w:r>
              <w:rPr>
                <w:rFonts w:ascii="Arial" w:eastAsia="SimSun" w:hAnsi="Arial" w:cs="Arial"/>
                <w:b/>
                <w:bCs/>
                <w:sz w:val="22"/>
                <w:szCs w:val="22"/>
                <w:lang w:bidi="ar"/>
              </w:rPr>
              <w:t>Amount(£)</w:t>
            </w:r>
          </w:p>
        </w:tc>
      </w:tr>
      <w:tr w:rsidR="00C83D2C" w14:paraId="36AAFE70" w14:textId="77777777">
        <w:trPr>
          <w:trHeight w:val="288"/>
        </w:trPr>
        <w:tc>
          <w:tcPr>
            <w:tcW w:w="801" w:type="pct"/>
            <w:tcBorders>
              <w:top w:val="nil"/>
              <w:left w:val="nil"/>
              <w:bottom w:val="nil"/>
              <w:right w:val="nil"/>
            </w:tcBorders>
            <w:shd w:val="clear" w:color="auto" w:fill="auto"/>
            <w:noWrap/>
            <w:vAlign w:val="bottom"/>
          </w:tcPr>
          <w:p w14:paraId="36AAFE6D"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6E"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Cost</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6F"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12520</w:t>
            </w:r>
          </w:p>
        </w:tc>
      </w:tr>
      <w:tr w:rsidR="00C83D2C" w14:paraId="36AAFE74" w14:textId="77777777">
        <w:trPr>
          <w:trHeight w:val="288"/>
        </w:trPr>
        <w:tc>
          <w:tcPr>
            <w:tcW w:w="801" w:type="pct"/>
            <w:tcBorders>
              <w:top w:val="nil"/>
              <w:left w:val="nil"/>
              <w:bottom w:val="nil"/>
              <w:right w:val="nil"/>
            </w:tcBorders>
            <w:shd w:val="clear" w:color="auto" w:fill="auto"/>
            <w:noWrap/>
            <w:vAlign w:val="bottom"/>
          </w:tcPr>
          <w:p w14:paraId="36AAFE71"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72"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Less: Accumulated depreciation</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73"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7320</w:t>
            </w:r>
          </w:p>
        </w:tc>
      </w:tr>
      <w:tr w:rsidR="00C83D2C" w14:paraId="36AAFE78" w14:textId="77777777">
        <w:trPr>
          <w:trHeight w:val="288"/>
        </w:trPr>
        <w:tc>
          <w:tcPr>
            <w:tcW w:w="801" w:type="pct"/>
            <w:tcBorders>
              <w:top w:val="nil"/>
              <w:left w:val="nil"/>
              <w:bottom w:val="nil"/>
              <w:right w:val="nil"/>
            </w:tcBorders>
            <w:shd w:val="clear" w:color="auto" w:fill="auto"/>
            <w:noWrap/>
            <w:vAlign w:val="bottom"/>
          </w:tcPr>
          <w:p w14:paraId="36AAFE75"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76"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Total value</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77"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5200</w:t>
            </w:r>
          </w:p>
        </w:tc>
      </w:tr>
      <w:tr w:rsidR="00C83D2C" w14:paraId="36AAFE7C" w14:textId="77777777">
        <w:trPr>
          <w:trHeight w:val="288"/>
        </w:trPr>
        <w:tc>
          <w:tcPr>
            <w:tcW w:w="801" w:type="pct"/>
            <w:tcBorders>
              <w:top w:val="nil"/>
              <w:left w:val="nil"/>
              <w:bottom w:val="nil"/>
              <w:right w:val="nil"/>
            </w:tcBorders>
            <w:shd w:val="clear" w:color="auto" w:fill="auto"/>
            <w:noWrap/>
            <w:vAlign w:val="bottom"/>
          </w:tcPr>
          <w:p w14:paraId="36AAFE79"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7A"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 xml:space="preserve">Less: Current </w:t>
            </w:r>
            <w:r>
              <w:rPr>
                <w:rFonts w:ascii="Arial" w:eastAsia="SimSun" w:hAnsi="Arial" w:cs="Arial"/>
                <w:sz w:val="22"/>
                <w:szCs w:val="22"/>
                <w:lang w:bidi="ar"/>
              </w:rPr>
              <w:t>year depreciation</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7B"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1252</w:t>
            </w:r>
          </w:p>
        </w:tc>
      </w:tr>
      <w:tr w:rsidR="00C83D2C" w14:paraId="36AAFE80" w14:textId="77777777">
        <w:trPr>
          <w:trHeight w:val="288"/>
        </w:trPr>
        <w:tc>
          <w:tcPr>
            <w:tcW w:w="801" w:type="pct"/>
            <w:tcBorders>
              <w:top w:val="nil"/>
              <w:left w:val="nil"/>
              <w:bottom w:val="nil"/>
              <w:right w:val="nil"/>
            </w:tcBorders>
            <w:shd w:val="clear" w:color="auto" w:fill="auto"/>
            <w:noWrap/>
            <w:vAlign w:val="bottom"/>
          </w:tcPr>
          <w:p w14:paraId="36AAFE7D" w14:textId="77777777" w:rsidR="00C83D2C" w:rsidRDefault="00C83D2C">
            <w:pPr>
              <w:spacing w:line="360" w:lineRule="auto"/>
              <w:jc w:val="both"/>
              <w:rPr>
                <w:rFonts w:ascii="Arial" w:hAnsi="Arial" w:cs="Arial"/>
                <w:b/>
                <w:bCs/>
                <w:sz w:val="22"/>
                <w:szCs w:val="22"/>
              </w:rPr>
            </w:pPr>
          </w:p>
        </w:tc>
        <w:tc>
          <w:tcPr>
            <w:tcW w:w="306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7E"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 xml:space="preserve">Total value as at 31 </w:t>
            </w:r>
            <w:proofErr w:type="spellStart"/>
            <w:r>
              <w:rPr>
                <w:rFonts w:ascii="Arial" w:eastAsia="SimSun" w:hAnsi="Arial" w:cs="Arial"/>
                <w:sz w:val="22"/>
                <w:szCs w:val="22"/>
                <w:lang w:bidi="ar"/>
              </w:rPr>
              <w:t>december</w:t>
            </w:r>
            <w:proofErr w:type="spellEnd"/>
            <w:r>
              <w:rPr>
                <w:rFonts w:ascii="Arial" w:eastAsia="SimSun" w:hAnsi="Arial" w:cs="Arial"/>
                <w:sz w:val="22"/>
                <w:szCs w:val="22"/>
                <w:lang w:bidi="ar"/>
              </w:rPr>
              <w:t xml:space="preserve"> 2021</w:t>
            </w:r>
          </w:p>
        </w:tc>
        <w:tc>
          <w:tcPr>
            <w:tcW w:w="1135"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AAFE7F" w14:textId="77777777" w:rsidR="00C83D2C" w:rsidRDefault="00650F21">
            <w:pPr>
              <w:spacing w:line="360" w:lineRule="auto"/>
              <w:jc w:val="both"/>
              <w:textAlignment w:val="bottom"/>
              <w:rPr>
                <w:rFonts w:ascii="Arial" w:hAnsi="Arial" w:cs="Arial"/>
                <w:sz w:val="22"/>
                <w:szCs w:val="22"/>
              </w:rPr>
            </w:pPr>
            <w:r>
              <w:rPr>
                <w:rFonts w:ascii="Arial" w:eastAsia="SimSun" w:hAnsi="Arial" w:cs="Arial"/>
                <w:sz w:val="22"/>
                <w:szCs w:val="22"/>
                <w:lang w:bidi="ar"/>
              </w:rPr>
              <w:t>3948</w:t>
            </w:r>
          </w:p>
        </w:tc>
      </w:tr>
    </w:tbl>
    <w:p w14:paraId="36AAFE81" w14:textId="77777777" w:rsidR="00C83D2C" w:rsidRDefault="00C83D2C">
      <w:pPr>
        <w:spacing w:line="360" w:lineRule="auto"/>
        <w:jc w:val="both"/>
        <w:rPr>
          <w:rFonts w:ascii="Arial" w:hAnsi="Arial" w:cs="Arial"/>
          <w:b/>
          <w:bCs/>
          <w:sz w:val="22"/>
          <w:szCs w:val="22"/>
        </w:rPr>
      </w:pPr>
    </w:p>
    <w:p w14:paraId="36AAFE82" w14:textId="77777777" w:rsidR="00C83D2C" w:rsidRDefault="00650F21">
      <w:pPr>
        <w:pStyle w:val="Heading1"/>
        <w:spacing w:before="0" w:after="0" w:line="360" w:lineRule="auto"/>
        <w:jc w:val="both"/>
        <w:rPr>
          <w:rFonts w:ascii="Arial" w:hAnsi="Arial" w:cs="Arial"/>
          <w:sz w:val="22"/>
          <w:szCs w:val="22"/>
        </w:rPr>
      </w:pPr>
      <w:bookmarkStart w:id="1" w:name="_Toc21430"/>
      <w:r>
        <w:rPr>
          <w:rFonts w:ascii="Arial" w:hAnsi="Arial" w:cs="Arial"/>
          <w:sz w:val="22"/>
          <w:szCs w:val="22"/>
        </w:rPr>
        <w:lastRenderedPageBreak/>
        <w:t>C</w:t>
      </w:r>
      <w:r>
        <w:rPr>
          <w:rFonts w:ascii="Arial" w:hAnsi="Arial" w:cs="Arial"/>
          <w:sz w:val="22"/>
          <w:szCs w:val="22"/>
        </w:rPr>
        <w:t>ritically discuss</w:t>
      </w:r>
      <w:r>
        <w:rPr>
          <w:rFonts w:ascii="Arial" w:hAnsi="Arial" w:cs="Arial"/>
          <w:sz w:val="22"/>
          <w:szCs w:val="22"/>
        </w:rPr>
        <w:t>ion of</w:t>
      </w:r>
      <w:r>
        <w:rPr>
          <w:rFonts w:ascii="Arial" w:hAnsi="Arial" w:cs="Arial"/>
          <w:sz w:val="22"/>
          <w:szCs w:val="22"/>
        </w:rPr>
        <w:t xml:space="preserve"> </w:t>
      </w:r>
      <w:r>
        <w:rPr>
          <w:rFonts w:ascii="Arial" w:hAnsi="Arial" w:cs="Arial"/>
          <w:sz w:val="22"/>
          <w:szCs w:val="22"/>
        </w:rPr>
        <w:t xml:space="preserve">accounting </w:t>
      </w:r>
      <w:r>
        <w:rPr>
          <w:rFonts w:ascii="Arial" w:hAnsi="Arial" w:cs="Arial"/>
          <w:sz w:val="22"/>
          <w:szCs w:val="22"/>
        </w:rPr>
        <w:t>principles and their relevan</w:t>
      </w:r>
      <w:r>
        <w:rPr>
          <w:rFonts w:ascii="Arial" w:hAnsi="Arial" w:cs="Arial"/>
          <w:sz w:val="22"/>
          <w:szCs w:val="22"/>
        </w:rPr>
        <w:t>ce</w:t>
      </w:r>
      <w:r>
        <w:rPr>
          <w:rFonts w:ascii="Arial" w:hAnsi="Arial" w:cs="Arial"/>
          <w:sz w:val="22"/>
          <w:szCs w:val="22"/>
        </w:rPr>
        <w:t xml:space="preserve"> to the preparation and presentation of financial accounts</w:t>
      </w:r>
      <w:bookmarkEnd w:id="1"/>
    </w:p>
    <w:p w14:paraId="36AAFE83" w14:textId="77777777" w:rsidR="00C83D2C" w:rsidRDefault="00650F21">
      <w:pPr>
        <w:spacing w:line="360" w:lineRule="auto"/>
        <w:jc w:val="both"/>
        <w:rPr>
          <w:rFonts w:ascii="Arial" w:hAnsi="Arial" w:cs="Arial"/>
          <w:b/>
          <w:bCs/>
          <w:i/>
          <w:iCs/>
          <w:sz w:val="22"/>
          <w:szCs w:val="22"/>
        </w:rPr>
      </w:pPr>
      <w:r>
        <w:rPr>
          <w:rFonts w:ascii="Arial" w:hAnsi="Arial" w:cs="Arial"/>
          <w:b/>
          <w:bCs/>
          <w:i/>
          <w:iCs/>
          <w:sz w:val="22"/>
          <w:szCs w:val="22"/>
        </w:rPr>
        <w:t>Going Concern Concept</w:t>
      </w:r>
    </w:p>
    <w:p w14:paraId="36AAFE84" w14:textId="77777777" w:rsidR="00C83D2C" w:rsidRDefault="00650F21">
      <w:pPr>
        <w:spacing w:line="360" w:lineRule="auto"/>
        <w:jc w:val="both"/>
        <w:rPr>
          <w:rFonts w:ascii="Arial" w:hAnsi="Arial" w:cs="Arial"/>
          <w:sz w:val="22"/>
          <w:szCs w:val="22"/>
        </w:rPr>
      </w:pPr>
      <w:r>
        <w:rPr>
          <w:rFonts w:ascii="Arial" w:hAnsi="Arial" w:cs="Arial"/>
          <w:sz w:val="22"/>
          <w:szCs w:val="22"/>
        </w:rPr>
        <w:tab/>
      </w:r>
      <w:r>
        <w:rPr>
          <w:rFonts w:ascii="Arial" w:hAnsi="Arial" w:cs="Arial"/>
          <w:sz w:val="22"/>
          <w:szCs w:val="22"/>
        </w:rPr>
        <w:t>The going concern is one of the fundamental accounting principles. This principle assumes that business entities will complete their plans in the current as well as upcoming years (Pratt, 2003). In simple terms, the going concern concept refers to the assu</w:t>
      </w:r>
      <w:r>
        <w:rPr>
          <w:rFonts w:ascii="Arial" w:hAnsi="Arial" w:cs="Arial"/>
          <w:sz w:val="22"/>
          <w:szCs w:val="22"/>
        </w:rPr>
        <w:t xml:space="preserve">mption that business entities will continue their business operations for the foreseeable future. The business entities will not halt their business operations and not liquidate their business assets in the future. Additionally, The business can be deemed </w:t>
      </w:r>
      <w:r>
        <w:rPr>
          <w:rFonts w:ascii="Arial" w:hAnsi="Arial" w:cs="Arial"/>
          <w:sz w:val="22"/>
          <w:szCs w:val="22"/>
        </w:rPr>
        <w:t>to be a going concern in case there is a lack of contrary information. For instance, the lack of business entity in managing outstanding obligations in a satisfactory manner might raise the question of going concerned. There is a wide range of items that c</w:t>
      </w:r>
      <w:r>
        <w:rPr>
          <w:rFonts w:ascii="Arial" w:hAnsi="Arial" w:cs="Arial"/>
          <w:sz w:val="22"/>
          <w:szCs w:val="22"/>
        </w:rPr>
        <w:t xml:space="preserve">an be used for </w:t>
      </w:r>
      <w:proofErr w:type="spellStart"/>
      <w:r>
        <w:rPr>
          <w:rFonts w:ascii="Arial" w:hAnsi="Arial" w:cs="Arial"/>
          <w:sz w:val="22"/>
          <w:szCs w:val="22"/>
        </w:rPr>
        <w:t>analysing</w:t>
      </w:r>
      <w:proofErr w:type="spellEnd"/>
      <w:r>
        <w:rPr>
          <w:rFonts w:ascii="Arial" w:hAnsi="Arial" w:cs="Arial"/>
          <w:sz w:val="22"/>
          <w:szCs w:val="22"/>
        </w:rPr>
        <w:t xml:space="preserve"> the ability of companies to continue their business as a going concern such as series </w:t>
      </w:r>
      <w:proofErr w:type="spellStart"/>
      <w:r>
        <w:rPr>
          <w:rFonts w:ascii="Arial" w:hAnsi="Arial" w:cs="Arial"/>
          <w:sz w:val="22"/>
          <w:szCs w:val="22"/>
        </w:rPr>
        <w:t>o</w:t>
      </w:r>
      <w:proofErr w:type="spellEnd"/>
      <w:r>
        <w:rPr>
          <w:rFonts w:ascii="Arial" w:hAnsi="Arial" w:cs="Arial"/>
          <w:sz w:val="22"/>
          <w:szCs w:val="22"/>
        </w:rPr>
        <w:t xml:space="preserve"> losses, the default of the loan, legal proceedings, denial of credit, and others (Accounting Tools, 2022). Every decision made by business enti</w:t>
      </w:r>
      <w:r>
        <w:rPr>
          <w:rFonts w:ascii="Arial" w:hAnsi="Arial" w:cs="Arial"/>
          <w:sz w:val="22"/>
          <w:szCs w:val="22"/>
        </w:rPr>
        <w:t>ties is based on the objective that business will be carried out on a continuous basis. The business entities defer business revenues as well as expenses as per the requirement of other accounting principles. The failure of the going concern assumption pre</w:t>
      </w:r>
      <w:r>
        <w:rPr>
          <w:rFonts w:ascii="Arial" w:hAnsi="Arial" w:cs="Arial"/>
          <w:sz w:val="22"/>
          <w:szCs w:val="22"/>
        </w:rPr>
        <w:t>vents the companies from recording accrued or prepaid revenues or expenses (Corporate Finance Institute, 2022). The calculation of depreciation of assets based on their economic life instead of market value is one of the examples that can be helpful in und</w:t>
      </w:r>
      <w:r>
        <w:rPr>
          <w:rFonts w:ascii="Arial" w:hAnsi="Arial" w:cs="Arial"/>
          <w:sz w:val="22"/>
          <w:szCs w:val="22"/>
        </w:rPr>
        <w:t>erstanding the going concern principle. The companies use this method as they believe that they will carry out their business for an indefinite period and use assets till they get fully depreciated (</w:t>
      </w:r>
      <w:proofErr w:type="spellStart"/>
      <w:r>
        <w:rPr>
          <w:rFonts w:ascii="Arial" w:hAnsi="Arial" w:cs="Arial"/>
          <w:sz w:val="22"/>
          <w:szCs w:val="22"/>
        </w:rPr>
        <w:t>Javed</w:t>
      </w:r>
      <w:proofErr w:type="spellEnd"/>
      <w:r>
        <w:rPr>
          <w:rFonts w:ascii="Arial" w:hAnsi="Arial" w:cs="Arial"/>
          <w:sz w:val="22"/>
          <w:szCs w:val="22"/>
        </w:rPr>
        <w:t xml:space="preserve">, 2022). </w:t>
      </w:r>
    </w:p>
    <w:p w14:paraId="36AAFE85" w14:textId="77777777" w:rsidR="00C83D2C" w:rsidRDefault="00650F21">
      <w:pPr>
        <w:spacing w:line="360" w:lineRule="auto"/>
        <w:jc w:val="both"/>
        <w:rPr>
          <w:rFonts w:ascii="Arial" w:hAnsi="Arial" w:cs="Arial"/>
          <w:b/>
          <w:bCs/>
          <w:i/>
          <w:iCs/>
          <w:sz w:val="22"/>
          <w:szCs w:val="22"/>
        </w:rPr>
      </w:pPr>
      <w:r>
        <w:rPr>
          <w:rFonts w:ascii="Arial" w:hAnsi="Arial" w:cs="Arial"/>
          <w:b/>
          <w:bCs/>
          <w:i/>
          <w:iCs/>
          <w:sz w:val="22"/>
          <w:szCs w:val="22"/>
        </w:rPr>
        <w:t>Materiality Principle</w:t>
      </w:r>
    </w:p>
    <w:p w14:paraId="36AAFE86" w14:textId="77777777" w:rsidR="00C83D2C" w:rsidRDefault="00650F21">
      <w:pPr>
        <w:spacing w:line="360" w:lineRule="auto"/>
        <w:jc w:val="both"/>
        <w:rPr>
          <w:rFonts w:ascii="Arial" w:hAnsi="Arial" w:cs="Arial"/>
          <w:sz w:val="22"/>
          <w:szCs w:val="22"/>
        </w:rPr>
      </w:pPr>
      <w:r>
        <w:rPr>
          <w:rFonts w:ascii="Arial" w:hAnsi="Arial" w:cs="Arial"/>
          <w:sz w:val="22"/>
          <w:szCs w:val="22"/>
        </w:rPr>
        <w:tab/>
        <w:t xml:space="preserve">Materiality refers </w:t>
      </w:r>
      <w:r>
        <w:rPr>
          <w:rFonts w:ascii="Arial" w:hAnsi="Arial" w:cs="Arial"/>
          <w:sz w:val="22"/>
          <w:szCs w:val="22"/>
        </w:rPr>
        <w:t>to the accounting principle, which focuses on selected items whose impact is quite large on the investor's decisions, and accordingly the same should be reported in a detailed manner in the financial statements of the company with the help of GAAP standard</w:t>
      </w:r>
      <w:r>
        <w:rPr>
          <w:rFonts w:ascii="Arial" w:hAnsi="Arial" w:cs="Arial"/>
          <w:sz w:val="22"/>
          <w:szCs w:val="22"/>
        </w:rPr>
        <w:t>s (HBS, 2016). Materiality plays a crucial role in reflecting true as well as a fair view of the financial information of the company. It is also significant for the auditors to evaluate materiality in order to provide reasonable assurance about the financ</w:t>
      </w:r>
      <w:r>
        <w:rPr>
          <w:rFonts w:ascii="Arial" w:hAnsi="Arial" w:cs="Arial"/>
          <w:sz w:val="22"/>
          <w:szCs w:val="22"/>
        </w:rPr>
        <w:t>ial information. The materiality concept helps the auditors in identifying any material misstatements in the financial statements and reflecting the true financial information of the companies (</w:t>
      </w:r>
      <w:r>
        <w:rPr>
          <w:rFonts w:ascii="Arial" w:eastAsia="SimSun" w:hAnsi="Arial" w:cs="Arial"/>
          <w:sz w:val="22"/>
          <w:szCs w:val="22"/>
          <w:shd w:val="clear" w:color="auto" w:fill="FFFFFF"/>
        </w:rPr>
        <w:t>Brennan</w:t>
      </w:r>
      <w:r>
        <w:rPr>
          <w:rFonts w:ascii="Arial" w:eastAsia="SimSun" w:hAnsi="Arial" w:cs="Arial"/>
          <w:sz w:val="22"/>
          <w:szCs w:val="22"/>
          <w:shd w:val="clear" w:color="auto" w:fill="FFFFFF"/>
        </w:rPr>
        <w:t xml:space="preserve"> and Gray, 2005</w:t>
      </w:r>
      <w:r>
        <w:rPr>
          <w:rFonts w:ascii="Arial" w:hAnsi="Arial" w:cs="Arial"/>
          <w:sz w:val="22"/>
          <w:szCs w:val="22"/>
        </w:rPr>
        <w:t xml:space="preserve">).  </w:t>
      </w:r>
    </w:p>
    <w:p w14:paraId="36AAFE87" w14:textId="77777777" w:rsidR="00C83D2C" w:rsidRDefault="00650F21">
      <w:pPr>
        <w:spacing w:line="360" w:lineRule="auto"/>
        <w:jc w:val="both"/>
        <w:rPr>
          <w:rFonts w:ascii="Arial" w:hAnsi="Arial" w:cs="Arial"/>
          <w:sz w:val="22"/>
          <w:szCs w:val="22"/>
        </w:rPr>
      </w:pPr>
      <w:r>
        <w:rPr>
          <w:rFonts w:ascii="Arial" w:hAnsi="Arial" w:cs="Arial"/>
          <w:sz w:val="22"/>
          <w:szCs w:val="22"/>
        </w:rPr>
        <w:tab/>
        <w:t xml:space="preserve">Additionally, it is also </w:t>
      </w:r>
      <w:r>
        <w:rPr>
          <w:rFonts w:ascii="Arial" w:hAnsi="Arial" w:cs="Arial"/>
          <w:sz w:val="22"/>
          <w:szCs w:val="22"/>
        </w:rPr>
        <w:t xml:space="preserve">identified that the materiality can be measured with the help of the amount. Generally, the items with a huge amount are considered as material as any manipulation in such item might result in reflecting unfair information </w:t>
      </w:r>
      <w:r>
        <w:rPr>
          <w:rFonts w:ascii="Arial" w:hAnsi="Arial" w:cs="Arial"/>
          <w:sz w:val="22"/>
          <w:szCs w:val="22"/>
        </w:rPr>
        <w:lastRenderedPageBreak/>
        <w:t>about business finances. This mig</w:t>
      </w:r>
      <w:r>
        <w:rPr>
          <w:rFonts w:ascii="Arial" w:hAnsi="Arial" w:cs="Arial"/>
          <w:sz w:val="22"/>
          <w:szCs w:val="22"/>
        </w:rPr>
        <w:t>ht not only affect investors' decisions but also affect the business performance in the near future in an adverse manner. Furthermore, professional judgement is quite pivotal for the purpose of measuring materiality. For instance, it can be said that an ex</w:t>
      </w:r>
      <w:r>
        <w:rPr>
          <w:rFonts w:ascii="Arial" w:hAnsi="Arial" w:cs="Arial"/>
          <w:sz w:val="22"/>
          <w:szCs w:val="22"/>
        </w:rPr>
        <w:t xml:space="preserve">pense of £30,000 can be seen as material for a company with an annual income of £70,000. However, the same level of expense is immaterial for the company with an annual income of almost £500,000. Moreover, any information that might affect the decision of </w:t>
      </w:r>
      <w:r>
        <w:rPr>
          <w:rFonts w:ascii="Arial" w:hAnsi="Arial" w:cs="Arial"/>
          <w:sz w:val="22"/>
          <w:szCs w:val="22"/>
        </w:rPr>
        <w:t>investors can also be considered material information; however, any information that does not provide any impact on investors' decisions is non-material (</w:t>
      </w:r>
      <w:proofErr w:type="spellStart"/>
      <w:r>
        <w:rPr>
          <w:rFonts w:ascii="Arial" w:hAnsi="Arial" w:cs="Arial"/>
          <w:sz w:val="22"/>
          <w:szCs w:val="22"/>
        </w:rPr>
        <w:t>Averkamp</w:t>
      </w:r>
      <w:proofErr w:type="spellEnd"/>
      <w:r>
        <w:rPr>
          <w:rFonts w:ascii="Arial" w:hAnsi="Arial" w:cs="Arial"/>
          <w:sz w:val="22"/>
          <w:szCs w:val="22"/>
        </w:rPr>
        <w:t>, 2022).</w:t>
      </w:r>
    </w:p>
    <w:p w14:paraId="36AAFE88" w14:textId="77777777" w:rsidR="00C83D2C" w:rsidRDefault="00650F21">
      <w:pPr>
        <w:spacing w:line="360" w:lineRule="auto"/>
        <w:jc w:val="both"/>
        <w:rPr>
          <w:rFonts w:ascii="Arial" w:hAnsi="Arial" w:cs="Arial"/>
          <w:b/>
          <w:bCs/>
          <w:i/>
          <w:iCs/>
          <w:sz w:val="22"/>
          <w:szCs w:val="22"/>
        </w:rPr>
      </w:pPr>
      <w:r>
        <w:rPr>
          <w:rFonts w:ascii="Arial" w:hAnsi="Arial" w:cs="Arial"/>
          <w:b/>
          <w:bCs/>
          <w:i/>
          <w:iCs/>
          <w:sz w:val="22"/>
          <w:szCs w:val="22"/>
        </w:rPr>
        <w:t>Consistency Principle</w:t>
      </w:r>
    </w:p>
    <w:p w14:paraId="36AAFE89" w14:textId="4DA38CC6" w:rsidR="00C83D2C" w:rsidRDefault="00650F21">
      <w:pPr>
        <w:spacing w:line="360" w:lineRule="auto"/>
        <w:jc w:val="both"/>
        <w:rPr>
          <w:rFonts w:ascii="Arial" w:hAnsi="Arial" w:cs="Arial"/>
          <w:sz w:val="22"/>
          <w:szCs w:val="22"/>
        </w:rPr>
      </w:pPr>
      <w:r>
        <w:rPr>
          <w:rFonts w:ascii="Arial" w:hAnsi="Arial" w:cs="Arial"/>
          <w:sz w:val="22"/>
          <w:szCs w:val="22"/>
        </w:rPr>
        <w:tab/>
        <w:t>The consistency principle is yet another crucial principle</w:t>
      </w:r>
      <w:r>
        <w:rPr>
          <w:rFonts w:ascii="Arial" w:hAnsi="Arial" w:cs="Arial"/>
          <w:sz w:val="22"/>
          <w:szCs w:val="22"/>
        </w:rPr>
        <w:t xml:space="preserve"> of</w:t>
      </w:r>
      <w:r>
        <w:rPr>
          <w:rFonts w:ascii="Arial" w:hAnsi="Arial" w:cs="Arial"/>
          <w:sz w:val="22"/>
          <w:szCs w:val="22"/>
        </w:rPr>
        <w:t xml:space="preserve"> the accounting that suggests that accountants must apply similar procedures as well as methods from one period to another. This means that any method or procedure adopted once must not be modified in the next year. However, if the management still impleme</w:t>
      </w:r>
      <w:r>
        <w:rPr>
          <w:rFonts w:ascii="Arial" w:hAnsi="Arial" w:cs="Arial"/>
          <w:sz w:val="22"/>
          <w:szCs w:val="22"/>
        </w:rPr>
        <w:t>nt changes in the next period,</w:t>
      </w:r>
      <w:r>
        <w:rPr>
          <w:rFonts w:ascii="Arial" w:hAnsi="Arial" w:cs="Arial"/>
          <w:sz w:val="22"/>
          <w:szCs w:val="22"/>
        </w:rPr>
        <w:t xml:space="preserve"> then the reason behind such change in methods and procedures must be explained clearly under the financial statements of the company. Thus, the readers, users and stakeholders of the company’s financial statements must have th</w:t>
      </w:r>
      <w:r>
        <w:rPr>
          <w:rFonts w:ascii="Arial" w:hAnsi="Arial" w:cs="Arial"/>
          <w:sz w:val="22"/>
          <w:szCs w:val="22"/>
        </w:rPr>
        <w:t>e inherent right about the assumption that consistency has been followed and applied by the management provided that there is no such declaration made in the financial statements of the company (Mustafa, 2014). This accounting principle helps in ensuring t</w:t>
      </w:r>
      <w:r>
        <w:rPr>
          <w:rFonts w:ascii="Arial" w:hAnsi="Arial" w:cs="Arial"/>
          <w:sz w:val="22"/>
          <w:szCs w:val="22"/>
        </w:rPr>
        <w:t>hat companies follow</w:t>
      </w:r>
      <w:r>
        <w:rPr>
          <w:rFonts w:ascii="Arial" w:hAnsi="Arial" w:cs="Arial"/>
          <w:sz w:val="22"/>
          <w:szCs w:val="22"/>
        </w:rPr>
        <w:t xml:space="preserve"> similar accounting policies as well as methods from one year to another to present fair and transparent picture of the financial position of the company. The consistency principle has several advantages such as ease for management to </w:t>
      </w:r>
      <w:r>
        <w:rPr>
          <w:rFonts w:ascii="Arial" w:hAnsi="Arial" w:cs="Arial"/>
          <w:sz w:val="22"/>
          <w:szCs w:val="22"/>
        </w:rPr>
        <w:t>become familiar with the current accounting methods and recording procedures adopted by the company. Moreover, the auditors of the financial statements of a company will be able to give proper attention during the auditing procedure and demands justificati</w:t>
      </w:r>
      <w:r>
        <w:rPr>
          <w:rFonts w:ascii="Arial" w:hAnsi="Arial" w:cs="Arial"/>
          <w:sz w:val="22"/>
          <w:szCs w:val="22"/>
        </w:rPr>
        <w:t>on from the management if consistency is no followed. Additionally, the consistency principle also helps in attaining cost efficiency as the management will not be required to incur expenditures on training staff from time to time about the accounting poli</w:t>
      </w:r>
      <w:r>
        <w:rPr>
          <w:rFonts w:ascii="Arial" w:hAnsi="Arial" w:cs="Arial"/>
          <w:sz w:val="22"/>
          <w:szCs w:val="22"/>
        </w:rPr>
        <w:t>cies as well as methods. In addition to this, the most significant benefit provided by consistency principle is effective comparison of the financial performance of the company over the years (</w:t>
      </w:r>
      <w:proofErr w:type="spellStart"/>
      <w:r>
        <w:rPr>
          <w:rFonts w:ascii="Arial" w:hAnsi="Arial" w:cs="Arial"/>
          <w:sz w:val="22"/>
          <w:szCs w:val="22"/>
        </w:rPr>
        <w:t>Javed</w:t>
      </w:r>
      <w:proofErr w:type="spellEnd"/>
      <w:r>
        <w:rPr>
          <w:rFonts w:ascii="Arial" w:hAnsi="Arial" w:cs="Arial"/>
          <w:sz w:val="22"/>
          <w:szCs w:val="22"/>
        </w:rPr>
        <w:t>, 2021).</w:t>
      </w:r>
    </w:p>
    <w:p w14:paraId="36AAFE8A" w14:textId="77777777" w:rsidR="00C83D2C" w:rsidRDefault="00650F21">
      <w:pPr>
        <w:spacing w:line="360" w:lineRule="auto"/>
        <w:jc w:val="both"/>
        <w:rPr>
          <w:rFonts w:ascii="Arial" w:hAnsi="Arial" w:cs="Arial"/>
          <w:b/>
          <w:bCs/>
          <w:i/>
          <w:iCs/>
          <w:sz w:val="22"/>
          <w:szCs w:val="22"/>
        </w:rPr>
      </w:pPr>
      <w:r>
        <w:rPr>
          <w:rFonts w:ascii="Arial" w:hAnsi="Arial" w:cs="Arial"/>
          <w:b/>
          <w:bCs/>
          <w:i/>
          <w:iCs/>
          <w:sz w:val="22"/>
          <w:szCs w:val="22"/>
        </w:rPr>
        <w:t>Monetary Unit Principle</w:t>
      </w:r>
    </w:p>
    <w:p w14:paraId="36AAFE8B" w14:textId="77777777" w:rsidR="00C83D2C" w:rsidRDefault="00650F21">
      <w:pPr>
        <w:spacing w:line="360" w:lineRule="auto"/>
        <w:jc w:val="both"/>
        <w:rPr>
          <w:rFonts w:ascii="Arial" w:hAnsi="Arial" w:cs="Arial"/>
          <w:sz w:val="22"/>
          <w:szCs w:val="22"/>
        </w:rPr>
      </w:pPr>
      <w:r>
        <w:rPr>
          <w:rFonts w:ascii="Arial" w:hAnsi="Arial" w:cs="Arial"/>
          <w:sz w:val="22"/>
          <w:szCs w:val="22"/>
        </w:rPr>
        <w:tab/>
        <w:t xml:space="preserve">The assumption that the </w:t>
      </w:r>
      <w:r>
        <w:rPr>
          <w:rFonts w:ascii="Arial" w:hAnsi="Arial" w:cs="Arial"/>
          <w:sz w:val="22"/>
          <w:szCs w:val="22"/>
        </w:rPr>
        <w:t xml:space="preserve">money is a measurement unit is suggested and mentioned under the monetary unit principle. This principle suggests that the management must record every single transaction as well as any form of economic </w:t>
      </w:r>
      <w:r>
        <w:rPr>
          <w:rFonts w:ascii="Arial" w:hAnsi="Arial" w:cs="Arial"/>
          <w:sz w:val="22"/>
          <w:szCs w:val="22"/>
        </w:rPr>
        <w:lastRenderedPageBreak/>
        <w:t>events in the books of accounts of the company, which</w:t>
      </w:r>
      <w:r>
        <w:rPr>
          <w:rFonts w:ascii="Arial" w:hAnsi="Arial" w:cs="Arial"/>
          <w:sz w:val="22"/>
          <w:szCs w:val="22"/>
        </w:rPr>
        <w:t xml:space="preserve"> can be effectively measured and expressed in currency terms. The monetary unit principle is one the crucial “</w:t>
      </w:r>
      <w:r>
        <w:rPr>
          <w:rFonts w:ascii="Arial" w:hAnsi="Arial" w:cs="Arial"/>
          <w:i/>
          <w:iCs/>
          <w:sz w:val="22"/>
          <w:szCs w:val="22"/>
        </w:rPr>
        <w:t>Generally Accepted Accounting Principles (GAAP)</w:t>
      </w:r>
      <w:r>
        <w:rPr>
          <w:rFonts w:ascii="Arial" w:hAnsi="Arial" w:cs="Arial"/>
          <w:sz w:val="22"/>
          <w:szCs w:val="22"/>
        </w:rPr>
        <w:t xml:space="preserve">” that states that any kind of business transaction must be recorded under the financial </w:t>
      </w:r>
      <w:r>
        <w:rPr>
          <w:rFonts w:ascii="Arial" w:hAnsi="Arial" w:cs="Arial"/>
          <w:sz w:val="22"/>
          <w:szCs w:val="22"/>
        </w:rPr>
        <w:t>statements in terms of currency only (</w:t>
      </w:r>
      <w:proofErr w:type="spellStart"/>
      <w:r>
        <w:rPr>
          <w:rFonts w:ascii="Arial" w:eastAsia="SimSun" w:hAnsi="Arial" w:cs="Arial"/>
          <w:sz w:val="22"/>
          <w:szCs w:val="22"/>
          <w:shd w:val="clear" w:color="auto" w:fill="FFFFFF"/>
        </w:rPr>
        <w:t>Barlev</w:t>
      </w:r>
      <w:proofErr w:type="spellEnd"/>
      <w:r>
        <w:rPr>
          <w:rFonts w:ascii="Arial" w:eastAsia="SimSun" w:hAnsi="Arial" w:cs="Arial"/>
          <w:sz w:val="22"/>
          <w:szCs w:val="22"/>
          <w:shd w:val="clear" w:color="auto" w:fill="FFFFFF"/>
        </w:rPr>
        <w:t xml:space="preserve"> and Haddad, 2007</w:t>
      </w:r>
      <w:r>
        <w:rPr>
          <w:rFonts w:ascii="Arial" w:hAnsi="Arial" w:cs="Arial"/>
          <w:sz w:val="22"/>
          <w:szCs w:val="22"/>
        </w:rPr>
        <w:t>). Therefore, it can be suggested that any non-quantifiable business transactions are not to be recorded under the financial statements of a company. The money or currency has been used as key me</w:t>
      </w:r>
      <w:r>
        <w:rPr>
          <w:rFonts w:ascii="Arial" w:hAnsi="Arial" w:cs="Arial"/>
          <w:sz w:val="22"/>
          <w:szCs w:val="22"/>
        </w:rPr>
        <w:t>asurement unit across the business sectors globally in the field of accounting. As per the principle of monetary unit, the business events or transactions are required to be converted into form of a known money/currency in order to record such events and t</w:t>
      </w:r>
      <w:r>
        <w:rPr>
          <w:rFonts w:ascii="Arial" w:hAnsi="Arial" w:cs="Arial"/>
          <w:sz w:val="22"/>
          <w:szCs w:val="22"/>
        </w:rPr>
        <w:t xml:space="preserve">ransactions fairly under the financial statements of a company. Therefore, the implementation and adoption of monetary unit principle is quite critical to ensure that the businesses in the contemporary era records financial transactions under the books in </w:t>
      </w:r>
      <w:r>
        <w:rPr>
          <w:rFonts w:ascii="Arial" w:hAnsi="Arial" w:cs="Arial"/>
          <w:sz w:val="22"/>
          <w:szCs w:val="22"/>
        </w:rPr>
        <w:t>a stable and reliable manner. In addition to this, the monetary unit principles also suggests that a business must not make any adjustments in the financial accounts due to inflation in the values (</w:t>
      </w:r>
      <w:proofErr w:type="spellStart"/>
      <w:r>
        <w:rPr>
          <w:rFonts w:ascii="Arial" w:hAnsi="Arial" w:cs="Arial"/>
          <w:sz w:val="22"/>
          <w:szCs w:val="22"/>
        </w:rPr>
        <w:t>Debitoor</w:t>
      </w:r>
      <w:proofErr w:type="spellEnd"/>
      <w:r>
        <w:rPr>
          <w:rFonts w:ascii="Arial" w:hAnsi="Arial" w:cs="Arial"/>
          <w:sz w:val="22"/>
          <w:szCs w:val="22"/>
        </w:rPr>
        <w:t>, 2022).</w:t>
      </w:r>
    </w:p>
    <w:p w14:paraId="36AAFE8C" w14:textId="77777777" w:rsidR="00C83D2C" w:rsidRDefault="00650F21">
      <w:pPr>
        <w:spacing w:line="360" w:lineRule="auto"/>
        <w:jc w:val="both"/>
        <w:rPr>
          <w:rFonts w:ascii="Arial" w:hAnsi="Arial" w:cs="Arial"/>
          <w:b/>
          <w:bCs/>
          <w:i/>
          <w:iCs/>
          <w:sz w:val="22"/>
          <w:szCs w:val="22"/>
        </w:rPr>
      </w:pPr>
      <w:r>
        <w:rPr>
          <w:rFonts w:ascii="Arial" w:hAnsi="Arial" w:cs="Arial"/>
          <w:b/>
          <w:bCs/>
          <w:i/>
          <w:iCs/>
          <w:sz w:val="22"/>
          <w:szCs w:val="22"/>
        </w:rPr>
        <w:t>Conservatism Principle</w:t>
      </w:r>
    </w:p>
    <w:p w14:paraId="36AAFE8D" w14:textId="43CF1401" w:rsidR="00C83D2C" w:rsidRDefault="00650F21">
      <w:pPr>
        <w:spacing w:line="360" w:lineRule="auto"/>
        <w:jc w:val="both"/>
        <w:rPr>
          <w:rFonts w:ascii="Arial" w:hAnsi="Arial" w:cs="Arial"/>
          <w:b/>
          <w:bCs/>
          <w:i/>
          <w:iCs/>
          <w:sz w:val="22"/>
          <w:szCs w:val="22"/>
        </w:rPr>
      </w:pPr>
      <w:r>
        <w:rPr>
          <w:rFonts w:ascii="Arial" w:hAnsi="Arial" w:cs="Arial"/>
          <w:sz w:val="22"/>
          <w:szCs w:val="22"/>
        </w:rPr>
        <w:tab/>
        <w:t>Conservatism is y</w:t>
      </w:r>
      <w:r>
        <w:rPr>
          <w:rFonts w:ascii="Arial" w:hAnsi="Arial" w:cs="Arial"/>
          <w:sz w:val="22"/>
          <w:szCs w:val="22"/>
        </w:rPr>
        <w:t>et another most important accounting principle, which focuses on recognizing</w:t>
      </w:r>
      <w:r>
        <w:rPr>
          <w:rFonts w:ascii="Arial" w:hAnsi="Arial" w:cs="Arial"/>
          <w:sz w:val="22"/>
          <w:szCs w:val="22"/>
        </w:rPr>
        <w:t xml:space="preserve"> uncertain liabilities as well as business expenditures at a faster rate,</w:t>
      </w:r>
      <w:r>
        <w:rPr>
          <w:rFonts w:ascii="Arial" w:hAnsi="Arial" w:cs="Arial"/>
          <w:sz w:val="22"/>
          <w:szCs w:val="22"/>
        </w:rPr>
        <w:t xml:space="preserve"> whereas, the revenues are recognized</w:t>
      </w:r>
      <w:r>
        <w:rPr>
          <w:rFonts w:ascii="Arial" w:hAnsi="Arial" w:cs="Arial"/>
          <w:sz w:val="22"/>
          <w:szCs w:val="22"/>
        </w:rPr>
        <w:t xml:space="preserve"> at the time of final assurance of their receipt. It assists in provid</w:t>
      </w:r>
      <w:r>
        <w:rPr>
          <w:rFonts w:ascii="Arial" w:hAnsi="Arial" w:cs="Arial"/>
          <w:sz w:val="22"/>
          <w:szCs w:val="22"/>
        </w:rPr>
        <w:t>ing proper guidance related to estimations and uncertainty. This type of accounting principle is concerned with the accuracy and reliability of financial statements. For instance, recording inventory at a lower cost or market value is one of the best examp</w:t>
      </w:r>
      <w:r>
        <w:rPr>
          <w:rFonts w:ascii="Arial" w:hAnsi="Arial" w:cs="Arial"/>
          <w:sz w:val="22"/>
          <w:szCs w:val="22"/>
        </w:rPr>
        <w:t>les of the conservatism principle. Another example can be discussed for understanding the conservatism principle. For instance, in case the company is facing litigation and the chances of winning the case are quite low then it makes it crucial for the comp</w:t>
      </w:r>
      <w:r>
        <w:rPr>
          <w:rFonts w:ascii="Arial" w:hAnsi="Arial" w:cs="Arial"/>
          <w:sz w:val="22"/>
          <w:szCs w:val="22"/>
        </w:rPr>
        <w:t xml:space="preserve">any to make provision for the same in order to provide real information to a wide range of stakeholders. The non-reflecting of such information might affect the decisions of stakeholders. This principle helps the accountants in breaking ties while dealing </w:t>
      </w:r>
      <w:r>
        <w:rPr>
          <w:rFonts w:ascii="Arial" w:hAnsi="Arial" w:cs="Arial"/>
          <w:sz w:val="22"/>
          <w:szCs w:val="22"/>
        </w:rPr>
        <w:t>with equally probable transaction results. This also assists the investors in getting proper assurance that the profits are overestimated. Besides this, this principle is also called as prudence concept (Thakur and Vaidya, n.d.).</w:t>
      </w:r>
    </w:p>
    <w:p w14:paraId="36AAFE8E" w14:textId="77777777" w:rsidR="00C83D2C" w:rsidRDefault="00650F21">
      <w:pPr>
        <w:spacing w:line="360" w:lineRule="auto"/>
        <w:jc w:val="both"/>
        <w:rPr>
          <w:rFonts w:ascii="Arial" w:hAnsi="Arial" w:cs="Arial"/>
          <w:b/>
          <w:bCs/>
          <w:sz w:val="22"/>
          <w:szCs w:val="22"/>
        </w:rPr>
      </w:pPr>
      <w:r>
        <w:rPr>
          <w:rFonts w:ascii="Arial" w:hAnsi="Arial" w:cs="Arial"/>
          <w:b/>
          <w:bCs/>
          <w:i/>
          <w:iCs/>
          <w:sz w:val="22"/>
          <w:szCs w:val="22"/>
        </w:rPr>
        <w:t>Business Entity Concept</w:t>
      </w:r>
    </w:p>
    <w:p w14:paraId="36AAFE8F" w14:textId="67E353AA" w:rsidR="00C83D2C" w:rsidRDefault="00650F21">
      <w:pPr>
        <w:spacing w:line="360" w:lineRule="auto"/>
        <w:jc w:val="both"/>
        <w:rPr>
          <w:rFonts w:ascii="Arial" w:hAnsi="Arial" w:cs="Arial"/>
          <w:sz w:val="22"/>
          <w:szCs w:val="22"/>
        </w:rPr>
      </w:pPr>
      <w:r>
        <w:rPr>
          <w:rFonts w:ascii="Arial" w:hAnsi="Arial" w:cs="Arial"/>
          <w:sz w:val="22"/>
          <w:szCs w:val="22"/>
        </w:rPr>
        <w:tab/>
        <w:t>T</w:t>
      </w:r>
      <w:r>
        <w:rPr>
          <w:rFonts w:ascii="Arial" w:hAnsi="Arial" w:cs="Arial"/>
          <w:sz w:val="22"/>
          <w:szCs w:val="22"/>
        </w:rPr>
        <w:t xml:space="preserve">he business entity concept is one of the accounting principles, which states that it is significant for the business entities to maintain both personal as well as business records separately. This proves to be fruitful for business entities in </w:t>
      </w:r>
      <w:r>
        <w:rPr>
          <w:rFonts w:ascii="Arial" w:hAnsi="Arial" w:cs="Arial"/>
          <w:sz w:val="22"/>
          <w:szCs w:val="22"/>
        </w:rPr>
        <w:lastRenderedPageBreak/>
        <w:t xml:space="preserve">maintaining </w:t>
      </w:r>
      <w:r>
        <w:rPr>
          <w:rFonts w:ascii="Arial" w:hAnsi="Arial" w:cs="Arial"/>
          <w:sz w:val="22"/>
          <w:szCs w:val="22"/>
        </w:rPr>
        <w:t>records of accounting in an accurate manner. Besides this, it also enables a wide range of stakeholders to evaluate the financial performance in a better manner. However, this principle is quite different from the concept of the corporate veil. It can be a</w:t>
      </w:r>
      <w:r>
        <w:rPr>
          <w:rFonts w:ascii="Arial" w:hAnsi="Arial" w:cs="Arial"/>
          <w:sz w:val="22"/>
          <w:szCs w:val="22"/>
        </w:rPr>
        <w:t>pplied to each type of organization</w:t>
      </w:r>
      <w:r>
        <w:rPr>
          <w:rFonts w:ascii="Arial" w:hAnsi="Arial" w:cs="Arial"/>
          <w:sz w:val="22"/>
          <w:szCs w:val="22"/>
        </w:rPr>
        <w:t xml:space="preserve"> such as proprietorship, corporation, and others for the purpose of maintaining financial integrity. This concept prevents business expenditures from becoming interfering as well as entangled and helps in identifying adeq</w:t>
      </w:r>
      <w:r>
        <w:rPr>
          <w:rFonts w:ascii="Arial" w:hAnsi="Arial" w:cs="Arial"/>
          <w:sz w:val="22"/>
          <w:szCs w:val="22"/>
        </w:rPr>
        <w:t>uate taxable information. Personal drawing, personal loans, capital, and others are some of the main examples of the business entity concept. Additionally, this concept assists business entities in increasing accountability, measuring business performance,</w:t>
      </w:r>
      <w:r>
        <w:rPr>
          <w:rFonts w:ascii="Arial" w:hAnsi="Arial" w:cs="Arial"/>
          <w:sz w:val="22"/>
          <w:szCs w:val="22"/>
        </w:rPr>
        <w:t xml:space="preserve"> making competitor analyses, keeping business separate, and others. On the other hand, the requirement for detailed record-keeping, the inability to view personal finances, and others are some of the major drawbacks of the business entity concept (Johnson </w:t>
      </w:r>
      <w:r>
        <w:rPr>
          <w:rFonts w:ascii="Arial" w:hAnsi="Arial" w:cs="Arial"/>
          <w:sz w:val="22"/>
          <w:szCs w:val="22"/>
        </w:rPr>
        <w:t>and Vaidya, 2021).</w:t>
      </w:r>
    </w:p>
    <w:p w14:paraId="36AAFE90" w14:textId="77777777" w:rsidR="00C83D2C" w:rsidRDefault="00650F21">
      <w:pPr>
        <w:spacing w:line="360" w:lineRule="auto"/>
        <w:jc w:val="both"/>
        <w:rPr>
          <w:rFonts w:ascii="Arial" w:hAnsi="Arial" w:cs="Arial"/>
          <w:b/>
          <w:bCs/>
          <w:i/>
          <w:iCs/>
          <w:sz w:val="22"/>
          <w:szCs w:val="22"/>
        </w:rPr>
      </w:pPr>
      <w:r>
        <w:rPr>
          <w:rFonts w:ascii="Arial" w:hAnsi="Arial" w:cs="Arial"/>
          <w:b/>
          <w:bCs/>
          <w:i/>
          <w:iCs/>
          <w:sz w:val="22"/>
          <w:szCs w:val="22"/>
        </w:rPr>
        <w:t>Revenue Recognition Convention</w:t>
      </w:r>
    </w:p>
    <w:p w14:paraId="36AAFE91" w14:textId="1A9B045C" w:rsidR="00C83D2C" w:rsidRDefault="00650F21">
      <w:pPr>
        <w:spacing w:line="360" w:lineRule="auto"/>
        <w:jc w:val="both"/>
        <w:rPr>
          <w:rFonts w:ascii="Arial" w:hAnsi="Arial" w:cs="Arial"/>
          <w:sz w:val="22"/>
          <w:szCs w:val="22"/>
        </w:rPr>
      </w:pPr>
      <w:r>
        <w:rPr>
          <w:rFonts w:ascii="Arial" w:hAnsi="Arial" w:cs="Arial"/>
          <w:sz w:val="22"/>
          <w:szCs w:val="22"/>
        </w:rPr>
        <w:tab/>
        <w:t>This is one of the essential convention in the field of accounting pertaining to the revenues. As per the convention, the revenues generated by a company in the market must be recognized</w:t>
      </w:r>
      <w:r>
        <w:rPr>
          <w:rFonts w:ascii="Arial" w:hAnsi="Arial" w:cs="Arial"/>
          <w:sz w:val="22"/>
          <w:szCs w:val="22"/>
        </w:rPr>
        <w:t xml:space="preserve"> by the management </w:t>
      </w:r>
      <w:r>
        <w:rPr>
          <w:rFonts w:ascii="Arial" w:hAnsi="Arial" w:cs="Arial"/>
          <w:sz w:val="22"/>
          <w:szCs w:val="22"/>
        </w:rPr>
        <w:t>at that time when the whole transaction is completed. This means that the management usually records revenues in the business once invoice is sent to the respective customers under the case of credit sales. On the other hand, revenue must be recognized</w:t>
      </w:r>
      <w:r>
        <w:rPr>
          <w:rFonts w:ascii="Arial" w:hAnsi="Arial" w:cs="Arial"/>
          <w:sz w:val="22"/>
          <w:szCs w:val="22"/>
        </w:rPr>
        <w:t xml:space="preserve"> by </w:t>
      </w:r>
      <w:r>
        <w:rPr>
          <w:rFonts w:ascii="Arial" w:hAnsi="Arial" w:cs="Arial"/>
          <w:sz w:val="22"/>
          <w:szCs w:val="22"/>
        </w:rPr>
        <w:t>the management when the cash is received and sale is completed by the business under the cash transactions (</w:t>
      </w:r>
      <w:r>
        <w:rPr>
          <w:rFonts w:ascii="Arial" w:eastAsia="SimSun" w:hAnsi="Arial" w:cs="Arial"/>
          <w:sz w:val="22"/>
          <w:szCs w:val="22"/>
          <w:shd w:val="clear" w:color="auto" w:fill="FFFFFF"/>
        </w:rPr>
        <w:t>Cristina-Aurora, 2014</w:t>
      </w:r>
      <w:r>
        <w:rPr>
          <w:rFonts w:ascii="Arial" w:hAnsi="Arial" w:cs="Arial"/>
          <w:sz w:val="22"/>
          <w:szCs w:val="22"/>
        </w:rPr>
        <w:t>). Although, the revenue recognition convention is not that simple to understand. For instance, the construction of a large pro</w:t>
      </w:r>
      <w:r>
        <w:rPr>
          <w:rFonts w:ascii="Arial" w:hAnsi="Arial" w:cs="Arial"/>
          <w:sz w:val="22"/>
          <w:szCs w:val="22"/>
        </w:rPr>
        <w:t>ject mostly requires</w:t>
      </w:r>
      <w:r>
        <w:rPr>
          <w:rFonts w:ascii="Arial" w:hAnsi="Arial" w:cs="Arial"/>
          <w:sz w:val="22"/>
          <w:szCs w:val="22"/>
        </w:rPr>
        <w:t xml:space="preserve"> number of years to successfully deliver to the client, therefore, under such circumstances management sends bill even before the completion of such large projects. Overall, the revenue recognition convention is quite critical and essent</w:t>
      </w:r>
      <w:r>
        <w:rPr>
          <w:rFonts w:ascii="Arial" w:hAnsi="Arial" w:cs="Arial"/>
          <w:sz w:val="22"/>
          <w:szCs w:val="22"/>
        </w:rPr>
        <w:t xml:space="preserve">ial to ensure that revenues are properly recorded in the books of accounts of a company, otherwise, the financial position or performance of the business presented to the stakeholders will be incorrect and misinformed. Thus, revenue recognition convention </w:t>
      </w:r>
      <w:r>
        <w:rPr>
          <w:rFonts w:ascii="Arial" w:hAnsi="Arial" w:cs="Arial"/>
          <w:sz w:val="22"/>
          <w:szCs w:val="22"/>
        </w:rPr>
        <w:t>is critical to present a fair and accurate picture of profit and loss position of the business to the stakeholders in the market. Moreover, the revenue recognition convention also provides</w:t>
      </w:r>
      <w:r>
        <w:rPr>
          <w:rFonts w:ascii="Arial" w:hAnsi="Arial" w:cs="Arial"/>
          <w:sz w:val="22"/>
          <w:szCs w:val="22"/>
        </w:rPr>
        <w:t xml:space="preserve"> several benefits in the form of accurate projections of the business</w:t>
      </w:r>
      <w:r>
        <w:rPr>
          <w:rFonts w:ascii="Arial" w:hAnsi="Arial" w:cs="Arial"/>
          <w:sz w:val="22"/>
          <w:szCs w:val="22"/>
        </w:rPr>
        <w:t xml:space="preserve"> revenues in the future (</w:t>
      </w:r>
      <w:proofErr w:type="spellStart"/>
      <w:r>
        <w:rPr>
          <w:rFonts w:ascii="Arial" w:hAnsi="Arial" w:cs="Arial"/>
          <w:sz w:val="22"/>
          <w:szCs w:val="22"/>
        </w:rPr>
        <w:t>Girsch</w:t>
      </w:r>
      <w:proofErr w:type="spellEnd"/>
      <w:r>
        <w:rPr>
          <w:rFonts w:ascii="Arial" w:hAnsi="Arial" w:cs="Arial"/>
          <w:sz w:val="22"/>
          <w:szCs w:val="22"/>
        </w:rPr>
        <w:t>-Bock, 2022).</w:t>
      </w:r>
    </w:p>
    <w:p w14:paraId="36AAFE92" w14:textId="77777777" w:rsidR="00C83D2C" w:rsidRDefault="00650F21">
      <w:pPr>
        <w:spacing w:line="360" w:lineRule="auto"/>
        <w:jc w:val="both"/>
        <w:rPr>
          <w:rFonts w:ascii="Arial" w:hAnsi="Arial" w:cs="Arial"/>
          <w:b/>
          <w:bCs/>
          <w:i/>
          <w:iCs/>
          <w:sz w:val="22"/>
          <w:szCs w:val="22"/>
        </w:rPr>
      </w:pPr>
      <w:r>
        <w:rPr>
          <w:rFonts w:ascii="Arial" w:hAnsi="Arial" w:cs="Arial"/>
          <w:b/>
          <w:bCs/>
          <w:i/>
          <w:iCs/>
          <w:sz w:val="22"/>
          <w:szCs w:val="22"/>
        </w:rPr>
        <w:t>Cost Principle</w:t>
      </w:r>
    </w:p>
    <w:p w14:paraId="36AAFE93" w14:textId="64FFC248" w:rsidR="00C83D2C" w:rsidRDefault="00650F21">
      <w:pPr>
        <w:spacing w:line="360" w:lineRule="auto"/>
        <w:jc w:val="both"/>
        <w:rPr>
          <w:rFonts w:ascii="Arial" w:hAnsi="Arial" w:cs="Arial"/>
          <w:sz w:val="22"/>
          <w:szCs w:val="22"/>
        </w:rPr>
      </w:pPr>
      <w:r>
        <w:rPr>
          <w:rFonts w:ascii="Arial" w:hAnsi="Arial" w:cs="Arial"/>
          <w:sz w:val="22"/>
          <w:szCs w:val="22"/>
        </w:rPr>
        <w:tab/>
        <w:t>This is yet another key principle of accounting used and followed all across the globe so as to ensure that the organizations</w:t>
      </w:r>
      <w:r>
        <w:rPr>
          <w:rFonts w:ascii="Arial" w:hAnsi="Arial" w:cs="Arial"/>
          <w:sz w:val="22"/>
          <w:szCs w:val="22"/>
        </w:rPr>
        <w:t xml:space="preserve"> present a fair and true picture of their financial position to the st</w:t>
      </w:r>
      <w:r>
        <w:rPr>
          <w:rFonts w:ascii="Arial" w:hAnsi="Arial" w:cs="Arial"/>
          <w:sz w:val="22"/>
          <w:szCs w:val="22"/>
        </w:rPr>
        <w:t xml:space="preserve">akeholders in the market. According to the cost principle of </w:t>
      </w:r>
      <w:r>
        <w:rPr>
          <w:rFonts w:ascii="Arial" w:hAnsi="Arial" w:cs="Arial"/>
          <w:sz w:val="22"/>
          <w:szCs w:val="22"/>
        </w:rPr>
        <w:lastRenderedPageBreak/>
        <w:t>core accounting, the management is required to record the purchases in the business at their original cost price only. In addition to this, the cost principle also suggests that the companies mus</w:t>
      </w:r>
      <w:r>
        <w:rPr>
          <w:rFonts w:ascii="Arial" w:hAnsi="Arial" w:cs="Arial"/>
          <w:sz w:val="22"/>
          <w:szCs w:val="22"/>
        </w:rPr>
        <w:t>t record the assets at their cost price under the financial statements and ignore any kind of changes in the market value of the assets. Apart from this, the cost principle also provides</w:t>
      </w:r>
      <w:r>
        <w:rPr>
          <w:rFonts w:ascii="Arial" w:hAnsi="Arial" w:cs="Arial"/>
          <w:sz w:val="22"/>
          <w:szCs w:val="22"/>
        </w:rPr>
        <w:t xml:space="preserve"> general guidance on the assets received in the form of a gift. Accordi</w:t>
      </w:r>
      <w:r>
        <w:rPr>
          <w:rFonts w:ascii="Arial" w:hAnsi="Arial" w:cs="Arial"/>
          <w:sz w:val="22"/>
          <w:szCs w:val="22"/>
        </w:rPr>
        <w:t>ng to this principle, if an asset is received by the company in a form of gift, then such asset must be recorded under the financial statements of a company at a value determined via Fair Market Value using independent means (Mustafa, 2014).</w:t>
      </w:r>
    </w:p>
    <w:p w14:paraId="36AAFE94" w14:textId="77777777" w:rsidR="00C83D2C" w:rsidRDefault="00C83D2C">
      <w:pPr>
        <w:spacing w:line="360" w:lineRule="auto"/>
        <w:jc w:val="both"/>
        <w:rPr>
          <w:rFonts w:ascii="Arial" w:hAnsi="Arial" w:cs="Arial"/>
          <w:sz w:val="22"/>
          <w:szCs w:val="22"/>
        </w:rPr>
      </w:pPr>
    </w:p>
    <w:p w14:paraId="36AAFE95" w14:textId="77777777" w:rsidR="00C83D2C" w:rsidRDefault="00650F21">
      <w:pPr>
        <w:spacing w:line="360" w:lineRule="auto"/>
        <w:jc w:val="both"/>
        <w:rPr>
          <w:rFonts w:ascii="Arial" w:hAnsi="Arial" w:cs="Arial"/>
          <w:sz w:val="22"/>
          <w:szCs w:val="22"/>
        </w:rPr>
      </w:pPr>
      <w:r>
        <w:rPr>
          <w:rFonts w:ascii="Arial" w:hAnsi="Arial" w:cs="Arial"/>
          <w:sz w:val="22"/>
          <w:szCs w:val="22"/>
        </w:rPr>
        <w:br w:type="page"/>
      </w:r>
    </w:p>
    <w:p w14:paraId="36AAFE96" w14:textId="77777777" w:rsidR="00C83D2C" w:rsidRDefault="00650F21">
      <w:pPr>
        <w:pStyle w:val="Heading1"/>
        <w:spacing w:before="0" w:after="0" w:line="360" w:lineRule="auto"/>
        <w:jc w:val="both"/>
        <w:rPr>
          <w:rFonts w:ascii="Arial" w:hAnsi="Arial" w:cs="Arial"/>
          <w:b w:val="0"/>
          <w:bCs w:val="0"/>
          <w:sz w:val="22"/>
          <w:szCs w:val="22"/>
        </w:rPr>
      </w:pPr>
      <w:bookmarkStart w:id="2" w:name="_Toc1077"/>
      <w:r>
        <w:rPr>
          <w:rFonts w:ascii="Arial" w:hAnsi="Arial" w:cs="Arial"/>
          <w:sz w:val="22"/>
          <w:szCs w:val="22"/>
        </w:rPr>
        <w:lastRenderedPageBreak/>
        <w:t>References</w:t>
      </w:r>
      <w:bookmarkEnd w:id="2"/>
    </w:p>
    <w:p w14:paraId="36AAFE97" w14:textId="77777777" w:rsidR="00C83D2C" w:rsidRDefault="00650F21">
      <w:pPr>
        <w:spacing w:line="360" w:lineRule="auto"/>
        <w:ind w:left="440" w:hangingChars="200" w:hanging="440"/>
        <w:jc w:val="both"/>
        <w:rPr>
          <w:rFonts w:ascii="Arial" w:hAnsi="Arial" w:cs="Arial"/>
          <w:sz w:val="22"/>
          <w:szCs w:val="22"/>
        </w:rPr>
      </w:pPr>
      <w:r>
        <w:rPr>
          <w:rFonts w:ascii="Arial" w:hAnsi="Arial" w:cs="Arial"/>
          <w:sz w:val="22"/>
          <w:szCs w:val="22"/>
        </w:rPr>
        <w:t xml:space="preserve">Accounting Tools. 2022. What is the Going Concern Principle? [Online]. Available at: </w:t>
      </w:r>
      <w:hyperlink r:id="rId7" w:history="1">
        <w:r>
          <w:rPr>
            <w:rStyle w:val="Hyperlink"/>
            <w:rFonts w:ascii="Arial" w:hAnsi="Arial" w:cs="Arial"/>
            <w:color w:val="auto"/>
            <w:sz w:val="22"/>
            <w:szCs w:val="22"/>
          </w:rPr>
          <w:t>https://www.accountingtools.com/articles/the-going-concern-principle</w:t>
        </w:r>
      </w:hyperlink>
      <w:r>
        <w:rPr>
          <w:rFonts w:ascii="Arial" w:hAnsi="Arial" w:cs="Arial"/>
          <w:sz w:val="22"/>
          <w:szCs w:val="22"/>
        </w:rPr>
        <w:t xml:space="preserve"> [Accessed on: 29 June 2022].</w:t>
      </w:r>
    </w:p>
    <w:p w14:paraId="36AAFE98" w14:textId="77777777" w:rsidR="00C83D2C" w:rsidRDefault="00650F21">
      <w:pPr>
        <w:spacing w:line="360" w:lineRule="auto"/>
        <w:ind w:left="440" w:hangingChars="200" w:hanging="440"/>
        <w:jc w:val="both"/>
        <w:rPr>
          <w:rFonts w:ascii="Arial" w:hAnsi="Arial" w:cs="Arial"/>
          <w:sz w:val="22"/>
          <w:szCs w:val="22"/>
        </w:rPr>
      </w:pPr>
      <w:proofErr w:type="spellStart"/>
      <w:r>
        <w:rPr>
          <w:rFonts w:ascii="Arial" w:hAnsi="Arial" w:cs="Arial"/>
          <w:sz w:val="22"/>
          <w:szCs w:val="22"/>
        </w:rPr>
        <w:t>Averkamp</w:t>
      </w:r>
      <w:proofErr w:type="spellEnd"/>
      <w:r>
        <w:rPr>
          <w:rFonts w:ascii="Arial" w:hAnsi="Arial" w:cs="Arial"/>
          <w:sz w:val="22"/>
          <w:szCs w:val="22"/>
        </w:rPr>
        <w:t xml:space="preserve">, H. 2022. What is materiality? [Online]. Available at: </w:t>
      </w:r>
      <w:hyperlink r:id="rId8" w:history="1">
        <w:r>
          <w:rPr>
            <w:rStyle w:val="Hyperlink"/>
            <w:rFonts w:ascii="Arial" w:hAnsi="Arial" w:cs="Arial"/>
            <w:color w:val="auto"/>
            <w:sz w:val="22"/>
            <w:szCs w:val="22"/>
          </w:rPr>
          <w:t>https://www.accountingcoach.com/what-is-materiality</w:t>
        </w:r>
      </w:hyperlink>
      <w:r>
        <w:rPr>
          <w:rFonts w:ascii="Arial" w:hAnsi="Arial" w:cs="Arial"/>
          <w:sz w:val="22"/>
          <w:szCs w:val="22"/>
        </w:rPr>
        <w:t xml:space="preserve"> [Accessed on: 29 June 2022].</w:t>
      </w:r>
    </w:p>
    <w:p w14:paraId="36AAFE99" w14:textId="77777777" w:rsidR="00C83D2C" w:rsidRDefault="00650F21">
      <w:pPr>
        <w:spacing w:line="360" w:lineRule="auto"/>
        <w:ind w:left="440" w:hangingChars="200" w:hanging="440"/>
        <w:jc w:val="both"/>
        <w:rPr>
          <w:rFonts w:ascii="Arial" w:eastAsia="SimSun" w:hAnsi="Arial" w:cs="Arial"/>
          <w:sz w:val="22"/>
          <w:szCs w:val="22"/>
          <w:shd w:val="clear" w:color="auto" w:fill="FFFFFF"/>
        </w:rPr>
      </w:pPr>
      <w:proofErr w:type="spellStart"/>
      <w:r>
        <w:rPr>
          <w:rFonts w:ascii="Arial" w:eastAsia="SimSun" w:hAnsi="Arial" w:cs="Arial"/>
          <w:sz w:val="22"/>
          <w:szCs w:val="22"/>
          <w:shd w:val="clear" w:color="auto" w:fill="FFFFFF"/>
        </w:rPr>
        <w:t>Bar</w:t>
      </w:r>
      <w:r>
        <w:rPr>
          <w:rFonts w:ascii="Arial" w:eastAsia="SimSun" w:hAnsi="Arial" w:cs="Arial"/>
          <w:sz w:val="22"/>
          <w:szCs w:val="22"/>
          <w:shd w:val="clear" w:color="auto" w:fill="FFFFFF"/>
        </w:rPr>
        <w:t>lev</w:t>
      </w:r>
      <w:proofErr w:type="spellEnd"/>
      <w:r>
        <w:rPr>
          <w:rFonts w:ascii="Arial" w:eastAsia="SimSun" w:hAnsi="Arial" w:cs="Arial"/>
          <w:sz w:val="22"/>
          <w:szCs w:val="22"/>
          <w:shd w:val="clear" w:color="auto" w:fill="FFFFFF"/>
        </w:rPr>
        <w:t>, B. and Haddad, J.R.</w:t>
      </w:r>
      <w:r>
        <w:rPr>
          <w:rFonts w:ascii="Arial" w:eastAsia="SimSun" w:hAnsi="Arial" w:cs="Arial"/>
          <w:sz w:val="22"/>
          <w:szCs w:val="22"/>
          <w:shd w:val="clear" w:color="auto" w:fill="FFFFFF"/>
        </w:rPr>
        <w:t xml:space="preserve"> </w:t>
      </w:r>
      <w:r>
        <w:rPr>
          <w:rFonts w:ascii="Arial" w:eastAsia="SimSun" w:hAnsi="Arial" w:cs="Arial"/>
          <w:sz w:val="22"/>
          <w:szCs w:val="22"/>
          <w:shd w:val="clear" w:color="auto" w:fill="FFFFFF"/>
        </w:rPr>
        <w:t>2007. Harmonization, comparability, and fair value accounting. </w:t>
      </w:r>
      <w:r>
        <w:rPr>
          <w:rFonts w:ascii="Arial" w:eastAsia="SimSun" w:hAnsi="Arial" w:cs="Arial"/>
          <w:i/>
          <w:iCs/>
          <w:sz w:val="22"/>
          <w:szCs w:val="22"/>
          <w:shd w:val="clear" w:color="auto" w:fill="FFFFFF"/>
        </w:rPr>
        <w:t>Journal of Accounting, Auditing &amp; Finance</w:t>
      </w:r>
      <w:r>
        <w:rPr>
          <w:rFonts w:ascii="Arial" w:eastAsia="SimSun" w:hAnsi="Arial" w:cs="Arial"/>
          <w:sz w:val="22"/>
          <w:szCs w:val="22"/>
          <w:shd w:val="clear" w:color="auto" w:fill="FFFFFF"/>
        </w:rPr>
        <w:t> 22(3), pp.</w:t>
      </w:r>
      <w:r>
        <w:rPr>
          <w:rFonts w:ascii="Arial" w:eastAsia="SimSun" w:hAnsi="Arial" w:cs="Arial"/>
          <w:sz w:val="22"/>
          <w:szCs w:val="22"/>
          <w:shd w:val="clear" w:color="auto" w:fill="FFFFFF"/>
        </w:rPr>
        <w:t xml:space="preserve"> </w:t>
      </w:r>
      <w:r>
        <w:rPr>
          <w:rFonts w:ascii="Arial" w:eastAsia="SimSun" w:hAnsi="Arial" w:cs="Arial"/>
          <w:sz w:val="22"/>
          <w:szCs w:val="22"/>
          <w:shd w:val="clear" w:color="auto" w:fill="FFFFFF"/>
        </w:rPr>
        <w:t>493-509.</w:t>
      </w:r>
    </w:p>
    <w:p w14:paraId="36AAFE9A" w14:textId="77777777" w:rsidR="00C83D2C" w:rsidRDefault="00650F21">
      <w:pPr>
        <w:spacing w:line="360" w:lineRule="auto"/>
        <w:ind w:left="440" w:hangingChars="200" w:hanging="440"/>
        <w:jc w:val="both"/>
        <w:rPr>
          <w:rFonts w:ascii="Arial" w:hAnsi="Arial" w:cs="Arial"/>
          <w:sz w:val="22"/>
          <w:szCs w:val="22"/>
        </w:rPr>
      </w:pPr>
      <w:r>
        <w:rPr>
          <w:rFonts w:ascii="Arial" w:eastAsia="SimSun" w:hAnsi="Arial" w:cs="Arial"/>
          <w:sz w:val="22"/>
          <w:szCs w:val="22"/>
          <w:shd w:val="clear" w:color="auto" w:fill="FFFFFF"/>
        </w:rPr>
        <w:t>Brennan, N.M. and Gray, S.J. 2005. The impact of materiality: accounting's best kept secret. </w:t>
      </w:r>
      <w:r>
        <w:rPr>
          <w:rFonts w:ascii="Arial" w:eastAsia="SimSun" w:hAnsi="Arial" w:cs="Arial"/>
          <w:i/>
          <w:iCs/>
          <w:sz w:val="22"/>
          <w:szCs w:val="22"/>
          <w:shd w:val="clear" w:color="auto" w:fill="FFFFFF"/>
        </w:rPr>
        <w:t xml:space="preserve">Asian </w:t>
      </w:r>
      <w:r>
        <w:rPr>
          <w:rFonts w:ascii="Arial" w:eastAsia="SimSun" w:hAnsi="Arial" w:cs="Arial"/>
          <w:i/>
          <w:iCs/>
          <w:sz w:val="22"/>
          <w:szCs w:val="22"/>
          <w:shd w:val="clear" w:color="auto" w:fill="FFFFFF"/>
        </w:rPr>
        <w:t>Academy of Management Journal of Accounting and Finance</w:t>
      </w:r>
      <w:r>
        <w:rPr>
          <w:rFonts w:ascii="Arial" w:eastAsia="SimSun" w:hAnsi="Arial" w:cs="Arial"/>
          <w:sz w:val="22"/>
          <w:szCs w:val="22"/>
          <w:shd w:val="clear" w:color="auto" w:fill="FFFFFF"/>
        </w:rPr>
        <w:t> 1, pp.</w:t>
      </w:r>
      <w:r>
        <w:rPr>
          <w:rFonts w:ascii="Arial" w:eastAsia="SimSun" w:hAnsi="Arial" w:cs="Arial"/>
          <w:sz w:val="22"/>
          <w:szCs w:val="22"/>
          <w:shd w:val="clear" w:color="auto" w:fill="FFFFFF"/>
        </w:rPr>
        <w:t xml:space="preserve"> </w:t>
      </w:r>
      <w:r>
        <w:rPr>
          <w:rFonts w:ascii="Arial" w:eastAsia="SimSun" w:hAnsi="Arial" w:cs="Arial"/>
          <w:sz w:val="22"/>
          <w:szCs w:val="22"/>
          <w:shd w:val="clear" w:color="auto" w:fill="FFFFFF"/>
        </w:rPr>
        <w:t>1-31.</w:t>
      </w:r>
    </w:p>
    <w:p w14:paraId="36AAFE9B" w14:textId="77777777" w:rsidR="00C83D2C" w:rsidRDefault="00650F21">
      <w:pPr>
        <w:spacing w:line="360" w:lineRule="auto"/>
        <w:ind w:left="440" w:hangingChars="200" w:hanging="440"/>
        <w:jc w:val="both"/>
        <w:rPr>
          <w:rFonts w:ascii="Arial" w:hAnsi="Arial" w:cs="Arial"/>
          <w:sz w:val="22"/>
          <w:szCs w:val="22"/>
        </w:rPr>
      </w:pPr>
      <w:r>
        <w:rPr>
          <w:rFonts w:ascii="Arial" w:hAnsi="Arial" w:cs="Arial"/>
          <w:sz w:val="22"/>
          <w:szCs w:val="22"/>
        </w:rPr>
        <w:t xml:space="preserve">Corporate Finance Institute. 2022. Going Concern. [Online]. Available at: </w:t>
      </w:r>
      <w:hyperlink r:id="rId9" w:history="1">
        <w:r>
          <w:rPr>
            <w:rStyle w:val="Hyperlink"/>
            <w:rFonts w:ascii="Arial" w:hAnsi="Arial" w:cs="Arial"/>
            <w:color w:val="auto"/>
            <w:sz w:val="22"/>
            <w:szCs w:val="22"/>
          </w:rPr>
          <w:t>https://corporatefi</w:t>
        </w:r>
        <w:r>
          <w:rPr>
            <w:rStyle w:val="Hyperlink"/>
            <w:rFonts w:ascii="Arial" w:hAnsi="Arial" w:cs="Arial"/>
            <w:color w:val="auto"/>
            <w:sz w:val="22"/>
            <w:szCs w:val="22"/>
          </w:rPr>
          <w:t>nanceinstitute.com/resources/knowledge/finance/going-concern/</w:t>
        </w:r>
      </w:hyperlink>
      <w:r>
        <w:rPr>
          <w:rFonts w:ascii="Arial" w:hAnsi="Arial" w:cs="Arial"/>
          <w:sz w:val="22"/>
          <w:szCs w:val="22"/>
        </w:rPr>
        <w:t xml:space="preserve"> [Accessed on: 29 June 2022].</w:t>
      </w:r>
    </w:p>
    <w:p w14:paraId="36AAFE9C" w14:textId="77777777" w:rsidR="00C83D2C" w:rsidRDefault="00650F21">
      <w:pPr>
        <w:spacing w:line="360" w:lineRule="auto"/>
        <w:ind w:left="440" w:hangingChars="200" w:hanging="440"/>
        <w:jc w:val="both"/>
        <w:rPr>
          <w:rFonts w:ascii="Arial" w:eastAsia="SimSun" w:hAnsi="Arial" w:cs="Arial"/>
          <w:sz w:val="22"/>
          <w:szCs w:val="22"/>
          <w:shd w:val="clear" w:color="auto" w:fill="FFFFFF"/>
        </w:rPr>
      </w:pPr>
      <w:r>
        <w:rPr>
          <w:rFonts w:ascii="Arial" w:eastAsia="SimSun" w:hAnsi="Arial" w:cs="Arial"/>
          <w:sz w:val="22"/>
          <w:szCs w:val="22"/>
          <w:shd w:val="clear" w:color="auto" w:fill="FFFFFF"/>
        </w:rPr>
        <w:t>Cristina-Aurora, B.B. 2014. New approaches on revenue recognition and measurement. </w:t>
      </w:r>
      <w:r>
        <w:rPr>
          <w:rFonts w:ascii="Arial" w:eastAsia="SimSun" w:hAnsi="Arial" w:cs="Arial"/>
          <w:i/>
          <w:iCs/>
          <w:sz w:val="22"/>
          <w:szCs w:val="22"/>
          <w:shd w:val="clear" w:color="auto" w:fill="FFFFFF"/>
        </w:rPr>
        <w:t>Management Strategies Journal</w:t>
      </w:r>
      <w:r>
        <w:rPr>
          <w:rFonts w:ascii="Arial" w:eastAsia="SimSun" w:hAnsi="Arial" w:cs="Arial"/>
          <w:sz w:val="22"/>
          <w:szCs w:val="22"/>
          <w:shd w:val="clear" w:color="auto" w:fill="FFFFFF"/>
        </w:rPr>
        <w:t> 26(4), pp.</w:t>
      </w:r>
      <w:r>
        <w:rPr>
          <w:rFonts w:ascii="Arial" w:eastAsia="SimSun" w:hAnsi="Arial" w:cs="Arial"/>
          <w:sz w:val="22"/>
          <w:szCs w:val="22"/>
          <w:shd w:val="clear" w:color="auto" w:fill="FFFFFF"/>
        </w:rPr>
        <w:t xml:space="preserve"> </w:t>
      </w:r>
      <w:r>
        <w:rPr>
          <w:rFonts w:ascii="Arial" w:eastAsia="SimSun" w:hAnsi="Arial" w:cs="Arial"/>
          <w:sz w:val="22"/>
          <w:szCs w:val="22"/>
          <w:shd w:val="clear" w:color="auto" w:fill="FFFFFF"/>
        </w:rPr>
        <w:t>375-382.</w:t>
      </w:r>
    </w:p>
    <w:p w14:paraId="36AAFE9D" w14:textId="77777777" w:rsidR="00C83D2C" w:rsidRDefault="00650F21">
      <w:pPr>
        <w:spacing w:line="360" w:lineRule="auto"/>
        <w:ind w:left="440" w:hangingChars="200" w:hanging="440"/>
        <w:jc w:val="both"/>
        <w:rPr>
          <w:rFonts w:ascii="Arial" w:hAnsi="Arial" w:cs="Arial"/>
          <w:sz w:val="22"/>
          <w:szCs w:val="22"/>
        </w:rPr>
      </w:pPr>
      <w:proofErr w:type="spellStart"/>
      <w:r>
        <w:rPr>
          <w:rFonts w:ascii="Arial" w:hAnsi="Arial" w:cs="Arial"/>
          <w:sz w:val="22"/>
          <w:szCs w:val="22"/>
        </w:rPr>
        <w:t>Debitoor</w:t>
      </w:r>
      <w:proofErr w:type="spellEnd"/>
      <w:r>
        <w:rPr>
          <w:rFonts w:ascii="Arial" w:hAnsi="Arial" w:cs="Arial"/>
          <w:sz w:val="22"/>
          <w:szCs w:val="22"/>
        </w:rPr>
        <w:t xml:space="preserve">. 2022. Monetary unit principle - What is the monetary unit principle? [Online]. Available at: </w:t>
      </w:r>
      <w:hyperlink r:id="rId10" w:history="1">
        <w:r>
          <w:rPr>
            <w:rStyle w:val="Hyperlink"/>
            <w:rFonts w:ascii="Arial" w:hAnsi="Arial" w:cs="Arial"/>
            <w:color w:val="auto"/>
            <w:sz w:val="22"/>
            <w:szCs w:val="22"/>
          </w:rPr>
          <w:t>https://debitoor.com/dictionary/monetary-unit-principle#:~:text=The%20monetary%20unit%20principle%20is,monetary%20terms%20</w:t>
        </w:r>
        <w:r>
          <w:rPr>
            <w:rStyle w:val="Hyperlink"/>
            <w:rFonts w:ascii="Arial" w:hAnsi="Arial" w:cs="Arial"/>
            <w:color w:val="auto"/>
            <w:sz w:val="22"/>
            <w:szCs w:val="22"/>
          </w:rPr>
          <w:t>by%20a%20currency.</w:t>
        </w:r>
      </w:hyperlink>
      <w:r>
        <w:rPr>
          <w:rFonts w:ascii="Arial" w:hAnsi="Arial" w:cs="Arial"/>
          <w:sz w:val="22"/>
          <w:szCs w:val="22"/>
        </w:rPr>
        <w:t xml:space="preserve"> [Accessed on: 29 Jun</w:t>
      </w:r>
      <w:r>
        <w:rPr>
          <w:rFonts w:ascii="Arial" w:hAnsi="Arial" w:cs="Arial"/>
          <w:sz w:val="22"/>
          <w:szCs w:val="22"/>
        </w:rPr>
        <w:t>e 2022].</w:t>
      </w:r>
    </w:p>
    <w:p w14:paraId="36AAFE9E" w14:textId="77777777" w:rsidR="00C83D2C" w:rsidRDefault="00650F21">
      <w:pPr>
        <w:spacing w:line="360" w:lineRule="auto"/>
        <w:ind w:left="440" w:hangingChars="200" w:hanging="440"/>
        <w:jc w:val="both"/>
        <w:rPr>
          <w:rFonts w:ascii="Arial" w:hAnsi="Arial" w:cs="Arial"/>
          <w:sz w:val="22"/>
          <w:szCs w:val="22"/>
        </w:rPr>
      </w:pPr>
      <w:proofErr w:type="spellStart"/>
      <w:r>
        <w:rPr>
          <w:rFonts w:ascii="Arial" w:hAnsi="Arial" w:cs="Arial"/>
          <w:sz w:val="22"/>
          <w:szCs w:val="22"/>
        </w:rPr>
        <w:t>Girsch</w:t>
      </w:r>
      <w:proofErr w:type="spellEnd"/>
      <w:r>
        <w:rPr>
          <w:rFonts w:ascii="Arial" w:hAnsi="Arial" w:cs="Arial"/>
          <w:sz w:val="22"/>
          <w:szCs w:val="22"/>
        </w:rPr>
        <w:t xml:space="preserve">-Bock, M. 2022. A Small Business Guide to the Revenue Recognition Principle. [Online]. Available at: </w:t>
      </w:r>
      <w:hyperlink r:id="rId11" w:history="1">
        <w:r>
          <w:rPr>
            <w:rStyle w:val="Hyperlink"/>
            <w:rFonts w:ascii="Arial" w:hAnsi="Arial" w:cs="Arial"/>
            <w:color w:val="auto"/>
            <w:sz w:val="22"/>
            <w:szCs w:val="22"/>
          </w:rPr>
          <w:t>https://www.fool.com/the-ascent/small-business/accounting/articles/revenue-recognition-principle/</w:t>
        </w:r>
      </w:hyperlink>
      <w:r>
        <w:rPr>
          <w:rFonts w:ascii="Arial" w:hAnsi="Arial" w:cs="Arial"/>
          <w:sz w:val="22"/>
          <w:szCs w:val="22"/>
        </w:rPr>
        <w:t xml:space="preserve"> [Accessed on: 29 June 2022].</w:t>
      </w:r>
    </w:p>
    <w:p w14:paraId="36AAFE9F" w14:textId="77777777" w:rsidR="00C83D2C" w:rsidRDefault="00650F21">
      <w:pPr>
        <w:spacing w:line="360" w:lineRule="auto"/>
        <w:ind w:left="440" w:hangingChars="200" w:hanging="440"/>
        <w:jc w:val="both"/>
        <w:rPr>
          <w:rFonts w:ascii="Arial" w:hAnsi="Arial" w:cs="Arial"/>
          <w:sz w:val="22"/>
          <w:szCs w:val="22"/>
        </w:rPr>
      </w:pPr>
      <w:r>
        <w:rPr>
          <w:rFonts w:ascii="Arial" w:hAnsi="Arial" w:cs="Arial"/>
          <w:sz w:val="22"/>
          <w:szCs w:val="22"/>
        </w:rPr>
        <w:t xml:space="preserve">HBS. 2016. WHAT IS MATERIALITY IN ACCOUNTING AND WHY IS IT IMPORTANT? [Online]. Available at: </w:t>
      </w:r>
      <w:hyperlink r:id="rId12" w:history="1">
        <w:r>
          <w:rPr>
            <w:rStyle w:val="Hyperlink"/>
            <w:rFonts w:ascii="Arial" w:hAnsi="Arial" w:cs="Arial"/>
            <w:color w:val="auto"/>
            <w:sz w:val="22"/>
            <w:szCs w:val="22"/>
          </w:rPr>
          <w:t>https://online.hbs.edu/post/what-is-materiality#:~:text=Materiality%20is%20an%20accounting%20principle,financial%20statements%20using%20GAAP%20standards.</w:t>
        </w:r>
      </w:hyperlink>
      <w:r>
        <w:rPr>
          <w:rFonts w:ascii="Arial" w:hAnsi="Arial" w:cs="Arial"/>
          <w:sz w:val="22"/>
          <w:szCs w:val="22"/>
        </w:rPr>
        <w:t xml:space="preserve"> [Accessed on: 29 June 2022].</w:t>
      </w:r>
    </w:p>
    <w:p w14:paraId="36AAFEA0" w14:textId="77777777" w:rsidR="00C83D2C" w:rsidRDefault="00650F21">
      <w:pPr>
        <w:spacing w:line="360" w:lineRule="auto"/>
        <w:ind w:left="440" w:hangingChars="200" w:hanging="440"/>
        <w:jc w:val="both"/>
        <w:rPr>
          <w:rFonts w:ascii="Arial" w:hAnsi="Arial" w:cs="Arial"/>
          <w:sz w:val="22"/>
          <w:szCs w:val="22"/>
        </w:rPr>
      </w:pPr>
      <w:proofErr w:type="spellStart"/>
      <w:r>
        <w:rPr>
          <w:rFonts w:ascii="Arial" w:hAnsi="Arial" w:cs="Arial"/>
          <w:sz w:val="22"/>
          <w:szCs w:val="22"/>
        </w:rPr>
        <w:t>Javed</w:t>
      </w:r>
      <w:proofErr w:type="spellEnd"/>
      <w:r>
        <w:rPr>
          <w:rFonts w:ascii="Arial" w:hAnsi="Arial" w:cs="Arial"/>
          <w:sz w:val="22"/>
          <w:szCs w:val="22"/>
        </w:rPr>
        <w:t xml:space="preserve">, R. 2021. Consistency principle of accounting. [Online]. Available at: </w:t>
      </w:r>
      <w:hyperlink r:id="rId13" w:history="1">
        <w:r>
          <w:rPr>
            <w:rStyle w:val="Hyperlink"/>
            <w:rFonts w:ascii="Arial" w:hAnsi="Arial" w:cs="Arial"/>
            <w:color w:val="auto"/>
            <w:sz w:val="22"/>
            <w:szCs w:val="22"/>
          </w:rPr>
          <w:t>https://www.accountingformanagement.org/consistency-principle-of-accounting/</w:t>
        </w:r>
      </w:hyperlink>
      <w:r>
        <w:rPr>
          <w:rFonts w:ascii="Arial" w:hAnsi="Arial" w:cs="Arial"/>
          <w:sz w:val="22"/>
          <w:szCs w:val="22"/>
        </w:rPr>
        <w:t xml:space="preserve"> [Accessed on: 29 June 2022].</w:t>
      </w:r>
    </w:p>
    <w:p w14:paraId="36AAFEA1" w14:textId="77777777" w:rsidR="00C83D2C" w:rsidRDefault="00650F21">
      <w:pPr>
        <w:spacing w:line="360" w:lineRule="auto"/>
        <w:ind w:left="440" w:hangingChars="200" w:hanging="440"/>
        <w:jc w:val="both"/>
        <w:rPr>
          <w:rFonts w:ascii="Arial" w:hAnsi="Arial" w:cs="Arial"/>
          <w:sz w:val="22"/>
          <w:szCs w:val="22"/>
        </w:rPr>
      </w:pPr>
      <w:proofErr w:type="spellStart"/>
      <w:r>
        <w:rPr>
          <w:rFonts w:ascii="Arial" w:hAnsi="Arial" w:cs="Arial"/>
          <w:sz w:val="22"/>
          <w:szCs w:val="22"/>
        </w:rPr>
        <w:t>Javed</w:t>
      </w:r>
      <w:proofErr w:type="spellEnd"/>
      <w:r>
        <w:rPr>
          <w:rFonts w:ascii="Arial" w:hAnsi="Arial" w:cs="Arial"/>
          <w:sz w:val="22"/>
          <w:szCs w:val="22"/>
        </w:rPr>
        <w:t xml:space="preserve">, R. 2022. Going concern concept. [Online]. Available at: </w:t>
      </w:r>
      <w:hyperlink r:id="rId14" w:history="1">
        <w:r>
          <w:rPr>
            <w:rStyle w:val="Hyperlink"/>
            <w:rFonts w:ascii="Arial" w:hAnsi="Arial" w:cs="Arial"/>
            <w:color w:val="auto"/>
            <w:sz w:val="22"/>
            <w:szCs w:val="22"/>
          </w:rPr>
          <w:t>https://www.accountingformanagemen</w:t>
        </w:r>
        <w:r>
          <w:rPr>
            <w:rStyle w:val="Hyperlink"/>
            <w:rFonts w:ascii="Arial" w:hAnsi="Arial" w:cs="Arial"/>
            <w:color w:val="auto"/>
            <w:sz w:val="22"/>
            <w:szCs w:val="22"/>
          </w:rPr>
          <w:t>t.org/going-concern-concept/</w:t>
        </w:r>
      </w:hyperlink>
      <w:r>
        <w:rPr>
          <w:rFonts w:ascii="Arial" w:hAnsi="Arial" w:cs="Arial"/>
          <w:sz w:val="22"/>
          <w:szCs w:val="22"/>
        </w:rPr>
        <w:t xml:space="preserve"> [Accessed on: 29 June 2022].</w:t>
      </w:r>
    </w:p>
    <w:p w14:paraId="36AAFEA2" w14:textId="77777777" w:rsidR="00C83D2C" w:rsidRDefault="00650F21">
      <w:pPr>
        <w:spacing w:line="360" w:lineRule="auto"/>
        <w:ind w:left="440" w:hangingChars="200" w:hanging="440"/>
        <w:jc w:val="both"/>
        <w:rPr>
          <w:rFonts w:ascii="Arial" w:hAnsi="Arial" w:cs="Arial"/>
          <w:sz w:val="22"/>
          <w:szCs w:val="22"/>
        </w:rPr>
      </w:pPr>
      <w:r>
        <w:rPr>
          <w:rFonts w:ascii="Arial" w:hAnsi="Arial" w:cs="Arial"/>
          <w:sz w:val="22"/>
          <w:szCs w:val="22"/>
        </w:rPr>
        <w:lastRenderedPageBreak/>
        <w:t>Johnson, P. and Vaidya, D. 2020. Business Entity Concept. [On</w:t>
      </w:r>
      <w:r>
        <w:rPr>
          <w:rFonts w:ascii="Arial" w:hAnsi="Arial" w:cs="Arial"/>
          <w:sz w:val="22"/>
          <w:szCs w:val="22"/>
        </w:rPr>
        <w:t xml:space="preserve">line]. Available at: </w:t>
      </w:r>
      <w:hyperlink r:id="rId15" w:history="1">
        <w:r>
          <w:rPr>
            <w:rStyle w:val="Hyperlink"/>
            <w:rFonts w:ascii="Arial" w:hAnsi="Arial" w:cs="Arial"/>
            <w:color w:val="auto"/>
            <w:sz w:val="22"/>
            <w:szCs w:val="22"/>
          </w:rPr>
          <w:t>https://www.wallstreetmojo.com/busines-entity-concept/</w:t>
        </w:r>
      </w:hyperlink>
      <w:r>
        <w:rPr>
          <w:rFonts w:ascii="Arial" w:hAnsi="Arial" w:cs="Arial"/>
          <w:sz w:val="22"/>
          <w:szCs w:val="22"/>
        </w:rPr>
        <w:t xml:space="preserve"> [Accessed on: 29 June 2022].</w:t>
      </w:r>
    </w:p>
    <w:p w14:paraId="36AAFEA3" w14:textId="77777777" w:rsidR="00C83D2C" w:rsidRDefault="00650F21">
      <w:pPr>
        <w:spacing w:line="360" w:lineRule="auto"/>
        <w:ind w:left="440" w:hangingChars="200" w:hanging="440"/>
        <w:jc w:val="both"/>
        <w:rPr>
          <w:rFonts w:ascii="Arial" w:hAnsi="Arial" w:cs="Arial"/>
          <w:sz w:val="22"/>
          <w:szCs w:val="22"/>
        </w:rPr>
      </w:pPr>
      <w:r>
        <w:rPr>
          <w:rFonts w:ascii="Arial" w:hAnsi="Arial" w:cs="Arial"/>
          <w:sz w:val="22"/>
          <w:szCs w:val="22"/>
        </w:rPr>
        <w:t xml:space="preserve">Mustafa, H. 2014. Application of GAAP Principles in an Organization. [Online]. Available at: </w:t>
      </w:r>
      <w:hyperlink r:id="rId16" w:history="1">
        <w:r>
          <w:rPr>
            <w:rStyle w:val="Hyperlink"/>
            <w:rFonts w:ascii="Arial" w:hAnsi="Arial" w:cs="Arial"/>
            <w:color w:val="auto"/>
            <w:sz w:val="22"/>
            <w:szCs w:val="22"/>
          </w:rPr>
          <w:t>https://www.academia.e</w:t>
        </w:r>
        <w:r>
          <w:rPr>
            <w:rStyle w:val="Hyperlink"/>
            <w:rFonts w:ascii="Arial" w:hAnsi="Arial" w:cs="Arial"/>
            <w:color w:val="auto"/>
            <w:sz w:val="22"/>
            <w:szCs w:val="22"/>
          </w:rPr>
          <w:t>du/7140332/Application_of_GAAP_Principals_in_an_Organization</w:t>
        </w:r>
      </w:hyperlink>
      <w:r>
        <w:rPr>
          <w:rFonts w:ascii="Arial" w:hAnsi="Arial" w:cs="Arial"/>
          <w:sz w:val="22"/>
          <w:szCs w:val="22"/>
        </w:rPr>
        <w:t xml:space="preserve"> [Accessed on: 29 June 2022].</w:t>
      </w:r>
    </w:p>
    <w:p w14:paraId="36AAFEA4" w14:textId="77777777" w:rsidR="00C83D2C" w:rsidRDefault="00650F21">
      <w:pPr>
        <w:spacing w:line="360" w:lineRule="auto"/>
        <w:ind w:left="440" w:hangingChars="200" w:hanging="440"/>
        <w:jc w:val="both"/>
        <w:rPr>
          <w:rFonts w:ascii="Arial" w:hAnsi="Arial" w:cs="Arial"/>
          <w:sz w:val="22"/>
          <w:szCs w:val="22"/>
        </w:rPr>
      </w:pPr>
      <w:r>
        <w:rPr>
          <w:rFonts w:ascii="Arial" w:hAnsi="Arial" w:cs="Arial"/>
          <w:sz w:val="22"/>
          <w:szCs w:val="22"/>
        </w:rPr>
        <w:t xml:space="preserve">Pratt, J. 2003. </w:t>
      </w:r>
      <w:r>
        <w:rPr>
          <w:rFonts w:ascii="Arial" w:hAnsi="Arial" w:cs="Arial"/>
          <w:i/>
          <w:iCs/>
          <w:sz w:val="22"/>
          <w:szCs w:val="22"/>
        </w:rPr>
        <w:t>Financial Accounting in an Economic Context</w:t>
      </w:r>
      <w:r>
        <w:rPr>
          <w:rFonts w:ascii="Arial" w:hAnsi="Arial" w:cs="Arial"/>
          <w:sz w:val="22"/>
          <w:szCs w:val="22"/>
        </w:rPr>
        <w:t>. New York: John Wiley&amp; Sons.</w:t>
      </w:r>
    </w:p>
    <w:p w14:paraId="36AAFEA5" w14:textId="77777777" w:rsidR="00C83D2C" w:rsidRDefault="00650F21">
      <w:pPr>
        <w:spacing w:line="360" w:lineRule="auto"/>
        <w:ind w:left="440" w:hangingChars="200" w:hanging="440"/>
        <w:jc w:val="both"/>
        <w:rPr>
          <w:rFonts w:ascii="Arial" w:hAnsi="Arial" w:cs="Arial"/>
          <w:sz w:val="22"/>
          <w:szCs w:val="22"/>
        </w:rPr>
      </w:pPr>
      <w:r>
        <w:rPr>
          <w:rFonts w:ascii="Arial" w:hAnsi="Arial" w:cs="Arial"/>
          <w:sz w:val="22"/>
          <w:szCs w:val="22"/>
        </w:rPr>
        <w:t xml:space="preserve">Thakur, M. and Vaidya, D. n.d. Conservatism Principle of Accounting. [Online]. Available at: </w:t>
      </w:r>
      <w:hyperlink r:id="rId17" w:history="1">
        <w:r>
          <w:rPr>
            <w:rStyle w:val="Hyperlink"/>
            <w:rFonts w:ascii="Arial" w:hAnsi="Arial" w:cs="Arial"/>
            <w:color w:val="auto"/>
            <w:sz w:val="22"/>
            <w:szCs w:val="22"/>
          </w:rPr>
          <w:t>https:</w:t>
        </w:r>
        <w:r>
          <w:rPr>
            <w:rStyle w:val="Hyperlink"/>
            <w:rFonts w:ascii="Arial" w:hAnsi="Arial" w:cs="Arial"/>
            <w:color w:val="auto"/>
            <w:sz w:val="22"/>
            <w:szCs w:val="22"/>
          </w:rPr>
          <w:t>//www.wallstreetmojo.com/conservatism-principle/</w:t>
        </w:r>
      </w:hyperlink>
      <w:r>
        <w:rPr>
          <w:rFonts w:ascii="Arial" w:hAnsi="Arial" w:cs="Arial"/>
          <w:sz w:val="22"/>
          <w:szCs w:val="22"/>
        </w:rPr>
        <w:t xml:space="preserve"> [Accessed on: 29 June 2022].</w:t>
      </w:r>
    </w:p>
    <w:p w14:paraId="36AAFEA6" w14:textId="77777777" w:rsidR="00C83D2C" w:rsidRDefault="00C83D2C">
      <w:pPr>
        <w:spacing w:line="360" w:lineRule="auto"/>
        <w:ind w:left="440" w:hangingChars="200" w:hanging="440"/>
        <w:jc w:val="both"/>
        <w:rPr>
          <w:rFonts w:ascii="Arial" w:hAnsi="Arial" w:cs="Arial"/>
          <w:sz w:val="22"/>
          <w:szCs w:val="22"/>
        </w:rPr>
      </w:pPr>
    </w:p>
    <w:sectPr w:rsidR="00C83D2C">
      <w:footerReference w:type="default" r:id="rId18"/>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AFEAC" w14:textId="77777777" w:rsidR="00000000" w:rsidRDefault="00650F21">
      <w:r>
        <w:separator/>
      </w:r>
    </w:p>
  </w:endnote>
  <w:endnote w:type="continuationSeparator" w:id="0">
    <w:p w14:paraId="36AAFEAE" w14:textId="77777777" w:rsidR="00000000" w:rsidRDefault="00650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AFEA7" w14:textId="77777777" w:rsidR="00C83D2C" w:rsidRDefault="00650F21">
    <w:pPr>
      <w:pStyle w:val="Footer"/>
    </w:pPr>
    <w:r>
      <w:rPr>
        <w:noProof/>
      </w:rPr>
      <mc:AlternateContent>
        <mc:Choice Requires="wps">
          <w:drawing>
            <wp:anchor distT="0" distB="0" distL="114300" distR="114300" simplePos="0" relativeHeight="251659264" behindDoc="0" locked="0" layoutInCell="1" allowOverlap="1" wp14:anchorId="36AAFEA8" wp14:editId="36AAFEA9">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AAFEAA" w14:textId="77777777" w:rsidR="00C83D2C" w:rsidRDefault="00650F21">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6AAFEA8" id="_x0000_t202" coordsize="21600,21600" o:spt="202" path="m,l,21600r21600,l21600,xe">
              <v:stroke joinstyle="miter"/>
              <v:path gradientshapeok="t" o:connecttype="rect"/>
            </v:shapetype>
            <v:shape id="Text Box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6AAFEAA" w14:textId="77777777" w:rsidR="00C83D2C" w:rsidRDefault="00650F21">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AFEA8" w14:textId="77777777" w:rsidR="00000000" w:rsidRDefault="00650F21">
      <w:r>
        <w:separator/>
      </w:r>
    </w:p>
  </w:footnote>
  <w:footnote w:type="continuationSeparator" w:id="0">
    <w:p w14:paraId="36AAFEAA" w14:textId="77777777" w:rsidR="00000000" w:rsidRDefault="00650F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D2C"/>
    <w:rsid w:val="000E3FC3"/>
    <w:rsid w:val="00126F98"/>
    <w:rsid w:val="00577718"/>
    <w:rsid w:val="00650F21"/>
    <w:rsid w:val="00C83D2C"/>
    <w:rsid w:val="00FD1705"/>
    <w:rsid w:val="016043AA"/>
    <w:rsid w:val="01655E65"/>
    <w:rsid w:val="0196601E"/>
    <w:rsid w:val="01D60B10"/>
    <w:rsid w:val="01E410DE"/>
    <w:rsid w:val="023575E5"/>
    <w:rsid w:val="02427F54"/>
    <w:rsid w:val="024737BC"/>
    <w:rsid w:val="0250441F"/>
    <w:rsid w:val="02994018"/>
    <w:rsid w:val="02BF3353"/>
    <w:rsid w:val="02EF2638"/>
    <w:rsid w:val="03082F4B"/>
    <w:rsid w:val="032B09E8"/>
    <w:rsid w:val="035E2B6B"/>
    <w:rsid w:val="0394658D"/>
    <w:rsid w:val="03C926DB"/>
    <w:rsid w:val="03D90444"/>
    <w:rsid w:val="03E33071"/>
    <w:rsid w:val="03EE3EEF"/>
    <w:rsid w:val="04216F4D"/>
    <w:rsid w:val="043F474B"/>
    <w:rsid w:val="04BC5D9C"/>
    <w:rsid w:val="04DF5F2E"/>
    <w:rsid w:val="04F35535"/>
    <w:rsid w:val="05BE5B43"/>
    <w:rsid w:val="05C84C14"/>
    <w:rsid w:val="062067FE"/>
    <w:rsid w:val="065E2E82"/>
    <w:rsid w:val="065F10D4"/>
    <w:rsid w:val="066F70C4"/>
    <w:rsid w:val="067D59FE"/>
    <w:rsid w:val="068C3E93"/>
    <w:rsid w:val="069F5975"/>
    <w:rsid w:val="06F061D0"/>
    <w:rsid w:val="075C5614"/>
    <w:rsid w:val="07D258D6"/>
    <w:rsid w:val="081D2FF5"/>
    <w:rsid w:val="0825634E"/>
    <w:rsid w:val="085B3B1D"/>
    <w:rsid w:val="08A234FA"/>
    <w:rsid w:val="08A6123D"/>
    <w:rsid w:val="08C16076"/>
    <w:rsid w:val="08DA2C94"/>
    <w:rsid w:val="08FC70AE"/>
    <w:rsid w:val="09120680"/>
    <w:rsid w:val="09271C52"/>
    <w:rsid w:val="09285180"/>
    <w:rsid w:val="09442803"/>
    <w:rsid w:val="095A5B83"/>
    <w:rsid w:val="09623A15"/>
    <w:rsid w:val="09B72FD5"/>
    <w:rsid w:val="09CD0A4B"/>
    <w:rsid w:val="09EB0ED1"/>
    <w:rsid w:val="0A195A3E"/>
    <w:rsid w:val="0A876E4C"/>
    <w:rsid w:val="0AAA2B3A"/>
    <w:rsid w:val="0AB363BE"/>
    <w:rsid w:val="0AB67731"/>
    <w:rsid w:val="0AE0655C"/>
    <w:rsid w:val="0AF67B2D"/>
    <w:rsid w:val="0B0009AC"/>
    <w:rsid w:val="0B291CB1"/>
    <w:rsid w:val="0B7934FF"/>
    <w:rsid w:val="0BA92DF2"/>
    <w:rsid w:val="0BB05F2E"/>
    <w:rsid w:val="0BCF2858"/>
    <w:rsid w:val="0BDB6ED2"/>
    <w:rsid w:val="0BED2CDE"/>
    <w:rsid w:val="0C210BDA"/>
    <w:rsid w:val="0C831895"/>
    <w:rsid w:val="0C8F3D96"/>
    <w:rsid w:val="0C931AD8"/>
    <w:rsid w:val="0CCB427A"/>
    <w:rsid w:val="0D2B61B4"/>
    <w:rsid w:val="0D58062B"/>
    <w:rsid w:val="0D6671EC"/>
    <w:rsid w:val="0E172295"/>
    <w:rsid w:val="0E26072A"/>
    <w:rsid w:val="0E2D1AB8"/>
    <w:rsid w:val="0E7B6CC7"/>
    <w:rsid w:val="0F0547E3"/>
    <w:rsid w:val="0F2E7896"/>
    <w:rsid w:val="0F501F02"/>
    <w:rsid w:val="0F643420"/>
    <w:rsid w:val="10207B26"/>
    <w:rsid w:val="104F3F68"/>
    <w:rsid w:val="10613C9B"/>
    <w:rsid w:val="1081433D"/>
    <w:rsid w:val="108D4A90"/>
    <w:rsid w:val="10C06C14"/>
    <w:rsid w:val="10CA7A92"/>
    <w:rsid w:val="10CF6E57"/>
    <w:rsid w:val="112847B9"/>
    <w:rsid w:val="116F6958"/>
    <w:rsid w:val="11BD13A5"/>
    <w:rsid w:val="1226519C"/>
    <w:rsid w:val="122D02D9"/>
    <w:rsid w:val="123302B4"/>
    <w:rsid w:val="1272218F"/>
    <w:rsid w:val="12753A2E"/>
    <w:rsid w:val="127F48AC"/>
    <w:rsid w:val="12A85BB1"/>
    <w:rsid w:val="12C30C3D"/>
    <w:rsid w:val="12F11306"/>
    <w:rsid w:val="14CD18FF"/>
    <w:rsid w:val="151A0DC2"/>
    <w:rsid w:val="153C203D"/>
    <w:rsid w:val="155362A8"/>
    <w:rsid w:val="155B33AF"/>
    <w:rsid w:val="15E11B06"/>
    <w:rsid w:val="15F15AC1"/>
    <w:rsid w:val="15FA2BC8"/>
    <w:rsid w:val="163877CB"/>
    <w:rsid w:val="164D719B"/>
    <w:rsid w:val="16A42B33"/>
    <w:rsid w:val="16EF2001"/>
    <w:rsid w:val="170B4961"/>
    <w:rsid w:val="1740460A"/>
    <w:rsid w:val="174F6F43"/>
    <w:rsid w:val="17CF1E32"/>
    <w:rsid w:val="17E458DD"/>
    <w:rsid w:val="18001FEB"/>
    <w:rsid w:val="180118B7"/>
    <w:rsid w:val="182C4B8E"/>
    <w:rsid w:val="18616F2E"/>
    <w:rsid w:val="18AE37F5"/>
    <w:rsid w:val="18B708FC"/>
    <w:rsid w:val="18CD6371"/>
    <w:rsid w:val="19992F31"/>
    <w:rsid w:val="19AA220F"/>
    <w:rsid w:val="1A0F29BA"/>
    <w:rsid w:val="1B18764C"/>
    <w:rsid w:val="1B5804E6"/>
    <w:rsid w:val="1B7B0307"/>
    <w:rsid w:val="1B882A24"/>
    <w:rsid w:val="1BC82E20"/>
    <w:rsid w:val="1BD23C9F"/>
    <w:rsid w:val="1BE37C5A"/>
    <w:rsid w:val="1BE91714"/>
    <w:rsid w:val="1BF20F7A"/>
    <w:rsid w:val="1C2564C4"/>
    <w:rsid w:val="1C5823F6"/>
    <w:rsid w:val="1C8036FB"/>
    <w:rsid w:val="1CD51C99"/>
    <w:rsid w:val="1CFD4D4B"/>
    <w:rsid w:val="1D104A7F"/>
    <w:rsid w:val="1D232A04"/>
    <w:rsid w:val="1D943902"/>
    <w:rsid w:val="1DD61250"/>
    <w:rsid w:val="1DF443A0"/>
    <w:rsid w:val="1E48649A"/>
    <w:rsid w:val="1E594203"/>
    <w:rsid w:val="1E7F010E"/>
    <w:rsid w:val="1EDD3086"/>
    <w:rsid w:val="1F0423C1"/>
    <w:rsid w:val="1F325180"/>
    <w:rsid w:val="20631369"/>
    <w:rsid w:val="20967991"/>
    <w:rsid w:val="20BC6360"/>
    <w:rsid w:val="20DB35F6"/>
    <w:rsid w:val="20FB77F4"/>
    <w:rsid w:val="210668C5"/>
    <w:rsid w:val="213F74A1"/>
    <w:rsid w:val="218E68BA"/>
    <w:rsid w:val="219E6AFD"/>
    <w:rsid w:val="21BE2CFB"/>
    <w:rsid w:val="21CE05D5"/>
    <w:rsid w:val="21DC7625"/>
    <w:rsid w:val="21FC3824"/>
    <w:rsid w:val="22124DF5"/>
    <w:rsid w:val="221E19EC"/>
    <w:rsid w:val="225E44DE"/>
    <w:rsid w:val="227C4964"/>
    <w:rsid w:val="22E60B64"/>
    <w:rsid w:val="234C2589"/>
    <w:rsid w:val="23531B69"/>
    <w:rsid w:val="237D6BE6"/>
    <w:rsid w:val="237F295E"/>
    <w:rsid w:val="23871813"/>
    <w:rsid w:val="23D42CAA"/>
    <w:rsid w:val="23F017C2"/>
    <w:rsid w:val="23F8626D"/>
    <w:rsid w:val="24BB5C18"/>
    <w:rsid w:val="25441769"/>
    <w:rsid w:val="25B61F3B"/>
    <w:rsid w:val="25DD396C"/>
    <w:rsid w:val="25FA4390"/>
    <w:rsid w:val="260D4251"/>
    <w:rsid w:val="261A696E"/>
    <w:rsid w:val="26377520"/>
    <w:rsid w:val="26394488"/>
    <w:rsid w:val="264C31FB"/>
    <w:rsid w:val="267B565F"/>
    <w:rsid w:val="26834513"/>
    <w:rsid w:val="26AF70B6"/>
    <w:rsid w:val="26E33204"/>
    <w:rsid w:val="26E8081A"/>
    <w:rsid w:val="2702368A"/>
    <w:rsid w:val="27181100"/>
    <w:rsid w:val="27595274"/>
    <w:rsid w:val="27EC7E96"/>
    <w:rsid w:val="28100029"/>
    <w:rsid w:val="288A1B89"/>
    <w:rsid w:val="288A7DDB"/>
    <w:rsid w:val="28C826B1"/>
    <w:rsid w:val="28EC2844"/>
    <w:rsid w:val="28FC05AD"/>
    <w:rsid w:val="28FF3C4F"/>
    <w:rsid w:val="29A053DC"/>
    <w:rsid w:val="29A75F53"/>
    <w:rsid w:val="29FB6FA2"/>
    <w:rsid w:val="29FD69D7"/>
    <w:rsid w:val="2A1E28C6"/>
    <w:rsid w:val="2A21651D"/>
    <w:rsid w:val="2A3E70CF"/>
    <w:rsid w:val="2A41096D"/>
    <w:rsid w:val="2A71367D"/>
    <w:rsid w:val="2AB70C30"/>
    <w:rsid w:val="2ABA24CE"/>
    <w:rsid w:val="2AD77A4D"/>
    <w:rsid w:val="2B004385"/>
    <w:rsid w:val="2B1C4F36"/>
    <w:rsid w:val="2B404781"/>
    <w:rsid w:val="2B9351F9"/>
    <w:rsid w:val="2B980A61"/>
    <w:rsid w:val="2BF35C97"/>
    <w:rsid w:val="2C083572"/>
    <w:rsid w:val="2C1A1476"/>
    <w:rsid w:val="2C5801F0"/>
    <w:rsid w:val="2C6E17C2"/>
    <w:rsid w:val="2C9A25B7"/>
    <w:rsid w:val="2CA60F5C"/>
    <w:rsid w:val="2CA84CD4"/>
    <w:rsid w:val="2CCB19C7"/>
    <w:rsid w:val="2CD2267F"/>
    <w:rsid w:val="2D346567"/>
    <w:rsid w:val="2DFA155F"/>
    <w:rsid w:val="2E19750B"/>
    <w:rsid w:val="2E731311"/>
    <w:rsid w:val="2E9A689E"/>
    <w:rsid w:val="2F232338"/>
    <w:rsid w:val="2FB43990"/>
    <w:rsid w:val="302A3C52"/>
    <w:rsid w:val="304C0018"/>
    <w:rsid w:val="306727B0"/>
    <w:rsid w:val="306D5399"/>
    <w:rsid w:val="30760C45"/>
    <w:rsid w:val="30B874AF"/>
    <w:rsid w:val="30CE0A81"/>
    <w:rsid w:val="311346E6"/>
    <w:rsid w:val="31172428"/>
    <w:rsid w:val="31336B36"/>
    <w:rsid w:val="31710983"/>
    <w:rsid w:val="31B5579D"/>
    <w:rsid w:val="31DD5420"/>
    <w:rsid w:val="32193F7E"/>
    <w:rsid w:val="32B617CD"/>
    <w:rsid w:val="32F32A21"/>
    <w:rsid w:val="33122EA7"/>
    <w:rsid w:val="3321133C"/>
    <w:rsid w:val="33CF6FEA"/>
    <w:rsid w:val="33E83C08"/>
    <w:rsid w:val="33FD3B57"/>
    <w:rsid w:val="34074D5E"/>
    <w:rsid w:val="341E49AD"/>
    <w:rsid w:val="347F1226"/>
    <w:rsid w:val="34853B4C"/>
    <w:rsid w:val="34905B5D"/>
    <w:rsid w:val="34D81ECE"/>
    <w:rsid w:val="34FD1935"/>
    <w:rsid w:val="350B5E00"/>
    <w:rsid w:val="35447564"/>
    <w:rsid w:val="35780FBB"/>
    <w:rsid w:val="364C2B74"/>
    <w:rsid w:val="36D641EB"/>
    <w:rsid w:val="370451FC"/>
    <w:rsid w:val="3724764D"/>
    <w:rsid w:val="37403D5B"/>
    <w:rsid w:val="376637C1"/>
    <w:rsid w:val="376B702A"/>
    <w:rsid w:val="3801798E"/>
    <w:rsid w:val="384A6C3F"/>
    <w:rsid w:val="38991974"/>
    <w:rsid w:val="38D96215"/>
    <w:rsid w:val="38F512A1"/>
    <w:rsid w:val="38F90665"/>
    <w:rsid w:val="38FC6146"/>
    <w:rsid w:val="392E47B3"/>
    <w:rsid w:val="39382F3B"/>
    <w:rsid w:val="39A35FB9"/>
    <w:rsid w:val="39B747A8"/>
    <w:rsid w:val="3A502507"/>
    <w:rsid w:val="3AD35612"/>
    <w:rsid w:val="3AFB06C4"/>
    <w:rsid w:val="3B31058A"/>
    <w:rsid w:val="3BBA40DC"/>
    <w:rsid w:val="3BE86E9B"/>
    <w:rsid w:val="3C187054"/>
    <w:rsid w:val="3C236125"/>
    <w:rsid w:val="3D0E1A56"/>
    <w:rsid w:val="3DB8354C"/>
    <w:rsid w:val="3E2241BA"/>
    <w:rsid w:val="3E285C74"/>
    <w:rsid w:val="3E7A2248"/>
    <w:rsid w:val="3E8B7FB1"/>
    <w:rsid w:val="3ECF7E9E"/>
    <w:rsid w:val="3EEA2F2A"/>
    <w:rsid w:val="3EFE0783"/>
    <w:rsid w:val="3F2D72BA"/>
    <w:rsid w:val="3FBD23EC"/>
    <w:rsid w:val="3FC03C8B"/>
    <w:rsid w:val="3FCC6AD3"/>
    <w:rsid w:val="3FDD2A8F"/>
    <w:rsid w:val="405C7E57"/>
    <w:rsid w:val="405F16F6"/>
    <w:rsid w:val="40893064"/>
    <w:rsid w:val="40B52873"/>
    <w:rsid w:val="40C003E6"/>
    <w:rsid w:val="4101455B"/>
    <w:rsid w:val="418E2292"/>
    <w:rsid w:val="41FA7928"/>
    <w:rsid w:val="42024A2E"/>
    <w:rsid w:val="42336996"/>
    <w:rsid w:val="4251506E"/>
    <w:rsid w:val="425828A0"/>
    <w:rsid w:val="42707BEA"/>
    <w:rsid w:val="429338D8"/>
    <w:rsid w:val="42980EEF"/>
    <w:rsid w:val="42A930FC"/>
    <w:rsid w:val="42AD6748"/>
    <w:rsid w:val="42CA2CF1"/>
    <w:rsid w:val="42DA1507"/>
    <w:rsid w:val="43000F6E"/>
    <w:rsid w:val="432804C5"/>
    <w:rsid w:val="434D3A87"/>
    <w:rsid w:val="43505326"/>
    <w:rsid w:val="435117C9"/>
    <w:rsid w:val="437234EE"/>
    <w:rsid w:val="438C45B0"/>
    <w:rsid w:val="43D44D4F"/>
    <w:rsid w:val="43EF2D90"/>
    <w:rsid w:val="446E1F07"/>
    <w:rsid w:val="447514E8"/>
    <w:rsid w:val="447567D8"/>
    <w:rsid w:val="447A6AFE"/>
    <w:rsid w:val="449A2CFC"/>
    <w:rsid w:val="44BA339E"/>
    <w:rsid w:val="44D206E8"/>
    <w:rsid w:val="455530C7"/>
    <w:rsid w:val="45E36925"/>
    <w:rsid w:val="46146ADE"/>
    <w:rsid w:val="462C1277"/>
    <w:rsid w:val="468E4AE3"/>
    <w:rsid w:val="469043B7"/>
    <w:rsid w:val="46955E71"/>
    <w:rsid w:val="46A240EA"/>
    <w:rsid w:val="46CC1167"/>
    <w:rsid w:val="46ED1809"/>
    <w:rsid w:val="47595B54"/>
    <w:rsid w:val="47705F96"/>
    <w:rsid w:val="477B0655"/>
    <w:rsid w:val="47835CCA"/>
    <w:rsid w:val="47A81BD4"/>
    <w:rsid w:val="48117779"/>
    <w:rsid w:val="488A12DA"/>
    <w:rsid w:val="48D850E1"/>
    <w:rsid w:val="496D6C31"/>
    <w:rsid w:val="498D1081"/>
    <w:rsid w:val="49AB775A"/>
    <w:rsid w:val="4A4E6A63"/>
    <w:rsid w:val="4A62250E"/>
    <w:rsid w:val="4A804742"/>
    <w:rsid w:val="4A9401EE"/>
    <w:rsid w:val="4AEB2504"/>
    <w:rsid w:val="4B3C2D5F"/>
    <w:rsid w:val="4B425E9C"/>
    <w:rsid w:val="4B991F60"/>
    <w:rsid w:val="4BAF3531"/>
    <w:rsid w:val="4BE62CCB"/>
    <w:rsid w:val="4C1635B0"/>
    <w:rsid w:val="4C516396"/>
    <w:rsid w:val="4C746529"/>
    <w:rsid w:val="4CCC3C6F"/>
    <w:rsid w:val="4D13256A"/>
    <w:rsid w:val="4DA1334D"/>
    <w:rsid w:val="4DEB281B"/>
    <w:rsid w:val="4E0F16F8"/>
    <w:rsid w:val="4E21623C"/>
    <w:rsid w:val="4E2F0959"/>
    <w:rsid w:val="4E606D65"/>
    <w:rsid w:val="4E623505"/>
    <w:rsid w:val="4E7E71EB"/>
    <w:rsid w:val="4E946A0E"/>
    <w:rsid w:val="4EB40F74"/>
    <w:rsid w:val="4F4641AC"/>
    <w:rsid w:val="4F4C553B"/>
    <w:rsid w:val="4F644633"/>
    <w:rsid w:val="4F707032"/>
    <w:rsid w:val="4F7A3E56"/>
    <w:rsid w:val="4F7D74A2"/>
    <w:rsid w:val="4F8151E4"/>
    <w:rsid w:val="4F980780"/>
    <w:rsid w:val="4FE63299"/>
    <w:rsid w:val="5019541D"/>
    <w:rsid w:val="50940F47"/>
    <w:rsid w:val="50AA42C7"/>
    <w:rsid w:val="511A3426"/>
    <w:rsid w:val="51B60F80"/>
    <w:rsid w:val="51FE0D6E"/>
    <w:rsid w:val="523D116B"/>
    <w:rsid w:val="52466271"/>
    <w:rsid w:val="5253273C"/>
    <w:rsid w:val="526B3F2A"/>
    <w:rsid w:val="52C553E8"/>
    <w:rsid w:val="5311062D"/>
    <w:rsid w:val="53395DD6"/>
    <w:rsid w:val="53656BCB"/>
    <w:rsid w:val="536A5206"/>
    <w:rsid w:val="53733096"/>
    <w:rsid w:val="538C4158"/>
    <w:rsid w:val="546926EB"/>
    <w:rsid w:val="54857525"/>
    <w:rsid w:val="54B55930"/>
    <w:rsid w:val="54FC70BB"/>
    <w:rsid w:val="55326F81"/>
    <w:rsid w:val="554E3DBB"/>
    <w:rsid w:val="55546EF7"/>
    <w:rsid w:val="55BB0D24"/>
    <w:rsid w:val="560A5808"/>
    <w:rsid w:val="56293EE0"/>
    <w:rsid w:val="56837A94"/>
    <w:rsid w:val="56A45C5C"/>
    <w:rsid w:val="56AB6BD7"/>
    <w:rsid w:val="56D976B4"/>
    <w:rsid w:val="56F43CE4"/>
    <w:rsid w:val="570C5CDB"/>
    <w:rsid w:val="57120E18"/>
    <w:rsid w:val="57931F59"/>
    <w:rsid w:val="57B40121"/>
    <w:rsid w:val="57BE5159"/>
    <w:rsid w:val="57BF2D4E"/>
    <w:rsid w:val="57EC3417"/>
    <w:rsid w:val="57FB18AC"/>
    <w:rsid w:val="582708F3"/>
    <w:rsid w:val="586438F5"/>
    <w:rsid w:val="58782EFD"/>
    <w:rsid w:val="589A2E73"/>
    <w:rsid w:val="58DC7930"/>
    <w:rsid w:val="58DF11CE"/>
    <w:rsid w:val="59407EBE"/>
    <w:rsid w:val="59AD307A"/>
    <w:rsid w:val="59BE0DE3"/>
    <w:rsid w:val="59CA59DA"/>
    <w:rsid w:val="59DF76D7"/>
    <w:rsid w:val="59E85E60"/>
    <w:rsid w:val="59EE791A"/>
    <w:rsid w:val="5A4104C1"/>
    <w:rsid w:val="5A4E03B9"/>
    <w:rsid w:val="5A67147B"/>
    <w:rsid w:val="5A6E2809"/>
    <w:rsid w:val="5AB20948"/>
    <w:rsid w:val="5AE1122D"/>
    <w:rsid w:val="5B0D2022"/>
    <w:rsid w:val="5B174C4F"/>
    <w:rsid w:val="5B233233"/>
    <w:rsid w:val="5B653C0C"/>
    <w:rsid w:val="5B791466"/>
    <w:rsid w:val="5B7E082A"/>
    <w:rsid w:val="5BA65FD3"/>
    <w:rsid w:val="5BC2278C"/>
    <w:rsid w:val="5C3830CF"/>
    <w:rsid w:val="5C7B120D"/>
    <w:rsid w:val="5CBC50F2"/>
    <w:rsid w:val="5D2B2C34"/>
    <w:rsid w:val="5D4C06C8"/>
    <w:rsid w:val="5DA86032"/>
    <w:rsid w:val="5DCA244C"/>
    <w:rsid w:val="5DE03A1E"/>
    <w:rsid w:val="5E7303EE"/>
    <w:rsid w:val="5EDA66BF"/>
    <w:rsid w:val="5EE4753E"/>
    <w:rsid w:val="5F8B5C0B"/>
    <w:rsid w:val="5FBC4017"/>
    <w:rsid w:val="5FC353A5"/>
    <w:rsid w:val="60196D73"/>
    <w:rsid w:val="60255718"/>
    <w:rsid w:val="60326087"/>
    <w:rsid w:val="6037369D"/>
    <w:rsid w:val="60455DBA"/>
    <w:rsid w:val="60597AB8"/>
    <w:rsid w:val="60F17CF0"/>
    <w:rsid w:val="611A2DA3"/>
    <w:rsid w:val="618F19E3"/>
    <w:rsid w:val="619C7C5C"/>
    <w:rsid w:val="61EA4E6B"/>
    <w:rsid w:val="61FF01EB"/>
    <w:rsid w:val="62061579"/>
    <w:rsid w:val="621719D8"/>
    <w:rsid w:val="62173786"/>
    <w:rsid w:val="622B0FE0"/>
    <w:rsid w:val="624A590A"/>
    <w:rsid w:val="62570027"/>
    <w:rsid w:val="626A1B08"/>
    <w:rsid w:val="6271733B"/>
    <w:rsid w:val="62E25B42"/>
    <w:rsid w:val="62F15D85"/>
    <w:rsid w:val="633725F8"/>
    <w:rsid w:val="63381C06"/>
    <w:rsid w:val="635051A2"/>
    <w:rsid w:val="638135AD"/>
    <w:rsid w:val="63EE6769"/>
    <w:rsid w:val="63FE645C"/>
    <w:rsid w:val="64572560"/>
    <w:rsid w:val="64BE613B"/>
    <w:rsid w:val="64E617DE"/>
    <w:rsid w:val="64FB738F"/>
    <w:rsid w:val="650F4BE9"/>
    <w:rsid w:val="65165F77"/>
    <w:rsid w:val="65801643"/>
    <w:rsid w:val="65984BDE"/>
    <w:rsid w:val="65AB2B63"/>
    <w:rsid w:val="65FA7647"/>
    <w:rsid w:val="65FE7137"/>
    <w:rsid w:val="660202AA"/>
    <w:rsid w:val="660404C6"/>
    <w:rsid w:val="6615622F"/>
    <w:rsid w:val="66304E17"/>
    <w:rsid w:val="665729A6"/>
    <w:rsid w:val="66611474"/>
    <w:rsid w:val="667411A7"/>
    <w:rsid w:val="667E2026"/>
    <w:rsid w:val="66D03A2F"/>
    <w:rsid w:val="66DB1226"/>
    <w:rsid w:val="67024A05"/>
    <w:rsid w:val="672A7AB8"/>
    <w:rsid w:val="674212A6"/>
    <w:rsid w:val="677551D7"/>
    <w:rsid w:val="67917B37"/>
    <w:rsid w:val="682A2C32"/>
    <w:rsid w:val="68994EF5"/>
    <w:rsid w:val="68A37B22"/>
    <w:rsid w:val="68B910F3"/>
    <w:rsid w:val="69012A9A"/>
    <w:rsid w:val="69036813"/>
    <w:rsid w:val="69252C2D"/>
    <w:rsid w:val="69513A22"/>
    <w:rsid w:val="695232F6"/>
    <w:rsid w:val="697E40EB"/>
    <w:rsid w:val="69855479"/>
    <w:rsid w:val="698711F2"/>
    <w:rsid w:val="69D32689"/>
    <w:rsid w:val="69FB7673"/>
    <w:rsid w:val="69FC398E"/>
    <w:rsid w:val="6A247E3C"/>
    <w:rsid w:val="6ABA73A5"/>
    <w:rsid w:val="6B405AFC"/>
    <w:rsid w:val="6B8579B3"/>
    <w:rsid w:val="6B9D2F4E"/>
    <w:rsid w:val="6BAB7471"/>
    <w:rsid w:val="6BBD714D"/>
    <w:rsid w:val="6BC06C3D"/>
    <w:rsid w:val="6BCE4EB6"/>
    <w:rsid w:val="6C77554D"/>
    <w:rsid w:val="6C835970"/>
    <w:rsid w:val="6C9A123C"/>
    <w:rsid w:val="6CA4030D"/>
    <w:rsid w:val="6CCB3AEB"/>
    <w:rsid w:val="6D34343E"/>
    <w:rsid w:val="6D4A2C62"/>
    <w:rsid w:val="6D592EA5"/>
    <w:rsid w:val="6D7E6FC6"/>
    <w:rsid w:val="6DEE7A91"/>
    <w:rsid w:val="6DF36E56"/>
    <w:rsid w:val="6E1D0376"/>
    <w:rsid w:val="6E2039C3"/>
    <w:rsid w:val="6E6715F2"/>
    <w:rsid w:val="6E7F4617"/>
    <w:rsid w:val="6E8B52E0"/>
    <w:rsid w:val="6F675D4D"/>
    <w:rsid w:val="6FAD74D8"/>
    <w:rsid w:val="6FB0447B"/>
    <w:rsid w:val="6FCA1E38"/>
    <w:rsid w:val="6FD66A2F"/>
    <w:rsid w:val="6FEF189F"/>
    <w:rsid w:val="70311EB7"/>
    <w:rsid w:val="706B361B"/>
    <w:rsid w:val="708E47B1"/>
    <w:rsid w:val="70A26911"/>
    <w:rsid w:val="70C96594"/>
    <w:rsid w:val="70D70CB1"/>
    <w:rsid w:val="70E138DD"/>
    <w:rsid w:val="70E46F2A"/>
    <w:rsid w:val="716B764B"/>
    <w:rsid w:val="71956476"/>
    <w:rsid w:val="71B40FF2"/>
    <w:rsid w:val="71C56D5B"/>
    <w:rsid w:val="71D13952"/>
    <w:rsid w:val="71DE606F"/>
    <w:rsid w:val="71F17B50"/>
    <w:rsid w:val="71FB277D"/>
    <w:rsid w:val="721E646B"/>
    <w:rsid w:val="722021E3"/>
    <w:rsid w:val="725D51E5"/>
    <w:rsid w:val="72A921D9"/>
    <w:rsid w:val="73504D4A"/>
    <w:rsid w:val="73506AF8"/>
    <w:rsid w:val="73DE5EB2"/>
    <w:rsid w:val="73F6144E"/>
    <w:rsid w:val="7479346E"/>
    <w:rsid w:val="750556C0"/>
    <w:rsid w:val="75461F61"/>
    <w:rsid w:val="757545F4"/>
    <w:rsid w:val="76312C11"/>
    <w:rsid w:val="76D90BB3"/>
    <w:rsid w:val="77843214"/>
    <w:rsid w:val="77B84C6C"/>
    <w:rsid w:val="77D870BC"/>
    <w:rsid w:val="77EE068E"/>
    <w:rsid w:val="7808174F"/>
    <w:rsid w:val="78216511"/>
    <w:rsid w:val="784621A9"/>
    <w:rsid w:val="7877725C"/>
    <w:rsid w:val="78827754"/>
    <w:rsid w:val="78C87131"/>
    <w:rsid w:val="78DF7469"/>
    <w:rsid w:val="791108D4"/>
    <w:rsid w:val="79532E9E"/>
    <w:rsid w:val="79AD6A52"/>
    <w:rsid w:val="79CE69C9"/>
    <w:rsid w:val="7A3E3B4E"/>
    <w:rsid w:val="7A4A24F3"/>
    <w:rsid w:val="7A65732D"/>
    <w:rsid w:val="7A7C6425"/>
    <w:rsid w:val="7AA76F33"/>
    <w:rsid w:val="7AA8546C"/>
    <w:rsid w:val="7AAC4F5C"/>
    <w:rsid w:val="7AB67B89"/>
    <w:rsid w:val="7AC322A6"/>
    <w:rsid w:val="7AE30252"/>
    <w:rsid w:val="7B5F46DC"/>
    <w:rsid w:val="7B9F686F"/>
    <w:rsid w:val="7C1A4147"/>
    <w:rsid w:val="7C262AEC"/>
    <w:rsid w:val="7C3614E6"/>
    <w:rsid w:val="7C5A4544"/>
    <w:rsid w:val="7C5E2286"/>
    <w:rsid w:val="7CD2057E"/>
    <w:rsid w:val="7CDE33C7"/>
    <w:rsid w:val="7D0211AE"/>
    <w:rsid w:val="7D755AD9"/>
    <w:rsid w:val="7D7B6E68"/>
    <w:rsid w:val="7DA261A2"/>
    <w:rsid w:val="7DBA7990"/>
    <w:rsid w:val="7E2C3CBE"/>
    <w:rsid w:val="7E3F60E7"/>
    <w:rsid w:val="7E412C8D"/>
    <w:rsid w:val="7EA1645A"/>
    <w:rsid w:val="7EE10F4C"/>
    <w:rsid w:val="7EED169F"/>
    <w:rsid w:val="7F320D43"/>
    <w:rsid w:val="7F5259A6"/>
    <w:rsid w:val="7F594F87"/>
    <w:rsid w:val="7F69341C"/>
    <w:rsid w:val="7F7D2A23"/>
    <w:rsid w:val="7FB109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AAFD6F"/>
  <w15:docId w15:val="{225B7D9B-1607-4408-B771-831B597F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styleId="TOC1">
    <w:name w:val="toc 1"/>
    <w:basedOn w:val="Normal"/>
    <w:next w:val="Normal"/>
  </w:style>
  <w:style w:type="paragraph" w:customStyle="1" w:styleId="WPSOffice1">
    <w:name w:val="WPSOffice手动目录 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ccountingcoach.com/blog/what-is-materiality" TargetMode="External"/><Relationship Id="rId13" Type="http://schemas.openxmlformats.org/officeDocument/2006/relationships/hyperlink" Target="https://www.accountingformanagement.org/consistency-principle-of-accounting/"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ccountingtools.com/articles/the-going-concern-principle" TargetMode="External"/><Relationship Id="rId12" Type="http://schemas.openxmlformats.org/officeDocument/2006/relationships/hyperlink" Target="https://online.hbs.edu/blog/post/what-is-materiality#:~:text=Materiality%20is%20an%20accounting%20principle,financial%20statements%20using%20GAAP%20standards." TargetMode="External"/><Relationship Id="rId17" Type="http://schemas.openxmlformats.org/officeDocument/2006/relationships/hyperlink" Target="https://www.wallstreetmojo.com/conservatism-principle/" TargetMode="External"/><Relationship Id="rId2" Type="http://schemas.openxmlformats.org/officeDocument/2006/relationships/styles" Target="styles.xml"/><Relationship Id="rId16" Type="http://schemas.openxmlformats.org/officeDocument/2006/relationships/hyperlink" Target="https://www.academia.edu/7140332/Application_of_GAAP_Principals_in_an_Organiz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ool.com/the-ascent/small-business/accounting/articles/revenue-recognition-principle/" TargetMode="External"/><Relationship Id="rId5" Type="http://schemas.openxmlformats.org/officeDocument/2006/relationships/footnotes" Target="footnotes.xml"/><Relationship Id="rId15" Type="http://schemas.openxmlformats.org/officeDocument/2006/relationships/hyperlink" Target="https://www.wallstreetmojo.com/busines-entity-concept/" TargetMode="External"/><Relationship Id="rId10" Type="http://schemas.openxmlformats.org/officeDocument/2006/relationships/hyperlink" Target="https://debitoor.com/dictionary/monetary-unit-principle#:~:text=The%20monetary%20unit%20principle%20is,monetary%20terms%20by%20a%20currenc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rporatefinanceinstitute.com/resources/knowledge/finance/going-concern/" TargetMode="External"/><Relationship Id="rId14" Type="http://schemas.openxmlformats.org/officeDocument/2006/relationships/hyperlink" Target="https://www.accountingformanagement.org/going-concern-conce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2699</Words>
  <Characters>15389</Characters>
  <Application>Microsoft Office Word</Application>
  <DocSecurity>0</DocSecurity>
  <Lines>128</Lines>
  <Paragraphs>36</Paragraphs>
  <ScaleCrop>false</ScaleCrop>
  <Company/>
  <LinksUpToDate>false</LinksUpToDate>
  <CharactersWithSpaces>18052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Pintilei</cp:lastModifiedBy>
  <cp:revision>3</cp:revision>
  <dcterms:created xsi:type="dcterms:W3CDTF">2022-06-29T05:30:00Z</dcterms:created>
  <dcterms:modified xsi:type="dcterms:W3CDTF">2022-07-02T15:27:00Z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30A4ADC18962471F8D245D93F8E90E2C</vt:lpwstr>
  </property>
  <property fmtid="{D5CDD505-2E9C-101B-9397-08002B2CF9AE}" pid="3" name="KSOProductBuildVer">
    <vt:lpwstr>1033-11.2.0.11156</vt:lpwstr>
  </property>
</Properties>
</file>