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564D3" w14:textId="77777777" w:rsidR="000F7AFE" w:rsidRDefault="00E763DA">
      <w:pPr>
        <w:pStyle w:val="Normal1"/>
        <w:jc w:val="center"/>
        <w:rPr>
          <w:b/>
          <w:sz w:val="36"/>
          <w:szCs w:val="36"/>
        </w:rPr>
      </w:pPr>
      <w:r>
        <w:rPr>
          <w:noProof/>
        </w:rPr>
        <w:drawing>
          <wp:anchor distT="114300" distB="114300" distL="114300" distR="114300" simplePos="0" relativeHeight="251658240" behindDoc="0" locked="0" layoutInCell="1" allowOverlap="1" wp14:anchorId="6F9AF671" wp14:editId="26ED3521">
            <wp:simplePos x="0" y="0"/>
            <wp:positionH relativeFrom="column">
              <wp:posOffset>3778575</wp:posOffset>
            </wp:positionH>
            <wp:positionV relativeFrom="paragraph">
              <wp:posOffset>123825</wp:posOffset>
            </wp:positionV>
            <wp:extent cx="1947863" cy="783458"/>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1947863" cy="783458"/>
                    </a:xfrm>
                    <a:prstGeom prst="rect">
                      <a:avLst/>
                    </a:prstGeom>
                  </pic:spPr>
                </pic:pic>
              </a:graphicData>
            </a:graphic>
          </wp:anchor>
        </w:drawing>
      </w:r>
    </w:p>
    <w:p w14:paraId="1819CFB7" w14:textId="77777777" w:rsidR="000F7AFE" w:rsidRDefault="000F7AFE">
      <w:pPr>
        <w:pStyle w:val="Normal1"/>
        <w:jc w:val="center"/>
        <w:rPr>
          <w:b/>
          <w:sz w:val="36"/>
          <w:szCs w:val="36"/>
        </w:rPr>
      </w:pPr>
    </w:p>
    <w:p w14:paraId="781C22C7" w14:textId="77777777" w:rsidR="000F7AFE" w:rsidRDefault="000F7AFE" w:rsidP="00E763DA">
      <w:pPr>
        <w:pStyle w:val="Normal1"/>
        <w:rPr>
          <w:b/>
          <w:sz w:val="36"/>
          <w:szCs w:val="36"/>
        </w:rPr>
      </w:pPr>
    </w:p>
    <w:p w14:paraId="61531AA2" w14:textId="411ECCD7" w:rsidR="00A13D1A" w:rsidRDefault="00A13D1A">
      <w:pPr>
        <w:pStyle w:val="Normal1"/>
        <w:jc w:val="center"/>
        <w:rPr>
          <w:b/>
          <w:sz w:val="36"/>
          <w:szCs w:val="36"/>
        </w:rPr>
      </w:pPr>
      <w:r>
        <w:rPr>
          <w:b/>
          <w:sz w:val="36"/>
          <w:szCs w:val="36"/>
        </w:rPr>
        <w:t>Mircea Marian Manolache</w:t>
      </w:r>
    </w:p>
    <w:p w14:paraId="6A6F206E" w14:textId="5128C6DC" w:rsidR="000F7AFE" w:rsidRDefault="0061679D" w:rsidP="00E763DA">
      <w:pPr>
        <w:pStyle w:val="Normal1"/>
        <w:jc w:val="center"/>
        <w:rPr>
          <w:b/>
          <w:sz w:val="36"/>
          <w:szCs w:val="36"/>
        </w:rPr>
      </w:pPr>
      <w:r>
        <w:rPr>
          <w:b/>
          <w:sz w:val="36"/>
          <w:szCs w:val="36"/>
        </w:rPr>
        <w:t>Student ID:2029</w:t>
      </w:r>
      <w:r w:rsidR="00E763DA">
        <w:rPr>
          <w:b/>
          <w:sz w:val="36"/>
          <w:szCs w:val="36"/>
        </w:rPr>
        <w:t>078</w:t>
      </w:r>
    </w:p>
    <w:p w14:paraId="443C0AC8" w14:textId="77777777" w:rsidR="000F7AFE" w:rsidRDefault="00E763DA">
      <w:pPr>
        <w:pStyle w:val="Normal1"/>
        <w:jc w:val="center"/>
        <w:rPr>
          <w:b/>
          <w:sz w:val="36"/>
          <w:szCs w:val="36"/>
        </w:rPr>
      </w:pPr>
      <w:r>
        <w:rPr>
          <w:b/>
          <w:sz w:val="36"/>
          <w:szCs w:val="36"/>
        </w:rPr>
        <w:t>International Financial Management</w:t>
      </w:r>
    </w:p>
    <w:p w14:paraId="4E7666EF" w14:textId="2461B473" w:rsidR="000F7AFE" w:rsidRDefault="00E763DA">
      <w:pPr>
        <w:pStyle w:val="Normal1"/>
        <w:jc w:val="center"/>
        <w:rPr>
          <w:b/>
          <w:sz w:val="32"/>
          <w:szCs w:val="32"/>
        </w:rPr>
      </w:pPr>
      <w:r>
        <w:rPr>
          <w:b/>
          <w:sz w:val="32"/>
          <w:szCs w:val="32"/>
        </w:rPr>
        <w:t xml:space="preserve">LCBB </w:t>
      </w:r>
      <w:r>
        <w:rPr>
          <w:b/>
          <w:sz w:val="32"/>
          <w:szCs w:val="32"/>
        </w:rPr>
        <w:t>6002</w:t>
      </w:r>
    </w:p>
    <w:p w14:paraId="2F57B538" w14:textId="77777777" w:rsidR="000F7AFE" w:rsidRDefault="00E763DA">
      <w:pPr>
        <w:pStyle w:val="Normal1"/>
        <w:jc w:val="center"/>
        <w:rPr>
          <w:b/>
          <w:sz w:val="32"/>
          <w:szCs w:val="32"/>
        </w:rPr>
      </w:pPr>
      <w:r>
        <w:br w:type="page"/>
      </w:r>
    </w:p>
    <w:p w14:paraId="52CFE961" w14:textId="77777777" w:rsidR="000F7AFE" w:rsidRDefault="00E763DA">
      <w:pPr>
        <w:pStyle w:val="Normal1"/>
        <w:jc w:val="center"/>
      </w:pPr>
      <w:r>
        <w:rPr>
          <w:b/>
        </w:rPr>
        <w:lastRenderedPageBreak/>
        <w:t xml:space="preserve">Table of content </w:t>
      </w:r>
    </w:p>
    <w:sdt>
      <w:sdtPr>
        <w:id w:val="108210310"/>
        <w:docPartObj>
          <w:docPartGallery w:val="Table of Contents"/>
          <w:docPartUnique/>
        </w:docPartObj>
      </w:sdtPr>
      <w:sdtEndPr/>
      <w:sdtContent>
        <w:p w14:paraId="0D390562" w14:textId="77777777" w:rsidR="000F7AFE" w:rsidRDefault="00E763DA">
          <w:pPr>
            <w:pStyle w:val="Normal1"/>
            <w:widowControl w:val="0"/>
            <w:tabs>
              <w:tab w:val="right" w:leader="dot" w:pos="1200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xwpuovakj61j">
            <w:r>
              <w:rPr>
                <w:b/>
                <w:color w:val="000000"/>
              </w:rPr>
              <w:t>Introduction</w:t>
            </w:r>
            <w:r>
              <w:rPr>
                <w:b/>
                <w:color w:val="000000"/>
              </w:rPr>
              <w:tab/>
              <w:t>3</w:t>
            </w:r>
          </w:hyperlink>
        </w:p>
        <w:p w14:paraId="5F903D97" w14:textId="77777777" w:rsidR="000F7AFE" w:rsidRDefault="00E763DA">
          <w:pPr>
            <w:pStyle w:val="Normal1"/>
            <w:widowControl w:val="0"/>
            <w:tabs>
              <w:tab w:val="right" w:leader="dot" w:pos="12000"/>
            </w:tabs>
            <w:spacing w:before="60"/>
            <w:jc w:val="left"/>
            <w:rPr>
              <w:b/>
              <w:color w:val="000000"/>
            </w:rPr>
          </w:pPr>
          <w:hyperlink w:anchor="_satqfzvs9qxq">
            <w:r>
              <w:rPr>
                <w:b/>
                <w:color w:val="000000"/>
              </w:rPr>
              <w:t>Main body</w:t>
            </w:r>
            <w:r>
              <w:rPr>
                <w:b/>
                <w:color w:val="000000"/>
              </w:rPr>
              <w:tab/>
              <w:t>3</w:t>
            </w:r>
          </w:hyperlink>
        </w:p>
        <w:p w14:paraId="3B97C484" w14:textId="77777777" w:rsidR="000F7AFE" w:rsidRDefault="00E763DA">
          <w:pPr>
            <w:pStyle w:val="Normal1"/>
            <w:widowControl w:val="0"/>
            <w:tabs>
              <w:tab w:val="right" w:leader="dot" w:pos="12000"/>
            </w:tabs>
            <w:spacing w:before="60"/>
            <w:ind w:left="360"/>
            <w:jc w:val="left"/>
            <w:rPr>
              <w:color w:val="000000"/>
            </w:rPr>
          </w:pPr>
          <w:hyperlink w:anchor="_4matcbzeiga1">
            <w:r>
              <w:rPr>
                <w:color w:val="000000"/>
              </w:rPr>
              <w:t>International Financial Management</w:t>
            </w:r>
            <w:r>
              <w:rPr>
                <w:color w:val="000000"/>
              </w:rPr>
              <w:tab/>
              <w:t>3</w:t>
            </w:r>
          </w:hyperlink>
        </w:p>
        <w:p w14:paraId="485ABCB1" w14:textId="77777777" w:rsidR="000F7AFE" w:rsidRDefault="00E763DA">
          <w:pPr>
            <w:pStyle w:val="Normal1"/>
            <w:widowControl w:val="0"/>
            <w:tabs>
              <w:tab w:val="right" w:leader="dot" w:pos="12000"/>
            </w:tabs>
            <w:spacing w:before="60"/>
            <w:ind w:left="360"/>
            <w:jc w:val="left"/>
            <w:rPr>
              <w:color w:val="000000"/>
            </w:rPr>
          </w:pPr>
          <w:hyperlink w:anchor="_bbq0u2mll61i">
            <w:r>
              <w:rPr>
                <w:color w:val="000000"/>
              </w:rPr>
              <w:t>Different IFM theories</w:t>
            </w:r>
            <w:r>
              <w:rPr>
                <w:color w:val="000000"/>
              </w:rPr>
              <w:tab/>
              <w:t>3</w:t>
            </w:r>
          </w:hyperlink>
        </w:p>
        <w:p w14:paraId="5C05A9BE" w14:textId="77777777" w:rsidR="000F7AFE" w:rsidRDefault="00E763DA">
          <w:pPr>
            <w:pStyle w:val="Normal1"/>
            <w:widowControl w:val="0"/>
            <w:tabs>
              <w:tab w:val="right" w:leader="dot" w:pos="12000"/>
            </w:tabs>
            <w:spacing w:before="60"/>
            <w:ind w:left="360"/>
            <w:jc w:val="left"/>
            <w:rPr>
              <w:color w:val="000000"/>
            </w:rPr>
          </w:pPr>
          <w:hyperlink w:anchor="_i31ww9ozg9l7">
            <w:r>
              <w:rPr>
                <w:color w:val="000000"/>
              </w:rPr>
              <w:t>Foreign exchange risk</w:t>
            </w:r>
            <w:r>
              <w:rPr>
                <w:color w:val="000000"/>
              </w:rPr>
              <w:tab/>
              <w:t>4</w:t>
            </w:r>
          </w:hyperlink>
        </w:p>
        <w:p w14:paraId="604DB6E3" w14:textId="77777777" w:rsidR="000F7AFE" w:rsidRDefault="00E763DA">
          <w:pPr>
            <w:pStyle w:val="Normal1"/>
            <w:widowControl w:val="0"/>
            <w:tabs>
              <w:tab w:val="right" w:leader="dot" w:pos="12000"/>
            </w:tabs>
            <w:spacing w:before="60"/>
            <w:ind w:left="360"/>
            <w:jc w:val="left"/>
            <w:rPr>
              <w:color w:val="000000"/>
            </w:rPr>
          </w:pPr>
          <w:hyperlink w:anchor="_rbjjolhmfzwz">
            <w:r>
              <w:rPr>
                <w:color w:val="000000"/>
              </w:rPr>
              <w:t>Different strategies for foreign exchange risks.</w:t>
            </w:r>
            <w:r>
              <w:rPr>
                <w:color w:val="000000"/>
              </w:rPr>
              <w:tab/>
              <w:t>5</w:t>
            </w:r>
          </w:hyperlink>
        </w:p>
        <w:p w14:paraId="206E0CA4" w14:textId="77777777" w:rsidR="000F7AFE" w:rsidRDefault="00E763DA">
          <w:pPr>
            <w:pStyle w:val="Normal1"/>
            <w:widowControl w:val="0"/>
            <w:tabs>
              <w:tab w:val="right" w:leader="dot" w:pos="12000"/>
            </w:tabs>
            <w:spacing w:before="60"/>
            <w:jc w:val="left"/>
            <w:rPr>
              <w:b/>
              <w:color w:val="000000"/>
            </w:rPr>
          </w:pPr>
          <w:hyperlink w:anchor="_frhovxhsl5wh">
            <w:r>
              <w:rPr>
                <w:b/>
                <w:color w:val="000000"/>
              </w:rPr>
              <w:t>Conclusion</w:t>
            </w:r>
            <w:r>
              <w:rPr>
                <w:b/>
                <w:color w:val="000000"/>
              </w:rPr>
              <w:tab/>
              <w:t>6</w:t>
            </w:r>
          </w:hyperlink>
        </w:p>
        <w:p w14:paraId="38E7B1D1" w14:textId="77777777" w:rsidR="000F7AFE" w:rsidRDefault="00E763DA">
          <w:pPr>
            <w:pStyle w:val="Normal1"/>
            <w:widowControl w:val="0"/>
            <w:tabs>
              <w:tab w:val="right" w:leader="dot" w:pos="12000"/>
            </w:tabs>
            <w:spacing w:before="60"/>
            <w:jc w:val="left"/>
            <w:rPr>
              <w:b/>
              <w:color w:val="000000"/>
            </w:rPr>
          </w:pPr>
          <w:hyperlink w:anchor="_puz72ae25iye">
            <w:r>
              <w:rPr>
                <w:b/>
                <w:color w:val="000000"/>
              </w:rPr>
              <w:t>References</w:t>
            </w:r>
            <w:r>
              <w:rPr>
                <w:b/>
                <w:color w:val="000000"/>
              </w:rPr>
              <w:tab/>
              <w:t>7</w:t>
            </w:r>
          </w:hyperlink>
          <w:r>
            <w:fldChar w:fldCharType="end"/>
          </w:r>
        </w:p>
      </w:sdtContent>
    </w:sdt>
    <w:p w14:paraId="2B9D6848" w14:textId="77777777" w:rsidR="000F7AFE" w:rsidRDefault="00E763DA">
      <w:pPr>
        <w:pStyle w:val="Normal1"/>
        <w:jc w:val="left"/>
        <w:rPr>
          <w:b/>
          <w:sz w:val="32"/>
          <w:szCs w:val="32"/>
        </w:rPr>
      </w:pPr>
      <w:r>
        <w:br w:type="page"/>
      </w:r>
    </w:p>
    <w:p w14:paraId="50B66553" w14:textId="77777777" w:rsidR="000F7AFE" w:rsidRDefault="00E763DA">
      <w:pPr>
        <w:pStyle w:val="Heading1"/>
        <w:spacing w:before="200" w:after="200"/>
      </w:pPr>
      <w:bookmarkStart w:id="0" w:name="_xwpuovakj61j" w:colFirst="0" w:colLast="0"/>
      <w:bookmarkEnd w:id="0"/>
      <w:r>
        <w:lastRenderedPageBreak/>
        <w:t xml:space="preserve">Introduction </w:t>
      </w:r>
    </w:p>
    <w:p w14:paraId="005A12D3" w14:textId="77777777" w:rsidR="000F7AFE" w:rsidRDefault="00E763DA">
      <w:pPr>
        <w:pStyle w:val="Normal1"/>
      </w:pPr>
      <w:r>
        <w:t>The purpose of the assignment will be to define the estimation of the IFM theories. The main purpose of the assignment will be to analyze IFM theories. The assignment will analyze the foreign exchange-based risk. The assignment will hold the part of the analysis in which the foreign exchange risk will be analyzed and the need to adopt different strategies for the multination business will be defined. The assignment will hold researchers based on the literature and findings. The assignment will give an expla</w:t>
      </w:r>
      <w:r>
        <w:t xml:space="preserve">nation based on international financial management. The assignment will also define the theories related to that. The strategies based on foreign exchange for risk management will be discussed in the assignment.  </w:t>
      </w:r>
    </w:p>
    <w:p w14:paraId="1A90CAD2" w14:textId="77777777" w:rsidR="000F7AFE" w:rsidRDefault="00E763DA">
      <w:pPr>
        <w:pStyle w:val="Heading1"/>
      </w:pPr>
      <w:bookmarkStart w:id="1" w:name="_satqfzvs9qxq" w:colFirst="0" w:colLast="0"/>
      <w:bookmarkEnd w:id="1"/>
      <w:r>
        <w:t xml:space="preserve">Main body </w:t>
      </w:r>
    </w:p>
    <w:p w14:paraId="3FC1AD89" w14:textId="77777777" w:rsidR="000F7AFE" w:rsidRDefault="00E763DA">
      <w:pPr>
        <w:pStyle w:val="Heading2"/>
      </w:pPr>
      <w:bookmarkStart w:id="2" w:name="_4matcbzeiga1" w:colFirst="0" w:colLast="0"/>
      <w:bookmarkEnd w:id="2"/>
      <w:r>
        <w:t>International Financial Management (IFM theories)</w:t>
      </w:r>
    </w:p>
    <w:p w14:paraId="042B416A" w14:textId="77777777" w:rsidR="000F7AFE" w:rsidRDefault="00E763DA">
      <w:pPr>
        <w:pStyle w:val="Normal1"/>
      </w:pPr>
      <w:r>
        <w:t xml:space="preserve">The term is the management concept that provides information related to the profession and </w:t>
      </w:r>
      <w:r>
        <w:t>knowledge skills for the process of the development of different firms. Such as financial institutes, other business international operations, and banking analysis. It also includes different information related to the management process of the financial process (</w:t>
      </w:r>
      <w:r>
        <w:rPr>
          <w:color w:val="222222"/>
        </w:rPr>
        <w:t>Shapiro and Hanouna, 2019)</w:t>
      </w:r>
      <w:r>
        <w:t xml:space="preserve">.   </w:t>
      </w:r>
    </w:p>
    <w:p w14:paraId="0A7920A1" w14:textId="77777777" w:rsidR="000F7AFE" w:rsidRDefault="00E763DA">
      <w:pPr>
        <w:pStyle w:val="Heading2"/>
      </w:pPr>
      <w:bookmarkStart w:id="3" w:name="_bbq0u2mll61i" w:colFirst="0" w:colLast="0"/>
      <w:bookmarkEnd w:id="3"/>
      <w:r>
        <w:t xml:space="preserve">Different IFM theories </w:t>
      </w:r>
    </w:p>
    <w:p w14:paraId="63E57EE7" w14:textId="77777777" w:rsidR="000F7AFE" w:rsidRDefault="00E763DA">
      <w:pPr>
        <w:pStyle w:val="Normal1"/>
      </w:pPr>
      <w:r>
        <w:t>As per the analysis, different IFM theories help in defining the information of the different financial matters. The theory has been defined below.</w:t>
      </w:r>
    </w:p>
    <w:p w14:paraId="76424985" w14:textId="77777777" w:rsidR="000F7AFE" w:rsidRDefault="00E763DA">
      <w:pPr>
        <w:pStyle w:val="Normal1"/>
        <w:rPr>
          <w:b/>
          <w:i/>
        </w:rPr>
      </w:pPr>
      <w:r>
        <w:rPr>
          <w:b/>
          <w:i/>
        </w:rPr>
        <w:t xml:space="preserve">Mundell-fleming Theory: </w:t>
      </w:r>
    </w:p>
    <w:p w14:paraId="680B58D8" w14:textId="77777777" w:rsidR="000F7AFE" w:rsidRDefault="00E763DA">
      <w:pPr>
        <w:pStyle w:val="Normal1"/>
      </w:pPr>
      <w:r>
        <w:t xml:space="preserve">As per the analysis, this theory has been used for defining the international finances of the business. This analysis of the efforts of the different policies on the economy of the country. The policies which are been analyzed by this model are the trade, fiscal, and monetary policies. This also examines the exchange rate system of the country which has been under consideration (Economy, 2023). </w:t>
      </w:r>
    </w:p>
    <w:p w14:paraId="165C351B" w14:textId="77777777" w:rsidR="000F7AFE" w:rsidRDefault="00E763DA">
      <w:pPr>
        <w:pStyle w:val="Normal1"/>
        <w:rPr>
          <w:b/>
          <w:i/>
        </w:rPr>
      </w:pPr>
      <w:r>
        <w:rPr>
          <w:b/>
          <w:i/>
        </w:rPr>
        <w:t xml:space="preserve">Purchasing power parity: </w:t>
      </w:r>
    </w:p>
    <w:p w14:paraId="6A6E1018" w14:textId="77777777" w:rsidR="000F7AFE" w:rsidRDefault="00E763DA">
      <w:pPr>
        <w:pStyle w:val="Normal1"/>
      </w:pPr>
      <w:r>
        <w:t>As per the analysis, this theory defines the conversation rate of the currency which helps in equalizing the power of purchases based on the variant currency. This also elements the difference in the level of pricing which is in between the different countries (</w:t>
      </w:r>
      <w:r>
        <w:rPr>
          <w:color w:val="222222"/>
        </w:rPr>
        <w:t>Nagayasu, 2021)</w:t>
      </w:r>
      <w:r>
        <w:t xml:space="preserve">. This theory is based on the survey which is done globy on the presence of the provinces. The </w:t>
      </w:r>
      <w:r>
        <w:lastRenderedPageBreak/>
        <w:t xml:space="preserve">theory is important for the comparison of the living standard and the growth level. This is the core that defines the determination of the exchange rate system of the country (OECD, 2023). </w:t>
      </w:r>
    </w:p>
    <w:p w14:paraId="1B6C46E8" w14:textId="77777777" w:rsidR="000F7AFE" w:rsidRDefault="00E763DA">
      <w:pPr>
        <w:pStyle w:val="Normal1"/>
        <w:rPr>
          <w:b/>
          <w:i/>
        </w:rPr>
      </w:pPr>
      <w:r>
        <w:rPr>
          <w:b/>
          <w:i/>
        </w:rPr>
        <w:t xml:space="preserve">Optimum currency area: </w:t>
      </w:r>
    </w:p>
    <w:p w14:paraId="23E8F21F" w14:textId="77777777" w:rsidR="000F7AFE" w:rsidRDefault="00E763DA">
      <w:pPr>
        <w:pStyle w:val="Normal1"/>
      </w:pPr>
      <w:r>
        <w:t>As per the analysis, this theory has also been measured in the context of the IFM. this defines the area concept which is not bounded by the context of the national borders (</w:t>
      </w:r>
      <w:r>
        <w:rPr>
          <w:color w:val="222222"/>
        </w:rPr>
        <w:t>Melvin and Norrbin, 2017)</w:t>
      </w:r>
      <w:r>
        <w:t>. The specific areas which are not been bounded based on the nation can provide the benefits of the common currency. Though theory defines the septic areas which are been termed as the geographical area. This also helps in maximizing the economic benefits for the country (</w:t>
      </w:r>
      <w:r>
        <w:rPr>
          <w:color w:val="222222"/>
        </w:rPr>
        <w:t>Cepr, 2023)</w:t>
      </w:r>
      <w:r>
        <w:t xml:space="preserve">.  </w:t>
      </w:r>
    </w:p>
    <w:p w14:paraId="3A9D5FCF" w14:textId="77777777" w:rsidR="000F7AFE" w:rsidRDefault="00E763DA">
      <w:pPr>
        <w:pStyle w:val="Heading2"/>
      </w:pPr>
      <w:bookmarkStart w:id="4" w:name="_i31ww9ozg9l7" w:colFirst="0" w:colLast="0"/>
      <w:bookmarkEnd w:id="4"/>
      <w:r>
        <w:t xml:space="preserve">Foreign exchange risk </w:t>
      </w:r>
    </w:p>
    <w:p w14:paraId="42716C27" w14:textId="77777777" w:rsidR="000F7AFE" w:rsidRDefault="00E763DA">
      <w:pPr>
        <w:pStyle w:val="Normal1"/>
        <w:rPr>
          <w:b/>
          <w:i/>
        </w:rPr>
      </w:pPr>
      <w:r>
        <w:rPr>
          <w:b/>
          <w:i/>
        </w:rPr>
        <w:t xml:space="preserve">Economic risk: </w:t>
      </w:r>
    </w:p>
    <w:p w14:paraId="144EF9D9" w14:textId="77777777" w:rsidR="000F7AFE" w:rsidRDefault="00E763DA">
      <w:pPr>
        <w:pStyle w:val="Normal1"/>
      </w:pPr>
      <w:r>
        <w:t>The term economic risk refers to the risks which are been analyzed based on the forecast risk. This risk defines the market value of the company in which the unavoidability of the exchanges for the fluctuations is been indicated. This type of risk has been formed by the condition of the macroeconomics which is government regulation and the instability on the geopolitical forms. The risks which are been based on the unavoidability for the exposers are terms to define this type of risk for the company (Corpor</w:t>
      </w:r>
      <w:r>
        <w:t xml:space="preserve">ate Finance Institute, 2023).  This type of risk is monitored with the help of the Mundell Fleming theory which helps in providing the right strategy for the government.   </w:t>
      </w:r>
    </w:p>
    <w:p w14:paraId="34D3BFF7" w14:textId="77777777" w:rsidR="000F7AFE" w:rsidRDefault="00E763DA">
      <w:pPr>
        <w:pStyle w:val="Normal1"/>
        <w:rPr>
          <w:b/>
          <w:i/>
        </w:rPr>
      </w:pPr>
      <w:r>
        <w:rPr>
          <w:b/>
          <w:i/>
        </w:rPr>
        <w:t xml:space="preserve">Translation risk: </w:t>
      </w:r>
    </w:p>
    <w:p w14:paraId="3A78412B" w14:textId="77777777" w:rsidR="000F7AFE" w:rsidRDefault="00E763DA">
      <w:pPr>
        <w:pStyle w:val="Normal1"/>
      </w:pPr>
      <w:r>
        <w:t>The risk based on the translation exposure is being defined by this risk analysis. The risks which are been faced by the company are in the form of a domestically headquartered company based in a foreign jurisdiction. In this, the domestic current of the company is been denoted by its financial performance. The translation risk is been higher when the company has big equities, assets, and liability portions. The company has the risk on the financial performance and their efficiency level more in their of ex</w:t>
      </w:r>
      <w:r>
        <w:t xml:space="preserve">change (Treasurers, 2023). This risk has been monitored by the OCA theory which helps the company provide the right measurements. </w:t>
      </w:r>
    </w:p>
    <w:p w14:paraId="3268F1AD" w14:textId="77777777" w:rsidR="000F7AFE" w:rsidRDefault="00E763DA">
      <w:pPr>
        <w:pStyle w:val="Normal1"/>
        <w:rPr>
          <w:b/>
          <w:i/>
        </w:rPr>
      </w:pPr>
      <w:r>
        <w:rPr>
          <w:b/>
          <w:i/>
        </w:rPr>
        <w:t xml:space="preserve">Transaction risk: </w:t>
      </w:r>
    </w:p>
    <w:p w14:paraId="7F0C58A1" w14:textId="77777777" w:rsidR="000F7AFE" w:rsidRDefault="00E763DA">
      <w:pPr>
        <w:pStyle w:val="Normal1"/>
      </w:pPr>
      <w:r>
        <w:t xml:space="preserve">The term risk is based on the time of the translation which is been made by the company in their monitory forms. The risks are been formed at the time of translation between the jurisdiction and the company. The risks are in the form of the exchange rate which has been measured at the time of exchange rate which has been done before the translation settlement of the company. The main risk is been explained at the time of delay in the exchange rates as well </w:t>
      </w:r>
      <w:r>
        <w:lastRenderedPageBreak/>
        <w:t xml:space="preserve">as the settlement process of the translation risk for the company. The risks are been monitored by the theory PPP which gives the company the right form of measuring the risk based on the transaction. </w:t>
      </w:r>
    </w:p>
    <w:p w14:paraId="17B11014" w14:textId="77777777" w:rsidR="000F7AFE" w:rsidRDefault="00E763DA">
      <w:pPr>
        <w:pStyle w:val="Heading2"/>
      </w:pPr>
      <w:bookmarkStart w:id="5" w:name="_rbjjolhmfzwz" w:colFirst="0" w:colLast="0"/>
      <w:bookmarkEnd w:id="5"/>
      <w:r>
        <w:t xml:space="preserve">Different strategies for foreign exchange risks. </w:t>
      </w:r>
    </w:p>
    <w:p w14:paraId="7EC27ED7" w14:textId="77777777" w:rsidR="000F7AFE" w:rsidRDefault="00E763DA">
      <w:pPr>
        <w:pStyle w:val="Normal1"/>
        <w:rPr>
          <w:b/>
          <w:i/>
        </w:rPr>
      </w:pPr>
      <w:r>
        <w:rPr>
          <w:b/>
          <w:i/>
        </w:rPr>
        <w:t xml:space="preserve">Fx risk identification: </w:t>
      </w:r>
    </w:p>
    <w:p w14:paraId="06890B6D" w14:textId="77777777" w:rsidR="000F7AFE" w:rsidRDefault="00E763DA">
      <w:pPr>
        <w:pStyle w:val="Normal1"/>
      </w:pPr>
      <w:r>
        <w:t>Foreign exchange risk is based on the translation risk. This strategy can be used by the company to identify the management of the policies which are been ensured for the company. The financial objectives are been monitored with the help of this strategy which will help the company monitor the translation risks. At the time of exchange for the company, the risk based on the financial translation of the company can be evaluated more effectively. This strategy will be used by the company to evaluate its trans</w:t>
      </w:r>
      <w:r>
        <w:t>lation risks. This is the best strategy though it also evaluates the liquidity risks of the company. This strategy evaluates the future risk for the company based on whether the company gets effective measures. This strategy will first expose where the company can get the risk of foreign exchange (Fexco, 2023). In this, the OCA theory will be used which will help in the process more effectively though it will help in the analysis of the rights of the company.  The theory will provide the best outcomes for t</w:t>
      </w:r>
      <w:r>
        <w:t>he company in the exchange of their currency. It also provides the right area for the process which helps in determining the risk (</w:t>
      </w:r>
      <w:r>
        <w:rPr>
          <w:color w:val="222222"/>
          <w:highlight w:val="white"/>
        </w:rPr>
        <w:t xml:space="preserve">Chari </w:t>
      </w:r>
      <w:r>
        <w:rPr>
          <w:i/>
          <w:color w:val="222222"/>
          <w:highlight w:val="white"/>
        </w:rPr>
        <w:t>et al.,</w:t>
      </w:r>
      <w:r>
        <w:rPr>
          <w:color w:val="222222"/>
          <w:highlight w:val="white"/>
        </w:rPr>
        <w:t xml:space="preserve"> 2020)</w:t>
      </w:r>
      <w:r>
        <w:t xml:space="preserve">. For example, Tesco the UK company ben exposed to risk which was based on their foreign exchange risk which was based on their inter-company loan. The non-GBP loan was also a foreign exchange risk for the company. From that, it can be said that the company can apply this strategy to handling its risk (Tesco Plc, 2023). </w:t>
      </w:r>
    </w:p>
    <w:p w14:paraId="5287F7E3" w14:textId="77777777" w:rsidR="000F7AFE" w:rsidRDefault="00E763DA">
      <w:pPr>
        <w:pStyle w:val="Normal1"/>
        <w:rPr>
          <w:b/>
          <w:i/>
        </w:rPr>
      </w:pPr>
      <w:r>
        <w:rPr>
          <w:b/>
          <w:i/>
        </w:rPr>
        <w:t xml:space="preserve">Forward contract: </w:t>
      </w:r>
    </w:p>
    <w:p w14:paraId="453DAE82" w14:textId="77777777" w:rsidR="000F7AFE" w:rsidRDefault="00E763DA">
      <w:pPr>
        <w:pStyle w:val="Normal1"/>
      </w:pPr>
      <w:r>
        <w:t xml:space="preserve">The strategy which is the forward contract is the term strategy that can be used by the company for the analysis of the transition risk in the company. As per the analysis, this is the effective strategy that should be implemented by the company to save their business from foreign exchange risk. However, these are customizable contracts in a derivative way in which the two companies can easily sell and buy at a lower price. With the help of this strategy, there will be a defined contract that will help the </w:t>
      </w:r>
      <w:r>
        <w:t>company have a fair value for their exchange (Corporate Finance Institute, 2023b). The PPP theory will be most effective in this which will help in the analysis of the currency for the effective forms. This theory will benefit the company in its exchange valuation. As per the analysis, this is an effective form of the strategy that can be used by the company to save itself from translation risk. The strategy will get help from the theories which help in an effective form. The company will get to be more eff</w:t>
      </w:r>
      <w:r>
        <w:t xml:space="preserve">ective and get </w:t>
      </w:r>
      <w:r>
        <w:lastRenderedPageBreak/>
        <w:t>future analysis with the help of the theory and strategy (</w:t>
      </w:r>
      <w:r>
        <w:rPr>
          <w:color w:val="222222"/>
          <w:highlight w:val="white"/>
        </w:rPr>
        <w:t>Vo and Vo, 2023)</w:t>
      </w:r>
      <w:r>
        <w:t xml:space="preserve">. For example, the exchange rates have impacted the company Sainsbury’s in which it has been noted that the value of their revue where lil a bit of a decrease at that time though the retail business has to suffer. However, with the help of the strategy, the company can save itself from foreign exchange risk (Sainsbury's, 2023).   </w:t>
      </w:r>
    </w:p>
    <w:p w14:paraId="6A5C9268" w14:textId="77777777" w:rsidR="000F7AFE" w:rsidRDefault="00E763DA">
      <w:pPr>
        <w:pStyle w:val="Normal1"/>
      </w:pPr>
      <w:r>
        <w:rPr>
          <w:b/>
          <w:i/>
        </w:rPr>
        <w:t xml:space="preserve">Currency hedging: </w:t>
      </w:r>
    </w:p>
    <w:p w14:paraId="7C69902C" w14:textId="77777777" w:rsidR="000F7AFE" w:rsidRDefault="00E763DA">
      <w:pPr>
        <w:pStyle w:val="Normal1"/>
      </w:pPr>
      <w:r>
        <w:t xml:space="preserve">The theory based on currency hedging helps in the analysis of the different currency analyses for the company. It provides the right information to the company in terms of their exchange which helps in giving the right measures to the company. The strategies based on hedging are the form of way that helps the company eliminate and minimize the risk based on the foreign exchanges for the company (RBC, 2023). These strategies will benefit the company in different forms. For this strategy, the Mundell-Fleming </w:t>
      </w:r>
      <w:r>
        <w:t>theory will be beneficial. The future policies are analyzed in these policies which will help the company in being updated related to the government intervention for their policies (</w:t>
      </w:r>
      <w:r>
        <w:rPr>
          <w:color w:val="222222"/>
          <w:highlight w:val="white"/>
        </w:rPr>
        <w:t>Enajero, 2021)</w:t>
      </w:r>
      <w:r>
        <w:t>. For example, from the analysis the Diageo company exchange management is poorer for this it can be said that the company will get more benefits in the form of having a more effective way for meaning there for exchange risk. The strategy will help the company for dealing with it (</w:t>
      </w:r>
      <w:r>
        <w:rPr>
          <w:color w:val="222222"/>
          <w:highlight w:val="white"/>
        </w:rPr>
        <w:t>Diageo, 2023)</w:t>
      </w:r>
      <w:r>
        <w:t xml:space="preserve">.  </w:t>
      </w:r>
    </w:p>
    <w:p w14:paraId="78CCD381" w14:textId="77777777" w:rsidR="000F7AFE" w:rsidRDefault="00E763DA">
      <w:pPr>
        <w:pStyle w:val="Heading1"/>
      </w:pPr>
      <w:bookmarkStart w:id="6" w:name="_frhovxhsl5wh" w:colFirst="0" w:colLast="0"/>
      <w:bookmarkEnd w:id="6"/>
      <w:r>
        <w:t>Conclusion</w:t>
      </w:r>
    </w:p>
    <w:p w14:paraId="64DAEEE0" w14:textId="77777777" w:rsidR="000F7AFE" w:rsidRDefault="00E763DA">
      <w:pPr>
        <w:pStyle w:val="Normal1"/>
      </w:pPr>
      <w:r>
        <w:t xml:space="preserve">The assignment concludes the effective form of the analysis which was been based on the IFM. The assignment holds the explanation based on the IFM. The assignment defines the different theories that analyze the effective IFM. The assignment also holds the foreign exchange risk which was been analyzed nad ben defined. The assignment holds the different strategies for measuring foreign exchange risk.  </w:t>
      </w:r>
    </w:p>
    <w:p w14:paraId="3E0B00AF" w14:textId="77777777" w:rsidR="000F7AFE" w:rsidRDefault="00E763DA">
      <w:pPr>
        <w:pStyle w:val="Normal1"/>
        <w:rPr>
          <w:b/>
        </w:rPr>
      </w:pPr>
      <w:r>
        <w:br w:type="page"/>
      </w:r>
    </w:p>
    <w:p w14:paraId="47261656" w14:textId="77777777" w:rsidR="000F7AFE" w:rsidRDefault="00E763DA">
      <w:pPr>
        <w:pStyle w:val="Heading1"/>
      </w:pPr>
      <w:bookmarkStart w:id="7" w:name="_puz72ae25iye" w:colFirst="0" w:colLast="0"/>
      <w:bookmarkEnd w:id="7"/>
      <w:r>
        <w:lastRenderedPageBreak/>
        <w:t>References</w:t>
      </w:r>
    </w:p>
    <w:p w14:paraId="237D9F1B" w14:textId="77777777" w:rsidR="00EA5DC6" w:rsidRDefault="00EA5DC6">
      <w:pPr>
        <w:pStyle w:val="Normal1"/>
        <w:spacing w:before="240" w:after="240"/>
        <w:rPr>
          <w:color w:val="222222"/>
        </w:rPr>
      </w:pPr>
      <w:r>
        <w:rPr>
          <w:color w:val="222222"/>
        </w:rPr>
        <w:t xml:space="preserve">Cepr, (2023) </w:t>
      </w:r>
      <w:r>
        <w:rPr>
          <w:i/>
          <w:color w:val="222222"/>
        </w:rPr>
        <w:t>Time-series and cross-section information in affine term ... - CEPR</w:t>
      </w:r>
      <w:r>
        <w:rPr>
          <w:color w:val="222222"/>
        </w:rPr>
        <w:t xml:space="preserve">. Available at: https://repec.cepr.org/repec/cpr/ceprdp/DP2065.pdf (Accessed: 22 December 2023). </w:t>
      </w:r>
    </w:p>
    <w:p w14:paraId="254DA2E1" w14:textId="77777777" w:rsidR="00EA5DC6" w:rsidRDefault="00EA5DC6">
      <w:pPr>
        <w:pStyle w:val="Normal1"/>
      </w:pPr>
      <w:r>
        <w:rPr>
          <w:color w:val="222222"/>
          <w:highlight w:val="white"/>
        </w:rPr>
        <w:t xml:space="preserve">Chari, V.V., Dovis, A. and Kehoe, P.J., (2020). Rethinking optimal currency areas. </w:t>
      </w:r>
      <w:r>
        <w:rPr>
          <w:i/>
          <w:color w:val="222222"/>
          <w:highlight w:val="white"/>
        </w:rPr>
        <w:t>Journal of Monetary Economics</w:t>
      </w:r>
      <w:r>
        <w:rPr>
          <w:color w:val="222222"/>
          <w:highlight w:val="white"/>
        </w:rPr>
        <w:t xml:space="preserve">, </w:t>
      </w:r>
      <w:r>
        <w:rPr>
          <w:i/>
          <w:color w:val="222222"/>
          <w:highlight w:val="white"/>
        </w:rPr>
        <w:t>111</w:t>
      </w:r>
      <w:r>
        <w:rPr>
          <w:color w:val="222222"/>
          <w:highlight w:val="white"/>
        </w:rPr>
        <w:t xml:space="preserve">, pp.80-94. </w:t>
      </w:r>
      <w:r>
        <w:t xml:space="preserve"> </w:t>
      </w:r>
      <w:hyperlink r:id="rId7">
        <w:r>
          <w:rPr>
            <w:color w:val="1155CC"/>
            <w:u w:val="single"/>
          </w:rPr>
          <w:t>https://www.sciencedirect.com/science/article/pii/S0304393218300849</w:t>
        </w:r>
      </w:hyperlink>
      <w:r>
        <w:t xml:space="preserve">  </w:t>
      </w:r>
    </w:p>
    <w:p w14:paraId="2E6E63F0" w14:textId="77777777" w:rsidR="00EA5DC6" w:rsidRDefault="00EA5DC6">
      <w:pPr>
        <w:pStyle w:val="Normal1"/>
        <w:spacing w:before="240" w:after="240"/>
      </w:pPr>
      <w:r>
        <w:t xml:space="preserve">Corporate Finance Institute, (2023) </w:t>
      </w:r>
      <w:r>
        <w:rPr>
          <w:i/>
        </w:rPr>
        <w:t>Foreign Exchange Risk</w:t>
      </w:r>
      <w:r>
        <w:t xml:space="preserve">, </w:t>
      </w:r>
      <w:r>
        <w:rPr>
          <w:i/>
        </w:rPr>
        <w:t>Corporate Finance Institute</w:t>
      </w:r>
      <w:r>
        <w:t xml:space="preserve">. Available at: https://corporatefinanceinstitute.com/resources/foreign-exchange/foreign-exchange-risk/ (Accessed: 22 December 2023). </w:t>
      </w:r>
    </w:p>
    <w:p w14:paraId="5BFCABA1" w14:textId="77777777" w:rsidR="00EA5DC6" w:rsidRDefault="00EA5DC6">
      <w:pPr>
        <w:pStyle w:val="Normal1"/>
        <w:spacing w:before="240" w:after="240"/>
      </w:pPr>
      <w:r>
        <w:t xml:space="preserve">Corporate Finance Institute, (2023b) </w:t>
      </w:r>
      <w:r>
        <w:rPr>
          <w:i/>
        </w:rPr>
        <w:t>Forward price</w:t>
      </w:r>
      <w:r>
        <w:t xml:space="preserve">, </w:t>
      </w:r>
      <w:r>
        <w:rPr>
          <w:i/>
        </w:rPr>
        <w:t>Corporate Finance Institute</w:t>
      </w:r>
      <w:r>
        <w:t xml:space="preserve">. Available at: https://corporatefinanceinstitute.com/resources/derivatives/forward-price/ (Accessed: 22 December 2023). </w:t>
      </w:r>
    </w:p>
    <w:p w14:paraId="0751173C" w14:textId="77777777" w:rsidR="00EA5DC6" w:rsidRDefault="00EA5DC6">
      <w:pPr>
        <w:pStyle w:val="Normal1"/>
        <w:spacing w:before="240" w:after="240"/>
        <w:rPr>
          <w:color w:val="222222"/>
          <w:highlight w:val="white"/>
        </w:rPr>
      </w:pPr>
      <w:r>
        <w:rPr>
          <w:color w:val="222222"/>
          <w:highlight w:val="white"/>
        </w:rPr>
        <w:t xml:space="preserve">Diageo, (2023) </w:t>
      </w:r>
      <w:r>
        <w:rPr>
          <w:i/>
          <w:color w:val="222222"/>
          <w:highlight w:val="white"/>
        </w:rPr>
        <w:t>Risk management</w:t>
      </w:r>
      <w:r>
        <w:rPr>
          <w:color w:val="222222"/>
          <w:highlight w:val="white"/>
        </w:rPr>
        <w:t xml:space="preserve">, </w:t>
      </w:r>
      <w:r>
        <w:rPr>
          <w:i/>
          <w:color w:val="222222"/>
          <w:highlight w:val="white"/>
        </w:rPr>
        <w:t>www.diageo.com</w:t>
      </w:r>
      <w:r>
        <w:rPr>
          <w:color w:val="222222"/>
          <w:highlight w:val="white"/>
        </w:rPr>
        <w:t xml:space="preserve">. Available at: https://www.diageo.com/en/our-business/corporate-governance/risk-management (Accessed: 22 December 2023). </w:t>
      </w:r>
    </w:p>
    <w:p w14:paraId="4CF500CF" w14:textId="77777777" w:rsidR="00EA5DC6" w:rsidRDefault="00EA5DC6">
      <w:pPr>
        <w:pStyle w:val="Normal1"/>
        <w:spacing w:before="240" w:after="240"/>
      </w:pPr>
      <w:r>
        <w:t xml:space="preserve">Economy, (2023) </w:t>
      </w:r>
      <w:r>
        <w:rPr>
          <w:i/>
        </w:rPr>
        <w:t>The Mundell Fleming model explained</w:t>
      </w:r>
      <w:r>
        <w:t xml:space="preserve">, </w:t>
      </w:r>
      <w:r>
        <w:rPr>
          <w:i/>
        </w:rPr>
        <w:t>Explained</w:t>
      </w:r>
      <w:r>
        <w:t xml:space="preserve">. Available at: https://www.dyingeconomy.com/mundell-fleming-model.html (Accessed: 22 December 2023). </w:t>
      </w:r>
    </w:p>
    <w:p w14:paraId="6E2CDEE3" w14:textId="77777777" w:rsidR="00EA5DC6" w:rsidRDefault="00EA5DC6">
      <w:pPr>
        <w:pStyle w:val="Normal1"/>
        <w:rPr>
          <w:color w:val="222222"/>
          <w:highlight w:val="white"/>
        </w:rPr>
      </w:pPr>
      <w:r>
        <w:rPr>
          <w:color w:val="222222"/>
          <w:highlight w:val="white"/>
        </w:rPr>
        <w:t xml:space="preserve">Enajero, S., (2021). Cryptocurrency, Money Demand and the Mundell-Fleming Model of International Capital Mobility. </w:t>
      </w:r>
      <w:r>
        <w:rPr>
          <w:i/>
          <w:color w:val="222222"/>
          <w:highlight w:val="white"/>
        </w:rPr>
        <w:t>Atlantic Economic Journal</w:t>
      </w:r>
      <w:r>
        <w:rPr>
          <w:color w:val="222222"/>
          <w:highlight w:val="white"/>
        </w:rPr>
        <w:t xml:space="preserve">, </w:t>
      </w:r>
      <w:r>
        <w:rPr>
          <w:i/>
          <w:color w:val="222222"/>
          <w:highlight w:val="white"/>
        </w:rPr>
        <w:t>49</w:t>
      </w:r>
      <w:r>
        <w:rPr>
          <w:color w:val="222222"/>
          <w:highlight w:val="white"/>
        </w:rPr>
        <w:t xml:space="preserve">(1), pp.57-69.  </w:t>
      </w:r>
      <w:hyperlink r:id="rId8">
        <w:r>
          <w:rPr>
            <w:color w:val="1155CC"/>
            <w:highlight w:val="white"/>
            <w:u w:val="single"/>
          </w:rPr>
          <w:t>https://link.springer.com/article/10.1007/s11293-021-09701-w</w:t>
        </w:r>
      </w:hyperlink>
      <w:r>
        <w:rPr>
          <w:color w:val="222222"/>
          <w:highlight w:val="white"/>
        </w:rPr>
        <w:t xml:space="preserve"> </w:t>
      </w:r>
    </w:p>
    <w:p w14:paraId="4A6F9490" w14:textId="77777777" w:rsidR="00EA5DC6" w:rsidRDefault="00EA5DC6">
      <w:pPr>
        <w:pStyle w:val="Normal1"/>
        <w:spacing w:before="240" w:after="240"/>
      </w:pPr>
      <w:r>
        <w:t xml:space="preserve">Fexco, (2023) </w:t>
      </w:r>
      <w:r>
        <w:rPr>
          <w:i/>
        </w:rPr>
        <w:t>How to identify foreign exchange risk: A 5 step guide for SMEs - Fexco Ireland</w:t>
      </w:r>
      <w:r>
        <w:t xml:space="preserve">, </w:t>
      </w:r>
      <w:r>
        <w:rPr>
          <w:i/>
        </w:rPr>
        <w:t>Fexco International Payments</w:t>
      </w:r>
      <w:r>
        <w:t xml:space="preserve">. Available at: https://internationalpayments.fexco.com/en-ie/news-insights/identify-foreign-exchange-risk/#:~:text=The%20first%20step%20is%20to,when%20making%20transactions%20in%20FX. (Accessed: 22 December 2023). </w:t>
      </w:r>
    </w:p>
    <w:p w14:paraId="35A339F2" w14:textId="77777777" w:rsidR="00EA5DC6" w:rsidRDefault="00EA5DC6">
      <w:pPr>
        <w:pStyle w:val="Normal1"/>
        <w:rPr>
          <w:rFonts w:ascii="Arial" w:eastAsia="Arial" w:hAnsi="Arial" w:cs="Arial"/>
          <w:color w:val="222222"/>
          <w:sz w:val="20"/>
          <w:szCs w:val="20"/>
          <w:highlight w:val="white"/>
        </w:rPr>
      </w:pPr>
      <w:r>
        <w:rPr>
          <w:color w:val="222222"/>
        </w:rPr>
        <w:t xml:space="preserve">Melvin, M. and Norrbin, S.C., (2017). </w:t>
      </w:r>
      <w:r>
        <w:rPr>
          <w:i/>
          <w:color w:val="222222"/>
        </w:rPr>
        <w:t>International money and finance</w:t>
      </w:r>
      <w:r>
        <w:rPr>
          <w:color w:val="222222"/>
        </w:rPr>
        <w:t xml:space="preserve">. Academic Press.  </w:t>
      </w:r>
      <w:hyperlink r:id="rId9" w:anchor=":~:text=The%20optimum%20currency%20area%20can,rate%20fixed%20within%20the%20area">
        <w:r>
          <w:rPr>
            <w:color w:val="1155CC"/>
            <w:u w:val="single"/>
          </w:rPr>
          <w:t>https://www.sciencedirect.com/topics/economics-econometrics-and-finance/optimum-</w:t>
        </w:r>
        <w:r>
          <w:rPr>
            <w:color w:val="1155CC"/>
            <w:u w:val="single"/>
          </w:rPr>
          <w:lastRenderedPageBreak/>
          <w:t>currency-area#:~:text=The%20optimum%20currency%20area%20can,rate%20fixed%20within%20the%20area</w:t>
        </w:r>
      </w:hyperlink>
      <w:r>
        <w:rPr>
          <w:color w:val="222222"/>
        </w:rPr>
        <w:t>.</w:t>
      </w:r>
      <w:r>
        <w:rPr>
          <w:rFonts w:ascii="Arial" w:eastAsia="Arial" w:hAnsi="Arial" w:cs="Arial"/>
          <w:color w:val="222222"/>
          <w:sz w:val="20"/>
          <w:szCs w:val="20"/>
          <w:highlight w:val="white"/>
        </w:rPr>
        <w:t xml:space="preserve"> </w:t>
      </w:r>
    </w:p>
    <w:p w14:paraId="51F2C664" w14:textId="77777777" w:rsidR="00EA5DC6" w:rsidRDefault="00EA5DC6">
      <w:pPr>
        <w:pStyle w:val="Normal1"/>
        <w:rPr>
          <w:color w:val="222222"/>
        </w:rPr>
      </w:pPr>
      <w:r>
        <w:rPr>
          <w:color w:val="222222"/>
        </w:rPr>
        <w:t xml:space="preserve">Nagayasu, J., (2021). Causal and frequency analyses of purchasing power parity. </w:t>
      </w:r>
      <w:r>
        <w:rPr>
          <w:i/>
          <w:color w:val="222222"/>
        </w:rPr>
        <w:t>Journal of International Financial Markets, Institutions and Money</w:t>
      </w:r>
      <w:r>
        <w:rPr>
          <w:color w:val="222222"/>
        </w:rPr>
        <w:t xml:space="preserve">, </w:t>
      </w:r>
      <w:r>
        <w:rPr>
          <w:i/>
          <w:color w:val="222222"/>
        </w:rPr>
        <w:t>71</w:t>
      </w:r>
      <w:r>
        <w:rPr>
          <w:color w:val="222222"/>
        </w:rPr>
        <w:t xml:space="preserve">, p.101287. </w:t>
      </w:r>
      <w:hyperlink r:id="rId10">
        <w:r>
          <w:rPr>
            <w:color w:val="1155CC"/>
            <w:u w:val="single"/>
          </w:rPr>
          <w:t>https://www.sciencedirect.com/science/article/pii/S1042443121000068</w:t>
        </w:r>
      </w:hyperlink>
      <w:r>
        <w:rPr>
          <w:color w:val="222222"/>
        </w:rPr>
        <w:t xml:space="preserve"> </w:t>
      </w:r>
    </w:p>
    <w:p w14:paraId="69B1BD1F" w14:textId="77777777" w:rsidR="00EA5DC6" w:rsidRDefault="00EA5DC6">
      <w:pPr>
        <w:pStyle w:val="Normal1"/>
        <w:spacing w:before="240" w:after="240"/>
      </w:pPr>
      <w:r>
        <w:t xml:space="preserve">OECD, (2023) </w:t>
      </w:r>
      <w:r>
        <w:rPr>
          <w:i/>
        </w:rPr>
        <w:t>Prices and purchasing power parities (PPP) - OECD</w:t>
      </w:r>
      <w:r>
        <w:t xml:space="preserve">. Available at: https://www.oecd.org/sdd/prices-ppp/ (Accessed: 22 December 2023). </w:t>
      </w:r>
    </w:p>
    <w:p w14:paraId="62B14373" w14:textId="77777777" w:rsidR="00EA5DC6" w:rsidRDefault="00EA5DC6">
      <w:pPr>
        <w:pStyle w:val="Normal1"/>
      </w:pPr>
      <w:r>
        <w:t xml:space="preserve">RBC, (2023) </w:t>
      </w:r>
      <w:r>
        <w:rPr>
          <w:i/>
        </w:rPr>
        <w:t>What is currency hedging?</w:t>
      </w:r>
      <w:r>
        <w:t xml:space="preserve"> </w:t>
      </w:r>
      <w:r>
        <w:rPr>
          <w:i/>
        </w:rPr>
        <w:t>RBC Global Asset Management</w:t>
      </w:r>
      <w:r>
        <w:t xml:space="preserve">. Available at: https://www.rbcgam.com/en/ca/learn-plan/investment-strategies/what-is-currency-hedging/detail (Accessed: 22 December 2023). </w:t>
      </w:r>
    </w:p>
    <w:p w14:paraId="45756FEA" w14:textId="77777777" w:rsidR="00EA5DC6" w:rsidRDefault="00EA5DC6">
      <w:pPr>
        <w:pStyle w:val="Normal1"/>
        <w:spacing w:before="240" w:after="240"/>
      </w:pPr>
      <w:r>
        <w:t xml:space="preserve">Sainsbury's, (2023) </w:t>
      </w:r>
      <w:r>
        <w:rPr>
          <w:i/>
        </w:rPr>
        <w:t>Do you sell travel money and where can I find more information about this?</w:t>
      </w:r>
      <w:r>
        <w:t xml:space="preserve">, </w:t>
      </w:r>
      <w:r>
        <w:rPr>
          <w:i/>
        </w:rPr>
        <w:t>Help Centre</w:t>
      </w:r>
      <w:r>
        <w:t xml:space="preserve">. Available at: https://help.sainsburys.co.uk/help/products/travel-money-bank#:~:text=Drop%20into%20one%20of%20our,Multi%2Dcurrency%20Cash%20Passport%20MasterCard. (Accessed: 22 December 2023). </w:t>
      </w:r>
    </w:p>
    <w:p w14:paraId="45533561" w14:textId="77777777" w:rsidR="00EA5DC6" w:rsidRDefault="00EA5DC6">
      <w:pPr>
        <w:pStyle w:val="Normal1"/>
      </w:pPr>
      <w:r>
        <w:rPr>
          <w:color w:val="222222"/>
        </w:rPr>
        <w:t xml:space="preserve">Shapiro, A.C. and Hanouna, P., (2019). </w:t>
      </w:r>
      <w:r>
        <w:rPr>
          <w:i/>
          <w:color w:val="222222"/>
        </w:rPr>
        <w:t>Multinational financial management</w:t>
      </w:r>
      <w:r>
        <w:rPr>
          <w:color w:val="222222"/>
        </w:rPr>
        <w:t xml:space="preserve">. John Wiley &amp; Sons. </w:t>
      </w:r>
      <w:r>
        <w:t xml:space="preserve"> </w:t>
      </w:r>
      <w:hyperlink r:id="rId11">
        <w:r>
          <w:rPr>
            <w:color w:val="1155CC"/>
            <w:u w:val="single"/>
          </w:rPr>
          <w:t>https://books.google.com/books?hl=en&amp;lr=&amp;id=gDLDDwAAQBAJ&amp;oi=fnd&amp;pg=PR19&amp;dq=International+Financial+Management+&amp;ots=hgB0upSuzy&amp;sig=XwYtLQVVyqXh5PFnCXoPGQBtnVU</w:t>
        </w:r>
      </w:hyperlink>
      <w:r>
        <w:t xml:space="preserve"> </w:t>
      </w:r>
    </w:p>
    <w:p w14:paraId="2433AE1F" w14:textId="77777777" w:rsidR="00EA5DC6" w:rsidRDefault="00EA5DC6">
      <w:pPr>
        <w:pStyle w:val="Normal1"/>
        <w:spacing w:before="240" w:after="240"/>
      </w:pPr>
      <w:r>
        <w:t xml:space="preserve">Tesco Plc, (2023) </w:t>
      </w:r>
      <w:r>
        <w:rPr>
          <w:i/>
        </w:rPr>
        <w:t>Tesco Corporate Treasury Services PLC annual report and financial ...</w:t>
      </w:r>
      <w:r>
        <w:t xml:space="preserve"> Available at: https://www.tescoplc.com/media/n0wfylqb/tesco-corporate-treasury-services-accounts-2022-signed-final.pdf (Accessed: 22 December 2023). </w:t>
      </w:r>
    </w:p>
    <w:p w14:paraId="6DAB939B" w14:textId="77777777" w:rsidR="00EA5DC6" w:rsidRDefault="00EA5DC6">
      <w:pPr>
        <w:pStyle w:val="Normal1"/>
        <w:spacing w:before="240" w:after="240"/>
      </w:pPr>
      <w:r>
        <w:t xml:space="preserve">Treasurers, (2023) </w:t>
      </w:r>
      <w:r>
        <w:rPr>
          <w:i/>
        </w:rPr>
        <w:t>Treasury Essentials: Translation Risk</w:t>
      </w:r>
      <w:r>
        <w:t xml:space="preserve">, </w:t>
      </w:r>
      <w:r>
        <w:rPr>
          <w:i/>
        </w:rPr>
        <w:t>The Association of Corporate Treasurers</w:t>
      </w:r>
      <w:r>
        <w:t xml:space="preserve">. Available at: https://www.treasurers.org/hub/treasurer-magazine/treasury-essentials-translation-risk (Accessed: 22 December 2023). </w:t>
      </w:r>
    </w:p>
    <w:p w14:paraId="3E08B881" w14:textId="49CD0B3C" w:rsidR="000F7AFE" w:rsidRPr="00EA5DC6" w:rsidRDefault="00EA5DC6">
      <w:pPr>
        <w:pStyle w:val="Normal1"/>
      </w:pPr>
      <w:r>
        <w:rPr>
          <w:color w:val="222222"/>
          <w:highlight w:val="white"/>
        </w:rPr>
        <w:t xml:space="preserve">Vo, H.L. and Vo, D.H., (2023). The purchasing power parity and exchange‐rate economics half a century on. </w:t>
      </w:r>
      <w:r>
        <w:rPr>
          <w:i/>
          <w:color w:val="222222"/>
          <w:highlight w:val="white"/>
        </w:rPr>
        <w:t>Journal of Economic Surveys</w:t>
      </w:r>
      <w:r>
        <w:rPr>
          <w:color w:val="222222"/>
          <w:highlight w:val="white"/>
        </w:rPr>
        <w:t xml:space="preserve">, </w:t>
      </w:r>
      <w:r>
        <w:rPr>
          <w:i/>
          <w:color w:val="222222"/>
          <w:highlight w:val="white"/>
        </w:rPr>
        <w:t>37</w:t>
      </w:r>
      <w:r>
        <w:rPr>
          <w:color w:val="222222"/>
          <w:highlight w:val="white"/>
        </w:rPr>
        <w:t>(2), pp.446-479.</w:t>
      </w:r>
      <w:r>
        <w:t xml:space="preserve"> </w:t>
      </w:r>
      <w:hyperlink r:id="rId12">
        <w:r>
          <w:rPr>
            <w:color w:val="1155CC"/>
            <w:u w:val="single"/>
          </w:rPr>
          <w:t>https://onlinelibrary.wiley.com/doi/abs/10.1111/joes.12504</w:t>
        </w:r>
      </w:hyperlink>
      <w:r>
        <w:t xml:space="preserve">  </w:t>
      </w:r>
    </w:p>
    <w:sectPr w:rsidR="000F7AFE" w:rsidRPr="00EA5DC6" w:rsidSect="00EA5DC6">
      <w:footerReference w:type="default" r:id="rId13"/>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47D4F" w14:textId="77777777" w:rsidR="00EF54BE" w:rsidRDefault="00EF54BE">
      <w:pPr>
        <w:spacing w:line="240" w:lineRule="auto"/>
      </w:pPr>
      <w:r>
        <w:separator/>
      </w:r>
    </w:p>
  </w:endnote>
  <w:endnote w:type="continuationSeparator" w:id="0">
    <w:p w14:paraId="6A1EAB90" w14:textId="77777777" w:rsidR="00EF54BE" w:rsidRDefault="00EF54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7E32D" w14:textId="77777777" w:rsidR="000F7AFE" w:rsidRDefault="00E763DA">
    <w:pPr>
      <w:pStyle w:val="Normal1"/>
      <w:jc w:val="right"/>
    </w:pPr>
    <w:r>
      <w:fldChar w:fldCharType="begin"/>
    </w:r>
    <w:r>
      <w:instrText>PAGE</w:instrText>
    </w:r>
    <w:r>
      <w:fldChar w:fldCharType="separate"/>
    </w:r>
    <w:r w:rsidR="00EA5DC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0D6C9" w14:textId="77777777" w:rsidR="00EF54BE" w:rsidRDefault="00EF54BE">
      <w:pPr>
        <w:spacing w:line="240" w:lineRule="auto"/>
      </w:pPr>
      <w:r>
        <w:separator/>
      </w:r>
    </w:p>
  </w:footnote>
  <w:footnote w:type="continuationSeparator" w:id="0">
    <w:p w14:paraId="217A5DC4" w14:textId="77777777" w:rsidR="00EF54BE" w:rsidRDefault="00EF54B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AFE"/>
    <w:rsid w:val="000F7AFE"/>
    <w:rsid w:val="0061679D"/>
    <w:rsid w:val="00A13D1A"/>
    <w:rsid w:val="00E763DA"/>
    <w:rsid w:val="00EA5DC6"/>
    <w:rsid w:val="00EF54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B586C0"/>
  <w15:docId w15:val="{026911DA-2FAA-4EBE-B82E-A3A3CE66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200" w:after="200"/>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1293-021-09701-w"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sciencedirect.com/science/article/pii/S0304393218300849" TargetMode="External"/><Relationship Id="rId12" Type="http://schemas.openxmlformats.org/officeDocument/2006/relationships/hyperlink" Target="https://onlinelibrary.wiley.com/doi/abs/10.1111/joes.1250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books.google.com/books?hl=en&amp;lr=&amp;id=gDLDDwAAQBAJ&amp;oi=fnd&amp;pg=PR19&amp;dq=International+Financial+Management+&amp;ots=hgB0upSuzy&amp;sig=XwYtLQVVyqXh5PFnCXoPGQBtnVU"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sciencedirect.com/science/article/pii/S1042443121000068" TargetMode="External"/><Relationship Id="rId4" Type="http://schemas.openxmlformats.org/officeDocument/2006/relationships/footnotes" Target="footnotes.xml"/><Relationship Id="rId9" Type="http://schemas.openxmlformats.org/officeDocument/2006/relationships/hyperlink" Target="https://www.sciencedirect.com/topics/economics-econometrics-and-finance/optimum-currency-are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1914</Words>
  <Characters>12691</Characters>
  <Application>Microsoft Office Word</Application>
  <DocSecurity>0</DocSecurity>
  <Lines>105</Lines>
  <Paragraphs>29</Paragraphs>
  <ScaleCrop>false</ScaleCrop>
  <Company/>
  <LinksUpToDate>false</LinksUpToDate>
  <CharactersWithSpaces>14576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mircea mano</cp:lastModifiedBy>
  <cp:revision>4</cp:revision>
  <dcterms:created xsi:type="dcterms:W3CDTF">2023-12-22T11:52:00Z</dcterms:created>
  <dcterms:modified xsi:type="dcterms:W3CDTF">2023-12-31T02:53:00Z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18ba3a8c938691a58386449ddec1cd7689dc0c1fbc97eed42219921d5c96d42b</vt:lpwstr>
  </property>
</Properties>
</file>