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99403E6" w14:textId="77777777" w:rsidR="00BE727C" w:rsidRDefault="00BE727C"/>
    <w:p w14:paraId="4A55A778" w14:textId="77777777" w:rsidR="00562FE6" w:rsidRPr="00382332" w:rsidRDefault="00562FE6" w:rsidP="009C3999">
      <w:pPr>
        <w:spacing w:line="360" w:lineRule="auto"/>
        <w:jc w:val="both"/>
        <w:rPr>
          <w:rFonts w:ascii="Arial" w:hAnsi="Arial" w:cs="Arial"/>
          <w:sz w:val="22"/>
          <w:szCs w:val="22"/>
        </w:rPr>
      </w:pPr>
    </w:p>
    <w:p w14:paraId="3FF67115" w14:textId="77777777" w:rsidR="00562FE6" w:rsidRPr="00382332" w:rsidRDefault="00562FE6" w:rsidP="009C3999">
      <w:pPr>
        <w:spacing w:line="360" w:lineRule="auto"/>
        <w:jc w:val="both"/>
        <w:rPr>
          <w:rFonts w:ascii="Arial" w:hAnsi="Arial" w:cs="Arial"/>
          <w:sz w:val="22"/>
          <w:szCs w:val="22"/>
        </w:rPr>
      </w:pPr>
      <w:r w:rsidRPr="00382332">
        <w:rPr>
          <w:rFonts w:ascii="Arial" w:hAnsi="Arial" w:cs="Arial"/>
          <w:sz w:val="22"/>
          <w:szCs w:val="22"/>
        </w:rPr>
        <w:t>Name: Jawaheer Atta</w:t>
      </w:r>
    </w:p>
    <w:p w14:paraId="6C5D1442" w14:textId="7E1F5AC2" w:rsidR="00562FE6" w:rsidRPr="00382332" w:rsidRDefault="00562FE6" w:rsidP="009C3999">
      <w:pPr>
        <w:spacing w:line="360" w:lineRule="auto"/>
        <w:jc w:val="both"/>
        <w:rPr>
          <w:rFonts w:ascii="Arial" w:hAnsi="Arial" w:cs="Arial"/>
          <w:sz w:val="22"/>
          <w:szCs w:val="22"/>
        </w:rPr>
      </w:pPr>
      <w:r w:rsidRPr="00382332">
        <w:rPr>
          <w:rFonts w:ascii="Arial" w:hAnsi="Arial" w:cs="Arial"/>
          <w:sz w:val="22"/>
          <w:szCs w:val="22"/>
        </w:rPr>
        <w:t>Student number: 223</w:t>
      </w:r>
      <w:r w:rsidR="001C178C">
        <w:rPr>
          <w:rFonts w:ascii="Arial" w:hAnsi="Arial" w:cs="Arial"/>
          <w:sz w:val="22"/>
          <w:szCs w:val="22"/>
        </w:rPr>
        <w:t>6</w:t>
      </w:r>
      <w:r w:rsidRPr="00382332">
        <w:rPr>
          <w:rFonts w:ascii="Arial" w:hAnsi="Arial" w:cs="Arial"/>
          <w:sz w:val="22"/>
          <w:szCs w:val="22"/>
        </w:rPr>
        <w:t>701</w:t>
      </w:r>
    </w:p>
    <w:p w14:paraId="49DF1BD1" w14:textId="77777777" w:rsidR="00562FE6" w:rsidRPr="00382332" w:rsidRDefault="00562FE6" w:rsidP="009C3999">
      <w:pPr>
        <w:spacing w:line="360" w:lineRule="auto"/>
        <w:jc w:val="both"/>
        <w:rPr>
          <w:rFonts w:ascii="Arial" w:hAnsi="Arial" w:cs="Arial"/>
          <w:sz w:val="22"/>
          <w:szCs w:val="22"/>
        </w:rPr>
      </w:pPr>
      <w:r w:rsidRPr="00382332">
        <w:rPr>
          <w:rFonts w:ascii="Arial" w:hAnsi="Arial" w:cs="Arial"/>
          <w:sz w:val="22"/>
          <w:szCs w:val="22"/>
        </w:rPr>
        <w:t xml:space="preserve"> Module code: </w:t>
      </w:r>
      <w:r w:rsidRPr="00382332">
        <w:rPr>
          <w:rFonts w:ascii="Arial" w:hAnsi="Arial" w:cs="Arial"/>
          <w:bCs/>
          <w:sz w:val="22"/>
          <w:szCs w:val="22"/>
        </w:rPr>
        <w:t>BMHP5016</w:t>
      </w:r>
    </w:p>
    <w:p w14:paraId="0F3AF3E0" w14:textId="77777777" w:rsidR="00562FE6" w:rsidRPr="00382332" w:rsidRDefault="00562FE6" w:rsidP="009C3999">
      <w:pPr>
        <w:spacing w:before="120" w:after="120" w:line="360" w:lineRule="auto"/>
        <w:jc w:val="both"/>
        <w:rPr>
          <w:rFonts w:ascii="Arial" w:hAnsi="Arial" w:cs="Arial"/>
          <w:b/>
          <w:sz w:val="22"/>
          <w:szCs w:val="22"/>
        </w:rPr>
      </w:pPr>
      <w:r w:rsidRPr="00382332">
        <w:rPr>
          <w:rFonts w:ascii="Arial" w:hAnsi="Arial" w:cs="Arial"/>
          <w:sz w:val="22"/>
          <w:szCs w:val="22"/>
        </w:rPr>
        <w:t xml:space="preserve">Module title: </w:t>
      </w:r>
      <w:r w:rsidRPr="00382332">
        <w:rPr>
          <w:rFonts w:ascii="Arial" w:hAnsi="Arial" w:cs="Arial"/>
          <w:bCs/>
          <w:sz w:val="22"/>
          <w:szCs w:val="22"/>
        </w:rPr>
        <w:t>Principles of Health and Social Care Practice</w:t>
      </w:r>
    </w:p>
    <w:p w14:paraId="63AA8EC5" w14:textId="77777777" w:rsidR="00562FE6" w:rsidRPr="00382332" w:rsidRDefault="00562FE6" w:rsidP="009C3999">
      <w:pPr>
        <w:spacing w:line="360" w:lineRule="auto"/>
        <w:jc w:val="both"/>
        <w:rPr>
          <w:rFonts w:ascii="Arial" w:hAnsi="Arial" w:cs="Arial"/>
          <w:sz w:val="22"/>
          <w:szCs w:val="22"/>
        </w:rPr>
      </w:pPr>
      <w:r w:rsidRPr="00382332">
        <w:rPr>
          <w:rFonts w:ascii="Arial" w:hAnsi="Arial" w:cs="Arial"/>
          <w:sz w:val="22"/>
          <w:szCs w:val="22"/>
        </w:rPr>
        <w:t>Lecturer’s name:</w:t>
      </w:r>
      <w:r w:rsidRPr="00382332">
        <w:rPr>
          <w:rFonts w:ascii="Arial" w:hAnsi="Arial" w:cs="Arial"/>
          <w:color w:val="1D2125"/>
          <w:sz w:val="22"/>
          <w:szCs w:val="22"/>
          <w:shd w:val="clear" w:color="auto" w:fill="FFFFFF"/>
        </w:rPr>
        <w:t xml:space="preserve"> </w:t>
      </w:r>
      <w:r w:rsidRPr="00382332">
        <w:rPr>
          <w:rFonts w:ascii="Arial" w:hAnsi="Arial" w:cs="Arial"/>
          <w:sz w:val="22"/>
          <w:szCs w:val="22"/>
        </w:rPr>
        <w:t>Rizwan Nadim</w:t>
      </w:r>
    </w:p>
    <w:p w14:paraId="213416D3" w14:textId="00EE3E5D" w:rsidR="00562FE6" w:rsidRPr="00382332" w:rsidRDefault="00562FE6" w:rsidP="57F60AE8">
      <w:pPr>
        <w:spacing w:line="360" w:lineRule="auto"/>
        <w:jc w:val="both"/>
        <w:rPr>
          <w:rFonts w:ascii="Arial" w:hAnsi="Arial" w:cs="Arial"/>
          <w:sz w:val="22"/>
          <w:szCs w:val="22"/>
        </w:rPr>
      </w:pPr>
      <w:r w:rsidRPr="57F60AE8">
        <w:rPr>
          <w:rFonts w:ascii="Arial" w:hAnsi="Arial" w:cs="Arial"/>
          <w:sz w:val="22"/>
          <w:szCs w:val="22"/>
        </w:rPr>
        <w:t xml:space="preserve"> Assignment title: Component 2: </w:t>
      </w:r>
      <w:r w:rsidR="199A385D" w:rsidRPr="57F60AE8">
        <w:rPr>
          <w:rFonts w:ascii="Arial" w:hAnsi="Arial" w:cs="Arial"/>
          <w:sz w:val="22"/>
          <w:szCs w:val="22"/>
        </w:rPr>
        <w:t>Written report</w:t>
      </w:r>
      <w:r w:rsidRPr="57F60AE8">
        <w:rPr>
          <w:rFonts w:ascii="Arial" w:hAnsi="Arial" w:cs="Arial"/>
          <w:sz w:val="22"/>
          <w:szCs w:val="22"/>
        </w:rPr>
        <w:t xml:space="preserve"> Assignment </w:t>
      </w:r>
    </w:p>
    <w:p w14:paraId="6887FC45" w14:textId="77777777" w:rsidR="00C75F80" w:rsidRPr="00382332" w:rsidRDefault="00C75F80" w:rsidP="009C3999">
      <w:pPr>
        <w:spacing w:line="360" w:lineRule="auto"/>
        <w:jc w:val="both"/>
        <w:rPr>
          <w:rFonts w:ascii="Arial" w:hAnsi="Arial" w:cs="Arial"/>
          <w:bCs/>
          <w:sz w:val="22"/>
          <w:szCs w:val="22"/>
        </w:rPr>
      </w:pPr>
    </w:p>
    <w:p w14:paraId="607E5717" w14:textId="77777777" w:rsidR="00C75F80" w:rsidRPr="00382332" w:rsidRDefault="00C75F80" w:rsidP="009C3999">
      <w:pPr>
        <w:spacing w:line="360" w:lineRule="auto"/>
        <w:jc w:val="both"/>
        <w:rPr>
          <w:rFonts w:ascii="Arial" w:hAnsi="Arial" w:cs="Arial"/>
          <w:bCs/>
          <w:sz w:val="22"/>
          <w:szCs w:val="22"/>
        </w:rPr>
      </w:pPr>
    </w:p>
    <w:p w14:paraId="4D817D2A" w14:textId="77777777" w:rsidR="00C75F80" w:rsidRPr="00382332" w:rsidRDefault="00C75F80" w:rsidP="009C3999">
      <w:pPr>
        <w:spacing w:line="360" w:lineRule="auto"/>
        <w:jc w:val="both"/>
        <w:rPr>
          <w:rFonts w:ascii="Arial" w:hAnsi="Arial" w:cs="Arial"/>
          <w:bCs/>
          <w:sz w:val="22"/>
          <w:szCs w:val="22"/>
        </w:rPr>
      </w:pPr>
    </w:p>
    <w:p w14:paraId="7F042BEC" w14:textId="77777777" w:rsidR="00C75F80" w:rsidRPr="00382332" w:rsidRDefault="00C75F80" w:rsidP="009C3999">
      <w:pPr>
        <w:spacing w:line="360" w:lineRule="auto"/>
        <w:jc w:val="both"/>
        <w:rPr>
          <w:rFonts w:ascii="Arial" w:hAnsi="Arial" w:cs="Arial"/>
          <w:bCs/>
          <w:sz w:val="22"/>
          <w:szCs w:val="22"/>
        </w:rPr>
      </w:pPr>
    </w:p>
    <w:p w14:paraId="0E3EC1CC" w14:textId="77777777" w:rsidR="00C75F80" w:rsidRPr="00382332" w:rsidRDefault="00C75F80" w:rsidP="009C3999">
      <w:pPr>
        <w:spacing w:line="360" w:lineRule="auto"/>
        <w:jc w:val="both"/>
        <w:rPr>
          <w:rFonts w:ascii="Arial" w:hAnsi="Arial" w:cs="Arial"/>
          <w:bCs/>
          <w:sz w:val="22"/>
          <w:szCs w:val="22"/>
        </w:rPr>
      </w:pPr>
    </w:p>
    <w:p w14:paraId="6A6B742F" w14:textId="77777777" w:rsidR="00C75F80" w:rsidRPr="00382332" w:rsidRDefault="00C75F80" w:rsidP="009C3999">
      <w:pPr>
        <w:spacing w:line="360" w:lineRule="auto"/>
        <w:jc w:val="both"/>
        <w:rPr>
          <w:rFonts w:ascii="Arial" w:hAnsi="Arial" w:cs="Arial"/>
          <w:bCs/>
          <w:sz w:val="22"/>
          <w:szCs w:val="22"/>
        </w:rPr>
      </w:pPr>
    </w:p>
    <w:p w14:paraId="5A56E4B7" w14:textId="77777777" w:rsidR="00C75F80" w:rsidRPr="00382332" w:rsidRDefault="00C75F80" w:rsidP="009C3999">
      <w:pPr>
        <w:spacing w:line="360" w:lineRule="auto"/>
        <w:jc w:val="both"/>
        <w:rPr>
          <w:rFonts w:ascii="Arial" w:hAnsi="Arial" w:cs="Arial"/>
          <w:bCs/>
          <w:sz w:val="22"/>
          <w:szCs w:val="22"/>
        </w:rPr>
      </w:pPr>
    </w:p>
    <w:p w14:paraId="22F0B5DF" w14:textId="77777777" w:rsidR="00C75F80" w:rsidRPr="00382332" w:rsidRDefault="00C75F80" w:rsidP="009C3999">
      <w:pPr>
        <w:spacing w:line="360" w:lineRule="auto"/>
        <w:jc w:val="both"/>
        <w:rPr>
          <w:rFonts w:ascii="Arial" w:hAnsi="Arial" w:cs="Arial"/>
          <w:bCs/>
          <w:sz w:val="22"/>
          <w:szCs w:val="22"/>
        </w:rPr>
      </w:pPr>
    </w:p>
    <w:p w14:paraId="02C87207" w14:textId="77777777" w:rsidR="00C75F80" w:rsidRPr="00382332" w:rsidRDefault="00C75F80" w:rsidP="009C3999">
      <w:pPr>
        <w:spacing w:line="360" w:lineRule="auto"/>
        <w:jc w:val="both"/>
        <w:rPr>
          <w:rFonts w:ascii="Arial" w:hAnsi="Arial" w:cs="Arial"/>
          <w:bCs/>
          <w:sz w:val="22"/>
          <w:szCs w:val="22"/>
        </w:rPr>
      </w:pPr>
    </w:p>
    <w:p w14:paraId="30CA8E01" w14:textId="77777777" w:rsidR="00C75F80" w:rsidRPr="00382332" w:rsidRDefault="00C75F80" w:rsidP="009C3999">
      <w:pPr>
        <w:spacing w:line="360" w:lineRule="auto"/>
        <w:jc w:val="both"/>
        <w:rPr>
          <w:rFonts w:ascii="Arial" w:hAnsi="Arial" w:cs="Arial"/>
          <w:bCs/>
          <w:sz w:val="22"/>
          <w:szCs w:val="22"/>
        </w:rPr>
      </w:pPr>
    </w:p>
    <w:p w14:paraId="266E346E" w14:textId="77777777" w:rsidR="00C75F80" w:rsidRPr="00382332" w:rsidRDefault="00C75F80" w:rsidP="009C3999">
      <w:pPr>
        <w:spacing w:line="360" w:lineRule="auto"/>
        <w:jc w:val="both"/>
        <w:rPr>
          <w:rFonts w:ascii="Arial" w:hAnsi="Arial" w:cs="Arial"/>
          <w:bCs/>
          <w:sz w:val="22"/>
          <w:szCs w:val="22"/>
        </w:rPr>
      </w:pPr>
    </w:p>
    <w:p w14:paraId="21542211" w14:textId="77777777" w:rsidR="00C75F80" w:rsidRPr="00382332" w:rsidRDefault="00C75F80" w:rsidP="009C3999">
      <w:pPr>
        <w:spacing w:line="360" w:lineRule="auto"/>
        <w:jc w:val="both"/>
        <w:rPr>
          <w:rFonts w:ascii="Arial" w:hAnsi="Arial" w:cs="Arial"/>
          <w:bCs/>
          <w:sz w:val="22"/>
          <w:szCs w:val="22"/>
        </w:rPr>
      </w:pPr>
    </w:p>
    <w:p w14:paraId="5926EDDB" w14:textId="77777777" w:rsidR="00C75F80" w:rsidRPr="00382332" w:rsidRDefault="00C75F80" w:rsidP="009C3999">
      <w:pPr>
        <w:spacing w:line="360" w:lineRule="auto"/>
        <w:jc w:val="both"/>
        <w:rPr>
          <w:rFonts w:ascii="Arial" w:hAnsi="Arial" w:cs="Arial"/>
          <w:bCs/>
          <w:sz w:val="22"/>
          <w:szCs w:val="22"/>
        </w:rPr>
      </w:pPr>
    </w:p>
    <w:p w14:paraId="5405730D" w14:textId="77777777" w:rsidR="00C75F80" w:rsidRPr="00382332" w:rsidRDefault="00C75F80" w:rsidP="009C3999">
      <w:pPr>
        <w:spacing w:line="360" w:lineRule="auto"/>
        <w:jc w:val="both"/>
        <w:rPr>
          <w:rFonts w:ascii="Arial" w:hAnsi="Arial" w:cs="Arial"/>
          <w:bCs/>
          <w:sz w:val="22"/>
          <w:szCs w:val="22"/>
        </w:rPr>
      </w:pPr>
    </w:p>
    <w:p w14:paraId="6CF8CCFB" w14:textId="77777777" w:rsidR="00C75F80" w:rsidRPr="00382332" w:rsidRDefault="00C75F80" w:rsidP="009C3999">
      <w:pPr>
        <w:spacing w:line="360" w:lineRule="auto"/>
        <w:jc w:val="both"/>
        <w:rPr>
          <w:rFonts w:ascii="Arial" w:hAnsi="Arial" w:cs="Arial"/>
          <w:bCs/>
          <w:sz w:val="22"/>
          <w:szCs w:val="22"/>
        </w:rPr>
      </w:pPr>
    </w:p>
    <w:p w14:paraId="71B55D3A" w14:textId="77777777" w:rsidR="00C75F80" w:rsidRPr="00382332" w:rsidRDefault="00C75F80" w:rsidP="009C3999">
      <w:pPr>
        <w:spacing w:line="360" w:lineRule="auto"/>
        <w:jc w:val="both"/>
        <w:rPr>
          <w:rFonts w:ascii="Arial" w:hAnsi="Arial" w:cs="Arial"/>
          <w:bCs/>
          <w:sz w:val="22"/>
          <w:szCs w:val="22"/>
        </w:rPr>
      </w:pPr>
    </w:p>
    <w:p w14:paraId="38005BC4" w14:textId="77777777" w:rsidR="00C75F80" w:rsidRPr="00382332" w:rsidRDefault="00C75F80" w:rsidP="009C3999">
      <w:pPr>
        <w:spacing w:line="360" w:lineRule="auto"/>
        <w:jc w:val="both"/>
        <w:rPr>
          <w:rFonts w:ascii="Arial" w:hAnsi="Arial" w:cs="Arial"/>
          <w:bCs/>
          <w:sz w:val="22"/>
          <w:szCs w:val="22"/>
        </w:rPr>
      </w:pPr>
    </w:p>
    <w:p w14:paraId="5AB6E92E" w14:textId="77777777" w:rsidR="00C75F80" w:rsidRPr="00382332" w:rsidRDefault="00C75F80" w:rsidP="009C3999">
      <w:pPr>
        <w:spacing w:line="360" w:lineRule="auto"/>
        <w:jc w:val="both"/>
        <w:rPr>
          <w:rFonts w:ascii="Arial" w:hAnsi="Arial" w:cs="Arial"/>
          <w:bCs/>
          <w:sz w:val="22"/>
          <w:szCs w:val="22"/>
        </w:rPr>
      </w:pPr>
    </w:p>
    <w:p w14:paraId="7CD8B630" w14:textId="77777777" w:rsidR="00C75F80" w:rsidRPr="00382332" w:rsidRDefault="00C75F80" w:rsidP="009C3999">
      <w:pPr>
        <w:spacing w:line="360" w:lineRule="auto"/>
        <w:jc w:val="both"/>
        <w:rPr>
          <w:rFonts w:ascii="Arial" w:hAnsi="Arial" w:cs="Arial"/>
          <w:bCs/>
          <w:sz w:val="22"/>
          <w:szCs w:val="22"/>
        </w:rPr>
      </w:pPr>
    </w:p>
    <w:p w14:paraId="28465471" w14:textId="77777777" w:rsidR="00C75F80" w:rsidRPr="00382332" w:rsidRDefault="00C75F80" w:rsidP="009C3999">
      <w:pPr>
        <w:spacing w:line="360" w:lineRule="auto"/>
        <w:jc w:val="both"/>
        <w:rPr>
          <w:rFonts w:ascii="Arial" w:hAnsi="Arial" w:cs="Arial"/>
          <w:bCs/>
          <w:sz w:val="22"/>
          <w:szCs w:val="22"/>
        </w:rPr>
      </w:pPr>
    </w:p>
    <w:p w14:paraId="752B3D30" w14:textId="77777777" w:rsidR="002D207A" w:rsidRPr="00382332" w:rsidRDefault="002D207A" w:rsidP="009C3999">
      <w:pPr>
        <w:spacing w:line="360" w:lineRule="auto"/>
        <w:jc w:val="both"/>
        <w:rPr>
          <w:rFonts w:ascii="Arial" w:hAnsi="Arial" w:cs="Arial"/>
          <w:b/>
          <w:sz w:val="22"/>
          <w:szCs w:val="22"/>
        </w:rPr>
      </w:pPr>
      <w:r w:rsidRPr="00382332">
        <w:rPr>
          <w:rFonts w:ascii="Arial" w:hAnsi="Arial" w:cs="Arial"/>
          <w:b/>
          <w:sz w:val="22"/>
          <w:szCs w:val="22"/>
        </w:rPr>
        <w:t>CONTAIN PAGE</w:t>
      </w:r>
    </w:p>
    <w:p w14:paraId="62D376F8" w14:textId="249C7A25" w:rsidR="002D207A" w:rsidRPr="00382332" w:rsidRDefault="002D207A" w:rsidP="009C3999">
      <w:pPr>
        <w:spacing w:line="360" w:lineRule="auto"/>
        <w:jc w:val="both"/>
        <w:rPr>
          <w:rFonts w:ascii="Arial" w:hAnsi="Arial" w:cs="Arial"/>
          <w:b/>
          <w:sz w:val="22"/>
          <w:szCs w:val="22"/>
        </w:rPr>
      </w:pPr>
      <w:r w:rsidRPr="00382332">
        <w:rPr>
          <w:rFonts w:ascii="Arial" w:hAnsi="Arial" w:cs="Arial"/>
          <w:b/>
          <w:sz w:val="22"/>
          <w:szCs w:val="22"/>
        </w:rPr>
        <w:t>COVER PAGE……………………………………………………………………………………….1</w:t>
      </w:r>
    </w:p>
    <w:p w14:paraId="4D4B513F" w14:textId="762AFCE7" w:rsidR="002D207A" w:rsidRPr="00382332" w:rsidRDefault="002D207A" w:rsidP="009C3999">
      <w:pPr>
        <w:spacing w:line="360" w:lineRule="auto"/>
        <w:jc w:val="both"/>
        <w:rPr>
          <w:rFonts w:ascii="Arial" w:hAnsi="Arial" w:cs="Arial"/>
          <w:b/>
          <w:sz w:val="22"/>
          <w:szCs w:val="22"/>
        </w:rPr>
      </w:pPr>
      <w:r w:rsidRPr="00382332">
        <w:rPr>
          <w:rFonts w:ascii="Arial" w:hAnsi="Arial" w:cs="Arial"/>
          <w:b/>
          <w:sz w:val="22"/>
          <w:szCs w:val="22"/>
        </w:rPr>
        <w:t>CONTAIN PAGE…………………………………………………………………………………….2</w:t>
      </w:r>
    </w:p>
    <w:p w14:paraId="177504C8" w14:textId="0E899589" w:rsidR="002D207A" w:rsidRPr="00382332" w:rsidRDefault="002D207A" w:rsidP="009C3999">
      <w:pPr>
        <w:spacing w:line="360" w:lineRule="auto"/>
        <w:jc w:val="both"/>
        <w:rPr>
          <w:rFonts w:ascii="Arial" w:hAnsi="Arial" w:cs="Arial"/>
          <w:b/>
          <w:bCs/>
          <w:sz w:val="22"/>
          <w:szCs w:val="22"/>
        </w:rPr>
      </w:pPr>
      <w:r w:rsidRPr="00382332">
        <w:rPr>
          <w:rFonts w:ascii="Arial" w:hAnsi="Arial" w:cs="Arial"/>
          <w:b/>
          <w:bCs/>
          <w:sz w:val="22"/>
          <w:szCs w:val="22"/>
        </w:rPr>
        <w:t>ABSTRAC……………………………………………………………………………………</w:t>
      </w:r>
      <w:r w:rsidR="009C3999">
        <w:rPr>
          <w:rFonts w:ascii="Arial" w:hAnsi="Arial" w:cs="Arial"/>
          <w:b/>
          <w:bCs/>
          <w:sz w:val="22"/>
          <w:szCs w:val="22"/>
        </w:rPr>
        <w:t>………</w:t>
      </w:r>
      <w:r w:rsidRPr="00382332">
        <w:rPr>
          <w:rFonts w:ascii="Arial" w:hAnsi="Arial" w:cs="Arial"/>
          <w:b/>
          <w:bCs/>
          <w:sz w:val="22"/>
          <w:szCs w:val="22"/>
        </w:rPr>
        <w:t>3</w:t>
      </w:r>
    </w:p>
    <w:p w14:paraId="286D5DAA" w14:textId="33075B64" w:rsidR="002D207A" w:rsidRPr="00382332" w:rsidRDefault="002D207A" w:rsidP="009C3999">
      <w:pPr>
        <w:spacing w:line="360" w:lineRule="auto"/>
        <w:jc w:val="both"/>
        <w:rPr>
          <w:rFonts w:ascii="Arial" w:hAnsi="Arial" w:cs="Arial"/>
          <w:b/>
          <w:bCs/>
          <w:sz w:val="22"/>
          <w:szCs w:val="22"/>
        </w:rPr>
      </w:pPr>
      <w:r w:rsidRPr="00382332">
        <w:rPr>
          <w:rFonts w:ascii="Arial" w:hAnsi="Arial" w:cs="Arial"/>
          <w:b/>
          <w:bCs/>
          <w:sz w:val="22"/>
          <w:szCs w:val="22"/>
        </w:rPr>
        <w:t>INTRODUCTION……………………………………………………………………………</w:t>
      </w:r>
      <w:r w:rsidR="009C3999">
        <w:rPr>
          <w:rFonts w:ascii="Arial" w:hAnsi="Arial" w:cs="Arial"/>
          <w:b/>
          <w:bCs/>
          <w:sz w:val="22"/>
          <w:szCs w:val="22"/>
        </w:rPr>
        <w:t>……….</w:t>
      </w:r>
      <w:r w:rsidRPr="00382332">
        <w:rPr>
          <w:rFonts w:ascii="Arial" w:hAnsi="Arial" w:cs="Arial"/>
          <w:b/>
          <w:bCs/>
          <w:sz w:val="22"/>
          <w:szCs w:val="22"/>
        </w:rPr>
        <w:t>4</w:t>
      </w:r>
    </w:p>
    <w:p w14:paraId="456A9B5B" w14:textId="788B7165" w:rsidR="002D207A" w:rsidRPr="00382332" w:rsidRDefault="002D207A" w:rsidP="009C3999">
      <w:pPr>
        <w:spacing w:line="360" w:lineRule="auto"/>
        <w:jc w:val="both"/>
        <w:rPr>
          <w:rFonts w:ascii="Arial" w:hAnsi="Arial" w:cs="Arial"/>
          <w:b/>
          <w:bCs/>
          <w:sz w:val="22"/>
          <w:szCs w:val="22"/>
        </w:rPr>
      </w:pPr>
      <w:r w:rsidRPr="00382332">
        <w:rPr>
          <w:rFonts w:ascii="Arial" w:hAnsi="Arial" w:cs="Arial"/>
          <w:b/>
          <w:bCs/>
          <w:sz w:val="22"/>
          <w:szCs w:val="22"/>
        </w:rPr>
        <w:t>PERSON-CENTRED CARE……………………………………………………………</w:t>
      </w:r>
      <w:r w:rsidR="009C3999">
        <w:rPr>
          <w:rFonts w:ascii="Arial" w:hAnsi="Arial" w:cs="Arial"/>
          <w:b/>
          <w:bCs/>
          <w:sz w:val="22"/>
          <w:szCs w:val="22"/>
        </w:rPr>
        <w:t>………….</w:t>
      </w:r>
      <w:r w:rsidRPr="00382332">
        <w:rPr>
          <w:rFonts w:ascii="Arial" w:hAnsi="Arial" w:cs="Arial"/>
          <w:b/>
          <w:bCs/>
          <w:sz w:val="22"/>
          <w:szCs w:val="22"/>
        </w:rPr>
        <w:t>5</w:t>
      </w:r>
    </w:p>
    <w:p w14:paraId="25F162C2" w14:textId="4012454E" w:rsidR="002D207A" w:rsidRPr="00382332" w:rsidRDefault="002D207A" w:rsidP="009C3999">
      <w:pPr>
        <w:spacing w:line="360" w:lineRule="auto"/>
        <w:jc w:val="both"/>
        <w:rPr>
          <w:rFonts w:ascii="Arial" w:hAnsi="Arial" w:cs="Arial"/>
          <w:b/>
          <w:bCs/>
          <w:sz w:val="22"/>
          <w:szCs w:val="22"/>
        </w:rPr>
      </w:pPr>
      <w:r w:rsidRPr="00382332">
        <w:rPr>
          <w:rFonts w:ascii="Arial" w:hAnsi="Arial" w:cs="Arial"/>
          <w:b/>
          <w:bCs/>
          <w:sz w:val="22"/>
          <w:szCs w:val="22"/>
        </w:rPr>
        <w:t>ERG THEORY AND PERSON-CENTRED CARE…………………………………</w:t>
      </w:r>
      <w:r w:rsidR="009C3999">
        <w:rPr>
          <w:rFonts w:ascii="Arial" w:hAnsi="Arial" w:cs="Arial"/>
          <w:b/>
          <w:bCs/>
          <w:sz w:val="22"/>
          <w:szCs w:val="22"/>
        </w:rPr>
        <w:t>………….</w:t>
      </w:r>
      <w:r w:rsidRPr="00382332">
        <w:rPr>
          <w:rFonts w:ascii="Arial" w:hAnsi="Arial" w:cs="Arial"/>
          <w:b/>
          <w:bCs/>
          <w:sz w:val="22"/>
          <w:szCs w:val="22"/>
        </w:rPr>
        <w:t>6/7</w:t>
      </w:r>
    </w:p>
    <w:p w14:paraId="4071E21C" w14:textId="17914748" w:rsidR="002D207A" w:rsidRPr="00382332" w:rsidRDefault="002D207A" w:rsidP="009C3999">
      <w:pPr>
        <w:spacing w:line="360" w:lineRule="auto"/>
        <w:jc w:val="both"/>
        <w:rPr>
          <w:rFonts w:ascii="Arial" w:hAnsi="Arial" w:cs="Arial"/>
          <w:b/>
          <w:bCs/>
          <w:sz w:val="22"/>
          <w:szCs w:val="22"/>
        </w:rPr>
      </w:pPr>
      <w:r w:rsidRPr="00382332">
        <w:rPr>
          <w:rFonts w:ascii="Arial" w:hAnsi="Arial" w:cs="Arial"/>
          <w:b/>
          <w:bCs/>
          <w:sz w:val="22"/>
          <w:szCs w:val="22"/>
        </w:rPr>
        <w:t>ETHICAL FUNDAMENTALS……………………………………………………………</w:t>
      </w:r>
      <w:r w:rsidR="00324BF5">
        <w:rPr>
          <w:rFonts w:ascii="Arial" w:hAnsi="Arial" w:cs="Arial"/>
          <w:b/>
          <w:bCs/>
          <w:sz w:val="22"/>
          <w:szCs w:val="22"/>
        </w:rPr>
        <w:t>…………</w:t>
      </w:r>
      <w:r w:rsidRPr="00382332">
        <w:rPr>
          <w:rFonts w:ascii="Arial" w:hAnsi="Arial" w:cs="Arial"/>
          <w:b/>
          <w:bCs/>
          <w:sz w:val="22"/>
          <w:szCs w:val="22"/>
        </w:rPr>
        <w:t>8</w:t>
      </w:r>
    </w:p>
    <w:p w14:paraId="67A74A6F" w14:textId="47CCCEC1" w:rsidR="00692594" w:rsidRPr="00382332" w:rsidRDefault="00692594" w:rsidP="009C3999">
      <w:pPr>
        <w:spacing w:line="360" w:lineRule="auto"/>
        <w:jc w:val="both"/>
        <w:rPr>
          <w:rFonts w:ascii="Arial" w:hAnsi="Arial" w:cs="Arial"/>
          <w:b/>
          <w:bCs/>
          <w:sz w:val="22"/>
          <w:szCs w:val="22"/>
        </w:rPr>
      </w:pPr>
      <w:r w:rsidRPr="00382332">
        <w:rPr>
          <w:rFonts w:ascii="Arial" w:hAnsi="Arial" w:cs="Arial"/>
          <w:b/>
          <w:bCs/>
          <w:sz w:val="22"/>
          <w:szCs w:val="22"/>
        </w:rPr>
        <w:t>EVALUATION OF PARTNERSHIP WORKING………………………………………</w:t>
      </w:r>
      <w:r w:rsidR="00324BF5">
        <w:rPr>
          <w:rFonts w:ascii="Arial" w:hAnsi="Arial" w:cs="Arial"/>
          <w:b/>
          <w:bCs/>
          <w:sz w:val="22"/>
          <w:szCs w:val="22"/>
        </w:rPr>
        <w:t>………….</w:t>
      </w:r>
      <w:r w:rsidRPr="00382332">
        <w:rPr>
          <w:rFonts w:ascii="Arial" w:hAnsi="Arial" w:cs="Arial"/>
          <w:b/>
          <w:bCs/>
          <w:sz w:val="22"/>
          <w:szCs w:val="22"/>
        </w:rPr>
        <w:t>9</w:t>
      </w:r>
    </w:p>
    <w:p w14:paraId="6A5CE64E" w14:textId="03495859" w:rsidR="00692594" w:rsidRPr="00382332" w:rsidRDefault="00692594" w:rsidP="009C3999">
      <w:pPr>
        <w:spacing w:line="360" w:lineRule="auto"/>
        <w:jc w:val="both"/>
        <w:rPr>
          <w:rFonts w:ascii="Arial" w:hAnsi="Arial" w:cs="Arial"/>
          <w:b/>
          <w:bCs/>
          <w:sz w:val="22"/>
          <w:szCs w:val="22"/>
        </w:rPr>
      </w:pPr>
      <w:r w:rsidRPr="00382332">
        <w:rPr>
          <w:rFonts w:ascii="Arial" w:hAnsi="Arial" w:cs="Arial"/>
          <w:b/>
          <w:bCs/>
          <w:sz w:val="22"/>
          <w:szCs w:val="22"/>
        </w:rPr>
        <w:t>POLICY AND LEGISLATION……………………………………………………………</w:t>
      </w:r>
      <w:r w:rsidR="00324BF5">
        <w:rPr>
          <w:rFonts w:ascii="Arial" w:hAnsi="Arial" w:cs="Arial"/>
          <w:b/>
          <w:bCs/>
          <w:sz w:val="22"/>
          <w:szCs w:val="22"/>
        </w:rPr>
        <w:t>………..</w:t>
      </w:r>
      <w:r w:rsidRPr="00382332">
        <w:rPr>
          <w:rFonts w:ascii="Arial" w:hAnsi="Arial" w:cs="Arial"/>
          <w:b/>
          <w:bCs/>
          <w:sz w:val="22"/>
          <w:szCs w:val="22"/>
        </w:rPr>
        <w:t>10</w:t>
      </w:r>
    </w:p>
    <w:p w14:paraId="002748CF" w14:textId="00917353" w:rsidR="00692594" w:rsidRPr="00382332" w:rsidRDefault="00692594" w:rsidP="009C3999">
      <w:pPr>
        <w:spacing w:line="360" w:lineRule="auto"/>
        <w:jc w:val="both"/>
        <w:rPr>
          <w:rFonts w:ascii="Arial" w:hAnsi="Arial" w:cs="Arial"/>
          <w:b/>
          <w:bCs/>
          <w:sz w:val="22"/>
          <w:szCs w:val="22"/>
        </w:rPr>
      </w:pPr>
      <w:r w:rsidRPr="00382332">
        <w:rPr>
          <w:rFonts w:ascii="Arial" w:hAnsi="Arial" w:cs="Arial"/>
          <w:b/>
          <w:bCs/>
          <w:sz w:val="22"/>
          <w:szCs w:val="22"/>
        </w:rPr>
        <w:t>RECOMMENDATIONS……………………………………………………………………</w:t>
      </w:r>
      <w:r w:rsidR="00324BF5">
        <w:rPr>
          <w:rFonts w:ascii="Arial" w:hAnsi="Arial" w:cs="Arial"/>
          <w:b/>
          <w:bCs/>
          <w:sz w:val="22"/>
          <w:szCs w:val="22"/>
        </w:rPr>
        <w:t>………</w:t>
      </w:r>
      <w:r w:rsidRPr="00382332">
        <w:rPr>
          <w:rFonts w:ascii="Arial" w:hAnsi="Arial" w:cs="Arial"/>
          <w:b/>
          <w:bCs/>
          <w:sz w:val="22"/>
          <w:szCs w:val="22"/>
        </w:rPr>
        <w:t>11</w:t>
      </w:r>
    </w:p>
    <w:p w14:paraId="7C0FECCC" w14:textId="3ADBEBA3" w:rsidR="00692594" w:rsidRPr="00382332" w:rsidRDefault="00692594" w:rsidP="009C3999">
      <w:pPr>
        <w:spacing w:line="360" w:lineRule="auto"/>
        <w:jc w:val="both"/>
        <w:rPr>
          <w:rFonts w:ascii="Arial" w:hAnsi="Arial" w:cs="Arial"/>
          <w:b/>
          <w:bCs/>
          <w:sz w:val="22"/>
          <w:szCs w:val="22"/>
        </w:rPr>
      </w:pPr>
      <w:r w:rsidRPr="00382332">
        <w:rPr>
          <w:rFonts w:ascii="Arial" w:hAnsi="Arial" w:cs="Arial"/>
          <w:b/>
          <w:bCs/>
          <w:sz w:val="22"/>
          <w:szCs w:val="22"/>
        </w:rPr>
        <w:t>CONCLUSION………………………………………………………………………………</w:t>
      </w:r>
      <w:r w:rsidR="00324BF5">
        <w:rPr>
          <w:rFonts w:ascii="Arial" w:hAnsi="Arial" w:cs="Arial"/>
          <w:b/>
          <w:bCs/>
          <w:sz w:val="22"/>
          <w:szCs w:val="22"/>
        </w:rPr>
        <w:t>……...</w:t>
      </w:r>
      <w:r w:rsidRPr="00382332">
        <w:rPr>
          <w:rFonts w:ascii="Arial" w:hAnsi="Arial" w:cs="Arial"/>
          <w:b/>
          <w:bCs/>
          <w:sz w:val="22"/>
          <w:szCs w:val="22"/>
        </w:rPr>
        <w:t>12</w:t>
      </w:r>
    </w:p>
    <w:p w14:paraId="7B04AF09" w14:textId="6BA7AB47" w:rsidR="00692594" w:rsidRPr="00382332" w:rsidRDefault="00692594" w:rsidP="009C3999">
      <w:pPr>
        <w:spacing w:line="360" w:lineRule="auto"/>
        <w:jc w:val="both"/>
        <w:rPr>
          <w:rFonts w:ascii="Arial" w:hAnsi="Arial" w:cs="Arial"/>
          <w:b/>
          <w:bCs/>
          <w:sz w:val="22"/>
          <w:szCs w:val="22"/>
        </w:rPr>
      </w:pPr>
      <w:r w:rsidRPr="00382332">
        <w:rPr>
          <w:rFonts w:ascii="Arial" w:hAnsi="Arial" w:cs="Arial"/>
          <w:b/>
          <w:bCs/>
          <w:sz w:val="22"/>
          <w:szCs w:val="22"/>
        </w:rPr>
        <w:t>REFERENCE LIST………………………………………………………………………</w:t>
      </w:r>
      <w:r w:rsidR="00391ADA">
        <w:rPr>
          <w:rFonts w:ascii="Arial" w:hAnsi="Arial" w:cs="Arial"/>
          <w:b/>
          <w:bCs/>
          <w:sz w:val="22"/>
          <w:szCs w:val="22"/>
        </w:rPr>
        <w:t>……..</w:t>
      </w:r>
      <w:r w:rsidRPr="00382332">
        <w:rPr>
          <w:rFonts w:ascii="Arial" w:hAnsi="Arial" w:cs="Arial"/>
          <w:b/>
          <w:bCs/>
          <w:sz w:val="22"/>
          <w:szCs w:val="22"/>
        </w:rPr>
        <w:t>13/14</w:t>
      </w:r>
    </w:p>
    <w:p w14:paraId="5A7CA64D" w14:textId="77777777" w:rsidR="00692594" w:rsidRPr="00382332" w:rsidRDefault="00692594" w:rsidP="009C3999">
      <w:pPr>
        <w:spacing w:line="360" w:lineRule="auto"/>
        <w:jc w:val="both"/>
        <w:rPr>
          <w:rFonts w:ascii="Arial" w:hAnsi="Arial" w:cs="Arial"/>
          <w:b/>
          <w:bCs/>
          <w:sz w:val="22"/>
          <w:szCs w:val="22"/>
        </w:rPr>
      </w:pPr>
    </w:p>
    <w:p w14:paraId="436AC7F5" w14:textId="77777777" w:rsidR="00692594" w:rsidRPr="00382332" w:rsidRDefault="00692594" w:rsidP="009C3999">
      <w:pPr>
        <w:spacing w:line="360" w:lineRule="auto"/>
        <w:jc w:val="both"/>
        <w:rPr>
          <w:rFonts w:ascii="Arial" w:hAnsi="Arial" w:cs="Arial"/>
          <w:b/>
          <w:bCs/>
          <w:sz w:val="22"/>
          <w:szCs w:val="22"/>
        </w:rPr>
      </w:pPr>
    </w:p>
    <w:p w14:paraId="0503C101" w14:textId="77777777" w:rsidR="00692594" w:rsidRPr="00382332" w:rsidRDefault="00692594" w:rsidP="009C3999">
      <w:pPr>
        <w:spacing w:line="360" w:lineRule="auto"/>
        <w:jc w:val="both"/>
        <w:rPr>
          <w:rFonts w:ascii="Arial" w:hAnsi="Arial" w:cs="Arial"/>
          <w:b/>
          <w:bCs/>
          <w:sz w:val="22"/>
          <w:szCs w:val="22"/>
        </w:rPr>
      </w:pPr>
    </w:p>
    <w:p w14:paraId="591DB98D" w14:textId="77777777" w:rsidR="00692594" w:rsidRPr="00382332" w:rsidRDefault="00692594" w:rsidP="009C3999">
      <w:pPr>
        <w:spacing w:line="360" w:lineRule="auto"/>
        <w:jc w:val="both"/>
        <w:rPr>
          <w:rFonts w:ascii="Arial" w:hAnsi="Arial" w:cs="Arial"/>
          <w:b/>
          <w:bCs/>
          <w:sz w:val="22"/>
          <w:szCs w:val="22"/>
        </w:rPr>
      </w:pPr>
    </w:p>
    <w:p w14:paraId="263CA8DF" w14:textId="77777777" w:rsidR="00692594" w:rsidRPr="00382332" w:rsidRDefault="00692594" w:rsidP="009C3999">
      <w:pPr>
        <w:spacing w:line="360" w:lineRule="auto"/>
        <w:jc w:val="both"/>
        <w:rPr>
          <w:rFonts w:ascii="Arial" w:hAnsi="Arial" w:cs="Arial"/>
          <w:b/>
          <w:bCs/>
          <w:sz w:val="22"/>
          <w:szCs w:val="22"/>
        </w:rPr>
      </w:pPr>
    </w:p>
    <w:p w14:paraId="0E000C74" w14:textId="77777777" w:rsidR="00692594" w:rsidRPr="00382332" w:rsidRDefault="00692594" w:rsidP="009C3999">
      <w:pPr>
        <w:spacing w:line="360" w:lineRule="auto"/>
        <w:jc w:val="both"/>
        <w:rPr>
          <w:rFonts w:ascii="Arial" w:hAnsi="Arial" w:cs="Arial"/>
          <w:b/>
          <w:bCs/>
          <w:sz w:val="22"/>
          <w:szCs w:val="22"/>
        </w:rPr>
      </w:pPr>
    </w:p>
    <w:p w14:paraId="24C4336D" w14:textId="77777777" w:rsidR="00692594" w:rsidRPr="00382332" w:rsidRDefault="00692594" w:rsidP="009C3999">
      <w:pPr>
        <w:spacing w:line="360" w:lineRule="auto"/>
        <w:jc w:val="both"/>
        <w:rPr>
          <w:rFonts w:ascii="Arial" w:hAnsi="Arial" w:cs="Arial"/>
          <w:b/>
          <w:bCs/>
          <w:sz w:val="22"/>
          <w:szCs w:val="22"/>
        </w:rPr>
      </w:pPr>
    </w:p>
    <w:p w14:paraId="79CBAA43" w14:textId="77777777" w:rsidR="00692594" w:rsidRPr="00382332" w:rsidRDefault="00692594" w:rsidP="009C3999">
      <w:pPr>
        <w:spacing w:line="360" w:lineRule="auto"/>
        <w:jc w:val="both"/>
        <w:rPr>
          <w:rFonts w:ascii="Arial" w:hAnsi="Arial" w:cs="Arial"/>
          <w:b/>
          <w:bCs/>
          <w:sz w:val="22"/>
          <w:szCs w:val="22"/>
        </w:rPr>
      </w:pPr>
    </w:p>
    <w:p w14:paraId="3C3180AA" w14:textId="77777777" w:rsidR="00692594" w:rsidRPr="00382332" w:rsidRDefault="00692594" w:rsidP="009C3999">
      <w:pPr>
        <w:spacing w:line="360" w:lineRule="auto"/>
        <w:jc w:val="both"/>
        <w:rPr>
          <w:rFonts w:ascii="Arial" w:hAnsi="Arial" w:cs="Arial"/>
          <w:b/>
          <w:bCs/>
          <w:sz w:val="22"/>
          <w:szCs w:val="22"/>
        </w:rPr>
      </w:pPr>
    </w:p>
    <w:p w14:paraId="4DD8A79F" w14:textId="77777777" w:rsidR="00692594" w:rsidRPr="00382332" w:rsidRDefault="00692594" w:rsidP="009C3999">
      <w:pPr>
        <w:spacing w:line="360" w:lineRule="auto"/>
        <w:jc w:val="both"/>
        <w:rPr>
          <w:rFonts w:ascii="Arial" w:hAnsi="Arial" w:cs="Arial"/>
          <w:b/>
          <w:bCs/>
          <w:sz w:val="22"/>
          <w:szCs w:val="22"/>
        </w:rPr>
      </w:pPr>
    </w:p>
    <w:p w14:paraId="783ACDB9" w14:textId="78A3D6BC" w:rsidR="002D207A" w:rsidRPr="00382332" w:rsidRDefault="002D207A" w:rsidP="009C3999">
      <w:pPr>
        <w:spacing w:line="360" w:lineRule="auto"/>
        <w:jc w:val="both"/>
        <w:rPr>
          <w:rFonts w:ascii="Arial" w:hAnsi="Arial" w:cs="Arial"/>
          <w:b/>
          <w:bCs/>
          <w:sz w:val="22"/>
          <w:szCs w:val="22"/>
        </w:rPr>
      </w:pPr>
    </w:p>
    <w:p w14:paraId="5930EF26" w14:textId="664787B1" w:rsidR="00562FE6" w:rsidRPr="00382332" w:rsidRDefault="00562FE6" w:rsidP="009C3999">
      <w:pPr>
        <w:spacing w:line="360" w:lineRule="auto"/>
        <w:jc w:val="both"/>
        <w:rPr>
          <w:rFonts w:ascii="Arial" w:hAnsi="Arial" w:cs="Arial"/>
          <w:b/>
          <w:bCs/>
          <w:sz w:val="22"/>
          <w:szCs w:val="22"/>
        </w:rPr>
      </w:pPr>
      <w:r w:rsidRPr="00382332">
        <w:rPr>
          <w:rFonts w:ascii="Arial" w:hAnsi="Arial" w:cs="Arial"/>
          <w:b/>
          <w:bCs/>
          <w:sz w:val="22"/>
          <w:szCs w:val="22"/>
        </w:rPr>
        <w:lastRenderedPageBreak/>
        <w:t>ABSTRACT</w:t>
      </w:r>
    </w:p>
    <w:p w14:paraId="45535F8B" w14:textId="6BCFC2A7" w:rsidR="00562FE6" w:rsidRPr="00382332" w:rsidRDefault="00562FE6" w:rsidP="009C3999">
      <w:pPr>
        <w:spacing w:line="360" w:lineRule="auto"/>
        <w:jc w:val="both"/>
        <w:rPr>
          <w:rFonts w:ascii="Arial" w:hAnsi="Arial" w:cs="Arial"/>
          <w:sz w:val="22"/>
          <w:szCs w:val="22"/>
        </w:rPr>
      </w:pPr>
      <w:r w:rsidRPr="00382332">
        <w:rPr>
          <w:rFonts w:ascii="Arial" w:hAnsi="Arial" w:cs="Arial"/>
          <w:sz w:val="22"/>
          <w:szCs w:val="22"/>
        </w:rPr>
        <w:t>This report evaluates the role of person-centred care (PCC) and partnership working (PW) within dementia care homes, examining how these approaches contribute to high-quality, individualised care. It defines PCC and explores its key principles, including dignity, respect, shared decision-making, and effective communication, while considering the challenges associated with implementing personalised care in practice. The report critically analyses Alderfer's ERG Theory and evaluates its contribution to person-centred dementia care, highlighting both its strengths and limitations. Ethical principles, including autonomy, beneficence, non-maleficence, and justice, are explored to demonstrate their influence on care decisions and partnership working. The report also evaluates the importance of collaborative working between health and social care professionals, families, and residents, alongside the legislative framework supporting these approaches. It concludes that effective dementia care requires personalised, coordinated care supported by skilled professionals, effective communication, and collaborative partnerships. Recommendations include enhancing dementia-specific staff training, improving multidisciplinary communication, and increasing the use of digital technologies to support continuity of care and better outcomes for people living with dementia.</w:t>
      </w:r>
      <w:r w:rsidR="00DC134F" w:rsidRPr="00DC134F">
        <w:t xml:space="preserve"> </w:t>
      </w:r>
      <w:proofErr w:type="gramStart"/>
      <w:r w:rsidR="00DC134F">
        <w:t>(</w:t>
      </w:r>
      <w:r w:rsidR="00DC134F" w:rsidRPr="00E7174A">
        <w:t xml:space="preserve"> </w:t>
      </w:r>
      <w:r w:rsidR="00DC134F" w:rsidRPr="002630FC">
        <w:t>Alderfer's</w:t>
      </w:r>
      <w:proofErr w:type="gramEnd"/>
      <w:r w:rsidR="00DC134F" w:rsidRPr="002630FC">
        <w:t xml:space="preserve"> ERG Theory</w:t>
      </w:r>
      <w:r w:rsidR="00DC134F">
        <w:t xml:space="preserve"> 1969)</w:t>
      </w:r>
    </w:p>
    <w:p w14:paraId="17BCA783" w14:textId="77777777" w:rsidR="00D81F34" w:rsidRPr="00382332" w:rsidRDefault="00D81F34" w:rsidP="009C3999">
      <w:pPr>
        <w:spacing w:line="360" w:lineRule="auto"/>
        <w:jc w:val="both"/>
        <w:rPr>
          <w:rFonts w:ascii="Arial" w:hAnsi="Arial" w:cs="Arial"/>
          <w:b/>
          <w:bCs/>
          <w:sz w:val="22"/>
          <w:szCs w:val="22"/>
        </w:rPr>
      </w:pPr>
    </w:p>
    <w:p w14:paraId="47071024" w14:textId="77777777" w:rsidR="00D81F34" w:rsidRPr="00382332" w:rsidRDefault="00D81F34" w:rsidP="009C3999">
      <w:pPr>
        <w:spacing w:line="360" w:lineRule="auto"/>
        <w:jc w:val="both"/>
        <w:rPr>
          <w:rFonts w:ascii="Arial" w:hAnsi="Arial" w:cs="Arial"/>
          <w:b/>
          <w:bCs/>
          <w:sz w:val="22"/>
          <w:szCs w:val="22"/>
        </w:rPr>
      </w:pPr>
    </w:p>
    <w:p w14:paraId="0F15B96E" w14:textId="77777777" w:rsidR="00D81F34" w:rsidRPr="00382332" w:rsidRDefault="00D81F34" w:rsidP="009C3999">
      <w:pPr>
        <w:spacing w:line="360" w:lineRule="auto"/>
        <w:jc w:val="both"/>
        <w:rPr>
          <w:rFonts w:ascii="Arial" w:hAnsi="Arial" w:cs="Arial"/>
          <w:b/>
          <w:bCs/>
          <w:sz w:val="22"/>
          <w:szCs w:val="22"/>
        </w:rPr>
      </w:pPr>
    </w:p>
    <w:p w14:paraId="31CAF491" w14:textId="77777777" w:rsidR="00D81F34" w:rsidRPr="00382332" w:rsidRDefault="00D81F34" w:rsidP="009C3999">
      <w:pPr>
        <w:spacing w:line="360" w:lineRule="auto"/>
        <w:jc w:val="both"/>
        <w:rPr>
          <w:rFonts w:ascii="Arial" w:hAnsi="Arial" w:cs="Arial"/>
          <w:b/>
          <w:bCs/>
          <w:sz w:val="22"/>
          <w:szCs w:val="22"/>
        </w:rPr>
      </w:pPr>
    </w:p>
    <w:p w14:paraId="13FAA80F" w14:textId="77777777" w:rsidR="00D81F34" w:rsidRPr="00382332" w:rsidRDefault="00D81F34" w:rsidP="009C3999">
      <w:pPr>
        <w:spacing w:line="360" w:lineRule="auto"/>
        <w:jc w:val="both"/>
        <w:rPr>
          <w:rFonts w:ascii="Arial" w:hAnsi="Arial" w:cs="Arial"/>
          <w:b/>
          <w:bCs/>
          <w:sz w:val="22"/>
          <w:szCs w:val="22"/>
        </w:rPr>
      </w:pPr>
    </w:p>
    <w:p w14:paraId="3D99A52F" w14:textId="77777777" w:rsidR="00D81F34" w:rsidRPr="00382332" w:rsidRDefault="00D81F34" w:rsidP="009C3999">
      <w:pPr>
        <w:spacing w:line="360" w:lineRule="auto"/>
        <w:jc w:val="both"/>
        <w:rPr>
          <w:rFonts w:ascii="Arial" w:hAnsi="Arial" w:cs="Arial"/>
          <w:b/>
          <w:bCs/>
          <w:sz w:val="22"/>
          <w:szCs w:val="22"/>
        </w:rPr>
      </w:pPr>
    </w:p>
    <w:p w14:paraId="4BC98E49" w14:textId="77777777" w:rsidR="00D81F34" w:rsidRPr="00382332" w:rsidRDefault="00D81F34" w:rsidP="009C3999">
      <w:pPr>
        <w:spacing w:line="360" w:lineRule="auto"/>
        <w:jc w:val="both"/>
        <w:rPr>
          <w:rFonts w:ascii="Arial" w:hAnsi="Arial" w:cs="Arial"/>
          <w:b/>
          <w:bCs/>
          <w:sz w:val="22"/>
          <w:szCs w:val="22"/>
        </w:rPr>
      </w:pPr>
    </w:p>
    <w:p w14:paraId="3AA6888B" w14:textId="77777777" w:rsidR="00D81F34" w:rsidRPr="00382332" w:rsidRDefault="00D81F34" w:rsidP="009C3999">
      <w:pPr>
        <w:spacing w:line="360" w:lineRule="auto"/>
        <w:jc w:val="both"/>
        <w:rPr>
          <w:rFonts w:ascii="Arial" w:hAnsi="Arial" w:cs="Arial"/>
          <w:b/>
          <w:bCs/>
          <w:sz w:val="22"/>
          <w:szCs w:val="22"/>
        </w:rPr>
      </w:pPr>
    </w:p>
    <w:p w14:paraId="6E3E684F" w14:textId="77777777" w:rsidR="00D81F34" w:rsidRPr="00382332" w:rsidRDefault="00D81F34" w:rsidP="009C3999">
      <w:pPr>
        <w:spacing w:line="360" w:lineRule="auto"/>
        <w:jc w:val="both"/>
        <w:rPr>
          <w:rFonts w:ascii="Arial" w:hAnsi="Arial" w:cs="Arial"/>
          <w:b/>
          <w:bCs/>
          <w:sz w:val="22"/>
          <w:szCs w:val="22"/>
        </w:rPr>
      </w:pPr>
    </w:p>
    <w:p w14:paraId="4E2F45EF" w14:textId="77777777" w:rsidR="002D207A" w:rsidRPr="00382332" w:rsidRDefault="002D207A" w:rsidP="009C3999">
      <w:pPr>
        <w:spacing w:line="360" w:lineRule="auto"/>
        <w:jc w:val="both"/>
        <w:rPr>
          <w:rFonts w:ascii="Arial" w:hAnsi="Arial" w:cs="Arial"/>
          <w:b/>
          <w:bCs/>
          <w:sz w:val="22"/>
          <w:szCs w:val="22"/>
        </w:rPr>
      </w:pPr>
    </w:p>
    <w:p w14:paraId="77EAA844" w14:textId="77777777" w:rsidR="002D207A" w:rsidRPr="00382332" w:rsidRDefault="002D207A" w:rsidP="009C3999">
      <w:pPr>
        <w:spacing w:line="360" w:lineRule="auto"/>
        <w:jc w:val="both"/>
        <w:rPr>
          <w:rFonts w:ascii="Arial" w:hAnsi="Arial" w:cs="Arial"/>
          <w:b/>
          <w:bCs/>
          <w:sz w:val="22"/>
          <w:szCs w:val="22"/>
        </w:rPr>
      </w:pPr>
    </w:p>
    <w:p w14:paraId="1E083060" w14:textId="77777777" w:rsidR="002D207A" w:rsidRPr="00382332" w:rsidRDefault="002D207A" w:rsidP="009C3999">
      <w:pPr>
        <w:spacing w:line="360" w:lineRule="auto"/>
        <w:jc w:val="both"/>
        <w:rPr>
          <w:rFonts w:ascii="Arial" w:hAnsi="Arial" w:cs="Arial"/>
          <w:b/>
          <w:bCs/>
          <w:sz w:val="22"/>
          <w:szCs w:val="22"/>
        </w:rPr>
      </w:pPr>
    </w:p>
    <w:p w14:paraId="6DC77490" w14:textId="77777777" w:rsidR="002D207A" w:rsidRPr="00382332" w:rsidRDefault="002D207A" w:rsidP="009C3999">
      <w:pPr>
        <w:spacing w:line="360" w:lineRule="auto"/>
        <w:jc w:val="both"/>
        <w:rPr>
          <w:rFonts w:ascii="Arial" w:hAnsi="Arial" w:cs="Arial"/>
          <w:b/>
          <w:bCs/>
          <w:sz w:val="22"/>
          <w:szCs w:val="22"/>
        </w:rPr>
      </w:pPr>
    </w:p>
    <w:p w14:paraId="2A853010" w14:textId="0B397F1A" w:rsidR="00562FE6" w:rsidRPr="00382332" w:rsidRDefault="00562FE6" w:rsidP="009C3999">
      <w:pPr>
        <w:spacing w:line="360" w:lineRule="auto"/>
        <w:jc w:val="both"/>
        <w:rPr>
          <w:rFonts w:ascii="Arial" w:hAnsi="Arial" w:cs="Arial"/>
          <w:b/>
          <w:bCs/>
          <w:sz w:val="22"/>
          <w:szCs w:val="22"/>
        </w:rPr>
      </w:pPr>
      <w:r w:rsidRPr="00382332">
        <w:rPr>
          <w:rFonts w:ascii="Arial" w:hAnsi="Arial" w:cs="Arial"/>
          <w:b/>
          <w:bCs/>
          <w:sz w:val="22"/>
          <w:szCs w:val="22"/>
        </w:rPr>
        <w:lastRenderedPageBreak/>
        <w:t>INTRODUCTION</w:t>
      </w:r>
    </w:p>
    <w:p w14:paraId="5291A41D" w14:textId="555DF19C" w:rsidR="00562FE6" w:rsidRPr="00382332" w:rsidRDefault="00562FE6" w:rsidP="009C3999">
      <w:pPr>
        <w:spacing w:line="360" w:lineRule="auto"/>
        <w:jc w:val="both"/>
        <w:rPr>
          <w:rFonts w:ascii="Arial" w:hAnsi="Arial" w:cs="Arial"/>
          <w:sz w:val="22"/>
          <w:szCs w:val="22"/>
        </w:rPr>
      </w:pPr>
      <w:r w:rsidRPr="00382332">
        <w:rPr>
          <w:rFonts w:ascii="Arial" w:hAnsi="Arial" w:cs="Arial"/>
          <w:sz w:val="22"/>
          <w:szCs w:val="22"/>
        </w:rPr>
        <w:t xml:space="preserve">This report evaluates person-centred care (PCC) and partnership working (PW) within dementia care homes. It defines PCC, examines its benefits and limitations, and critically analyses Alderfer's ERG Theory as a framework supporting person-centred practice. Ethical principles influencing decision-making are explored before evaluating the role of partnership working in delivering coordinated care. Finally, the report considers relevant legislation and provides evidence-based recommendations for improving PCC and PW within UK dementia care </w:t>
      </w:r>
      <w:r w:rsidR="00203991" w:rsidRPr="00382332">
        <w:rPr>
          <w:rFonts w:ascii="Arial" w:hAnsi="Arial" w:cs="Arial"/>
          <w:sz w:val="22"/>
          <w:szCs w:val="22"/>
        </w:rPr>
        <w:t>services</w:t>
      </w:r>
      <w:r w:rsidR="005F73F8">
        <w:rPr>
          <w:rFonts w:ascii="Arial" w:hAnsi="Arial" w:cs="Arial"/>
          <w:sz w:val="22"/>
          <w:szCs w:val="22"/>
        </w:rPr>
        <w:t>.</w:t>
      </w:r>
      <w:r w:rsidR="005E3CE8" w:rsidRPr="005E3CE8">
        <w:t xml:space="preserve"> </w:t>
      </w:r>
      <w:r w:rsidR="005E3CE8" w:rsidRPr="005E3CE8">
        <w:rPr>
          <w:rFonts w:ascii="Arial" w:hAnsi="Arial" w:cs="Arial"/>
          <w:sz w:val="22"/>
          <w:szCs w:val="22"/>
        </w:rPr>
        <w:t>(NICE, 2018; McCormack and McCance, 2021; Department of Health, 2015).</w:t>
      </w:r>
    </w:p>
    <w:p w14:paraId="58098BFB" w14:textId="77777777" w:rsidR="00D81F34" w:rsidRPr="00382332" w:rsidRDefault="00D81F34" w:rsidP="009C3999">
      <w:pPr>
        <w:spacing w:line="360" w:lineRule="auto"/>
        <w:jc w:val="both"/>
        <w:rPr>
          <w:rFonts w:ascii="Arial" w:hAnsi="Arial" w:cs="Arial"/>
          <w:b/>
          <w:bCs/>
          <w:sz w:val="22"/>
          <w:szCs w:val="22"/>
        </w:rPr>
      </w:pPr>
    </w:p>
    <w:p w14:paraId="5BD382B6" w14:textId="77777777" w:rsidR="00D81F34" w:rsidRPr="00382332" w:rsidRDefault="00D81F34" w:rsidP="009C3999">
      <w:pPr>
        <w:spacing w:line="360" w:lineRule="auto"/>
        <w:jc w:val="both"/>
        <w:rPr>
          <w:rFonts w:ascii="Arial" w:hAnsi="Arial" w:cs="Arial"/>
          <w:b/>
          <w:bCs/>
          <w:sz w:val="22"/>
          <w:szCs w:val="22"/>
        </w:rPr>
      </w:pPr>
    </w:p>
    <w:p w14:paraId="2BEE2331" w14:textId="77777777" w:rsidR="00D81F34" w:rsidRPr="00382332" w:rsidRDefault="00D81F34" w:rsidP="009C3999">
      <w:pPr>
        <w:spacing w:line="360" w:lineRule="auto"/>
        <w:jc w:val="both"/>
        <w:rPr>
          <w:rFonts w:ascii="Arial" w:hAnsi="Arial" w:cs="Arial"/>
          <w:b/>
          <w:bCs/>
          <w:sz w:val="22"/>
          <w:szCs w:val="22"/>
        </w:rPr>
      </w:pPr>
    </w:p>
    <w:p w14:paraId="5AA317FC" w14:textId="77777777" w:rsidR="00D81F34" w:rsidRPr="00382332" w:rsidRDefault="00D81F34" w:rsidP="009C3999">
      <w:pPr>
        <w:spacing w:line="360" w:lineRule="auto"/>
        <w:jc w:val="both"/>
        <w:rPr>
          <w:rFonts w:ascii="Arial" w:hAnsi="Arial" w:cs="Arial"/>
          <w:b/>
          <w:bCs/>
          <w:sz w:val="22"/>
          <w:szCs w:val="22"/>
        </w:rPr>
      </w:pPr>
    </w:p>
    <w:p w14:paraId="3A47E5F9" w14:textId="77777777" w:rsidR="00D81F34" w:rsidRPr="00382332" w:rsidRDefault="00D81F34" w:rsidP="009C3999">
      <w:pPr>
        <w:spacing w:line="360" w:lineRule="auto"/>
        <w:jc w:val="both"/>
        <w:rPr>
          <w:rFonts w:ascii="Arial" w:hAnsi="Arial" w:cs="Arial"/>
          <w:b/>
          <w:bCs/>
          <w:sz w:val="22"/>
          <w:szCs w:val="22"/>
        </w:rPr>
      </w:pPr>
    </w:p>
    <w:p w14:paraId="2184139A" w14:textId="77777777" w:rsidR="00D81F34" w:rsidRPr="00382332" w:rsidRDefault="00D81F34" w:rsidP="009C3999">
      <w:pPr>
        <w:spacing w:line="360" w:lineRule="auto"/>
        <w:jc w:val="both"/>
        <w:rPr>
          <w:rFonts w:ascii="Arial" w:hAnsi="Arial" w:cs="Arial"/>
          <w:b/>
          <w:bCs/>
          <w:sz w:val="22"/>
          <w:szCs w:val="22"/>
        </w:rPr>
      </w:pPr>
    </w:p>
    <w:p w14:paraId="4723AE1D" w14:textId="77777777" w:rsidR="00D81F34" w:rsidRPr="00382332" w:rsidRDefault="00D81F34" w:rsidP="009C3999">
      <w:pPr>
        <w:spacing w:line="360" w:lineRule="auto"/>
        <w:jc w:val="both"/>
        <w:rPr>
          <w:rFonts w:ascii="Arial" w:hAnsi="Arial" w:cs="Arial"/>
          <w:b/>
          <w:bCs/>
          <w:sz w:val="22"/>
          <w:szCs w:val="22"/>
        </w:rPr>
      </w:pPr>
    </w:p>
    <w:p w14:paraId="006E5180" w14:textId="77777777" w:rsidR="00D81F34" w:rsidRPr="00382332" w:rsidRDefault="00D81F34" w:rsidP="009C3999">
      <w:pPr>
        <w:spacing w:line="360" w:lineRule="auto"/>
        <w:jc w:val="both"/>
        <w:rPr>
          <w:rFonts w:ascii="Arial" w:hAnsi="Arial" w:cs="Arial"/>
          <w:b/>
          <w:bCs/>
          <w:sz w:val="22"/>
          <w:szCs w:val="22"/>
        </w:rPr>
      </w:pPr>
    </w:p>
    <w:p w14:paraId="6AD684A0" w14:textId="77777777" w:rsidR="00D81F34" w:rsidRPr="00382332" w:rsidRDefault="00D81F34" w:rsidP="009C3999">
      <w:pPr>
        <w:spacing w:line="360" w:lineRule="auto"/>
        <w:jc w:val="both"/>
        <w:rPr>
          <w:rFonts w:ascii="Arial" w:hAnsi="Arial" w:cs="Arial"/>
          <w:b/>
          <w:bCs/>
          <w:sz w:val="22"/>
          <w:szCs w:val="22"/>
        </w:rPr>
      </w:pPr>
    </w:p>
    <w:p w14:paraId="3164FB4C" w14:textId="77777777" w:rsidR="00D81F34" w:rsidRPr="00382332" w:rsidRDefault="00D81F34" w:rsidP="009C3999">
      <w:pPr>
        <w:spacing w:line="360" w:lineRule="auto"/>
        <w:jc w:val="both"/>
        <w:rPr>
          <w:rFonts w:ascii="Arial" w:hAnsi="Arial" w:cs="Arial"/>
          <w:b/>
          <w:bCs/>
          <w:sz w:val="22"/>
          <w:szCs w:val="22"/>
        </w:rPr>
      </w:pPr>
    </w:p>
    <w:p w14:paraId="26E5A5B3" w14:textId="77777777" w:rsidR="00D81F34" w:rsidRPr="00382332" w:rsidRDefault="00D81F34" w:rsidP="009C3999">
      <w:pPr>
        <w:spacing w:line="360" w:lineRule="auto"/>
        <w:jc w:val="both"/>
        <w:rPr>
          <w:rFonts w:ascii="Arial" w:hAnsi="Arial" w:cs="Arial"/>
          <w:b/>
          <w:bCs/>
          <w:sz w:val="22"/>
          <w:szCs w:val="22"/>
        </w:rPr>
      </w:pPr>
    </w:p>
    <w:p w14:paraId="0B8447BB" w14:textId="77777777" w:rsidR="00D81F34" w:rsidRPr="00382332" w:rsidRDefault="00D81F34" w:rsidP="009C3999">
      <w:pPr>
        <w:spacing w:line="360" w:lineRule="auto"/>
        <w:jc w:val="both"/>
        <w:rPr>
          <w:rFonts w:ascii="Arial" w:hAnsi="Arial" w:cs="Arial"/>
          <w:b/>
          <w:bCs/>
          <w:sz w:val="22"/>
          <w:szCs w:val="22"/>
        </w:rPr>
      </w:pPr>
    </w:p>
    <w:p w14:paraId="307963C2" w14:textId="77777777" w:rsidR="00D81F34" w:rsidRPr="00382332" w:rsidRDefault="00D81F34" w:rsidP="009C3999">
      <w:pPr>
        <w:spacing w:line="360" w:lineRule="auto"/>
        <w:jc w:val="both"/>
        <w:rPr>
          <w:rFonts w:ascii="Arial" w:hAnsi="Arial" w:cs="Arial"/>
          <w:b/>
          <w:bCs/>
          <w:sz w:val="22"/>
          <w:szCs w:val="22"/>
        </w:rPr>
      </w:pPr>
    </w:p>
    <w:p w14:paraId="3A77067B" w14:textId="77777777" w:rsidR="00D81F34" w:rsidRPr="00382332" w:rsidRDefault="00D81F34" w:rsidP="009C3999">
      <w:pPr>
        <w:spacing w:line="360" w:lineRule="auto"/>
        <w:jc w:val="both"/>
        <w:rPr>
          <w:rFonts w:ascii="Arial" w:hAnsi="Arial" w:cs="Arial"/>
          <w:b/>
          <w:bCs/>
          <w:sz w:val="22"/>
          <w:szCs w:val="22"/>
        </w:rPr>
      </w:pPr>
    </w:p>
    <w:p w14:paraId="5A800AD1" w14:textId="77777777" w:rsidR="00D81F34" w:rsidRPr="00382332" w:rsidRDefault="00D81F34" w:rsidP="009C3999">
      <w:pPr>
        <w:spacing w:line="360" w:lineRule="auto"/>
        <w:jc w:val="both"/>
        <w:rPr>
          <w:rFonts w:ascii="Arial" w:hAnsi="Arial" w:cs="Arial"/>
          <w:b/>
          <w:bCs/>
          <w:sz w:val="22"/>
          <w:szCs w:val="22"/>
        </w:rPr>
      </w:pPr>
    </w:p>
    <w:p w14:paraId="1692A916" w14:textId="77777777" w:rsidR="00D81F34" w:rsidRPr="00382332" w:rsidRDefault="00D81F34" w:rsidP="009C3999">
      <w:pPr>
        <w:spacing w:line="360" w:lineRule="auto"/>
        <w:jc w:val="both"/>
        <w:rPr>
          <w:rFonts w:ascii="Arial" w:hAnsi="Arial" w:cs="Arial"/>
          <w:b/>
          <w:bCs/>
          <w:sz w:val="22"/>
          <w:szCs w:val="22"/>
        </w:rPr>
      </w:pPr>
    </w:p>
    <w:p w14:paraId="66A2E20A" w14:textId="77777777" w:rsidR="00D81F34" w:rsidRPr="00382332" w:rsidRDefault="00D81F34" w:rsidP="009C3999">
      <w:pPr>
        <w:spacing w:line="360" w:lineRule="auto"/>
        <w:jc w:val="both"/>
        <w:rPr>
          <w:rFonts w:ascii="Arial" w:hAnsi="Arial" w:cs="Arial"/>
          <w:b/>
          <w:bCs/>
          <w:sz w:val="22"/>
          <w:szCs w:val="22"/>
        </w:rPr>
      </w:pPr>
    </w:p>
    <w:p w14:paraId="08EC10BB" w14:textId="77777777" w:rsidR="00D81F34" w:rsidRPr="00382332" w:rsidRDefault="00D81F34" w:rsidP="009C3999">
      <w:pPr>
        <w:spacing w:line="360" w:lineRule="auto"/>
        <w:jc w:val="both"/>
        <w:rPr>
          <w:rFonts w:ascii="Arial" w:hAnsi="Arial" w:cs="Arial"/>
          <w:b/>
          <w:bCs/>
          <w:sz w:val="22"/>
          <w:szCs w:val="22"/>
        </w:rPr>
      </w:pPr>
    </w:p>
    <w:p w14:paraId="3E9486A9" w14:textId="77777777" w:rsidR="00D81F34" w:rsidRPr="00382332" w:rsidRDefault="00D81F34" w:rsidP="009C3999">
      <w:pPr>
        <w:spacing w:line="360" w:lineRule="auto"/>
        <w:jc w:val="both"/>
        <w:rPr>
          <w:rFonts w:ascii="Arial" w:hAnsi="Arial" w:cs="Arial"/>
          <w:b/>
          <w:bCs/>
          <w:sz w:val="22"/>
          <w:szCs w:val="22"/>
        </w:rPr>
      </w:pPr>
    </w:p>
    <w:p w14:paraId="7A0512AB" w14:textId="77777777" w:rsidR="00391ADA" w:rsidRDefault="00391ADA" w:rsidP="009C3999">
      <w:pPr>
        <w:spacing w:line="360" w:lineRule="auto"/>
        <w:jc w:val="both"/>
        <w:rPr>
          <w:rFonts w:ascii="Arial" w:hAnsi="Arial" w:cs="Arial"/>
          <w:b/>
          <w:bCs/>
          <w:sz w:val="22"/>
          <w:szCs w:val="22"/>
        </w:rPr>
      </w:pPr>
    </w:p>
    <w:p w14:paraId="3851BF42" w14:textId="1C797187" w:rsidR="00562FE6" w:rsidRPr="00382332" w:rsidRDefault="00562FE6" w:rsidP="009C3999">
      <w:pPr>
        <w:spacing w:line="360" w:lineRule="auto"/>
        <w:jc w:val="both"/>
        <w:rPr>
          <w:rFonts w:ascii="Arial" w:hAnsi="Arial" w:cs="Arial"/>
          <w:b/>
          <w:bCs/>
          <w:sz w:val="22"/>
          <w:szCs w:val="22"/>
        </w:rPr>
      </w:pPr>
      <w:r w:rsidRPr="00382332">
        <w:rPr>
          <w:rFonts w:ascii="Arial" w:hAnsi="Arial" w:cs="Arial"/>
          <w:b/>
          <w:bCs/>
          <w:sz w:val="22"/>
          <w:szCs w:val="22"/>
        </w:rPr>
        <w:lastRenderedPageBreak/>
        <w:t>PERSON-CENTRED CARE</w:t>
      </w:r>
    </w:p>
    <w:p w14:paraId="33230ED5" w14:textId="77777777" w:rsidR="00562FE6" w:rsidRPr="00382332" w:rsidRDefault="00562FE6" w:rsidP="009C3999">
      <w:pPr>
        <w:spacing w:line="360" w:lineRule="auto"/>
        <w:jc w:val="both"/>
        <w:rPr>
          <w:rFonts w:ascii="Arial" w:hAnsi="Arial" w:cs="Arial"/>
          <w:sz w:val="22"/>
          <w:szCs w:val="22"/>
        </w:rPr>
      </w:pPr>
      <w:r w:rsidRPr="00382332">
        <w:rPr>
          <w:rFonts w:ascii="Arial" w:hAnsi="Arial" w:cs="Arial"/>
          <w:sz w:val="22"/>
          <w:szCs w:val="22"/>
        </w:rPr>
        <w:t>The World Health Organization (2016) defines person-centred care as an approach that consciously adopts the perspectives of individuals, families, carers, and communities to ensure health services respond to their needs and preferences in a holistic and respectful manner. Within dementia care homes, PCC recognises residents as individuals with unique identities, values, preferences, and life experiences rather than defining them by their diagnosis.</w:t>
      </w:r>
    </w:p>
    <w:p w14:paraId="62FCE2A2" w14:textId="77777777" w:rsidR="00562FE6" w:rsidRPr="00382332" w:rsidRDefault="00562FE6" w:rsidP="009C3999">
      <w:pPr>
        <w:spacing w:line="360" w:lineRule="auto"/>
        <w:jc w:val="both"/>
        <w:rPr>
          <w:rFonts w:ascii="Arial" w:hAnsi="Arial" w:cs="Arial"/>
          <w:sz w:val="22"/>
          <w:szCs w:val="22"/>
        </w:rPr>
      </w:pPr>
      <w:r w:rsidRPr="00382332">
        <w:rPr>
          <w:rFonts w:ascii="Arial" w:hAnsi="Arial" w:cs="Arial"/>
          <w:sz w:val="22"/>
          <w:szCs w:val="22"/>
        </w:rPr>
        <w:t>Key principles of PCC include respect, empathy, effective communication, active listening, shared decision-making, and involving family members in care planning. These principles help develop trusting relationships between residents and staff while encouraging individuals to remain involved in decisions affecting their care. Active listening is particularly important in dementia care, as it enables staff to recognise verbal and non-verbal communication, ensuring residents continue to feel valued despite cognitive decline. Hibbard and Greene (2013) found that people actively involved in their care are more likely to achieve improved health outcomes and engage with recommended treatment.</w:t>
      </w:r>
    </w:p>
    <w:p w14:paraId="1A8F5837" w14:textId="1CE397CD" w:rsidR="00562FE6" w:rsidRPr="00382332" w:rsidRDefault="00562FE6" w:rsidP="009C3999">
      <w:pPr>
        <w:spacing w:line="360" w:lineRule="auto"/>
        <w:jc w:val="both"/>
        <w:rPr>
          <w:rFonts w:ascii="Arial" w:hAnsi="Arial" w:cs="Arial"/>
          <w:sz w:val="22"/>
          <w:szCs w:val="22"/>
        </w:rPr>
      </w:pPr>
      <w:r w:rsidRPr="00382332">
        <w:rPr>
          <w:rFonts w:ascii="Arial" w:hAnsi="Arial" w:cs="Arial"/>
          <w:sz w:val="22"/>
          <w:szCs w:val="22"/>
        </w:rPr>
        <w:t>Despite its benefits, implementing PCC within dementia care homes presents several challenges. Staffing shortages and increasing workloads can reduce opportunities to develop meaningful relationships with residents, resulting in care becoming task-focused rather than person-focused. Effective PCC also depends on staff receiving appropriate dementia-specific training to understand changing communication needs and behaviours. In addition, professionals must balance promoting independence with maintaining safety. For example, supporting a resident's wish to mobilise independently may increase the risk of falls, requiring careful risk assessment while respecting individual choice. Financial pressures and limited resources can further restrict the delivery of fully personalised care.</w:t>
      </w:r>
      <w:r w:rsidR="005204A9" w:rsidRPr="005204A9">
        <w:t xml:space="preserve"> </w:t>
      </w:r>
      <w:r w:rsidR="005204A9" w:rsidRPr="005204A9">
        <w:rPr>
          <w:rFonts w:ascii="Arial" w:hAnsi="Arial" w:cs="Arial"/>
          <w:sz w:val="22"/>
          <w:szCs w:val="22"/>
        </w:rPr>
        <w:t>(Health Education England et al., 2022).</w:t>
      </w:r>
    </w:p>
    <w:p w14:paraId="5AAA8985" w14:textId="77777777" w:rsidR="002D207A" w:rsidRPr="00382332" w:rsidRDefault="002D207A" w:rsidP="009C3999">
      <w:pPr>
        <w:spacing w:line="360" w:lineRule="auto"/>
        <w:jc w:val="both"/>
        <w:rPr>
          <w:rFonts w:ascii="Arial" w:hAnsi="Arial" w:cs="Arial"/>
          <w:b/>
          <w:bCs/>
          <w:sz w:val="22"/>
          <w:szCs w:val="22"/>
        </w:rPr>
      </w:pPr>
    </w:p>
    <w:p w14:paraId="23D270E4" w14:textId="77777777" w:rsidR="002D207A" w:rsidRPr="00382332" w:rsidRDefault="002D207A" w:rsidP="009C3999">
      <w:pPr>
        <w:spacing w:line="360" w:lineRule="auto"/>
        <w:jc w:val="both"/>
        <w:rPr>
          <w:rFonts w:ascii="Arial" w:hAnsi="Arial" w:cs="Arial"/>
          <w:b/>
          <w:bCs/>
          <w:sz w:val="22"/>
          <w:szCs w:val="22"/>
        </w:rPr>
      </w:pPr>
    </w:p>
    <w:p w14:paraId="6E1FCE32" w14:textId="77777777" w:rsidR="00692594" w:rsidRPr="00382332" w:rsidRDefault="00692594" w:rsidP="009C3999">
      <w:pPr>
        <w:spacing w:line="360" w:lineRule="auto"/>
        <w:jc w:val="both"/>
        <w:rPr>
          <w:rFonts w:ascii="Arial" w:hAnsi="Arial" w:cs="Arial"/>
          <w:b/>
          <w:bCs/>
          <w:sz w:val="22"/>
          <w:szCs w:val="22"/>
        </w:rPr>
      </w:pPr>
    </w:p>
    <w:p w14:paraId="1FB712D4" w14:textId="77777777" w:rsidR="00692594" w:rsidRPr="00382332" w:rsidRDefault="00692594" w:rsidP="009C3999">
      <w:pPr>
        <w:spacing w:line="360" w:lineRule="auto"/>
        <w:jc w:val="both"/>
        <w:rPr>
          <w:rFonts w:ascii="Arial" w:hAnsi="Arial" w:cs="Arial"/>
          <w:b/>
          <w:bCs/>
          <w:sz w:val="22"/>
          <w:szCs w:val="22"/>
        </w:rPr>
      </w:pPr>
    </w:p>
    <w:p w14:paraId="11608A79" w14:textId="77777777" w:rsidR="00692594" w:rsidRPr="00382332" w:rsidRDefault="00692594" w:rsidP="009C3999">
      <w:pPr>
        <w:spacing w:line="360" w:lineRule="auto"/>
        <w:jc w:val="both"/>
        <w:rPr>
          <w:rFonts w:ascii="Arial" w:hAnsi="Arial" w:cs="Arial"/>
          <w:b/>
          <w:bCs/>
          <w:sz w:val="22"/>
          <w:szCs w:val="22"/>
        </w:rPr>
      </w:pPr>
    </w:p>
    <w:p w14:paraId="6C96ECB9" w14:textId="77777777" w:rsidR="00692594" w:rsidRPr="00382332" w:rsidRDefault="00692594" w:rsidP="009C3999">
      <w:pPr>
        <w:spacing w:line="360" w:lineRule="auto"/>
        <w:jc w:val="both"/>
        <w:rPr>
          <w:rFonts w:ascii="Arial" w:hAnsi="Arial" w:cs="Arial"/>
          <w:b/>
          <w:bCs/>
          <w:sz w:val="22"/>
          <w:szCs w:val="22"/>
        </w:rPr>
      </w:pPr>
    </w:p>
    <w:p w14:paraId="4458CEA7" w14:textId="77777777" w:rsidR="00692594" w:rsidRPr="00382332" w:rsidRDefault="00692594" w:rsidP="009C3999">
      <w:pPr>
        <w:spacing w:line="360" w:lineRule="auto"/>
        <w:jc w:val="both"/>
        <w:rPr>
          <w:rFonts w:ascii="Arial" w:hAnsi="Arial" w:cs="Arial"/>
          <w:b/>
          <w:bCs/>
          <w:sz w:val="22"/>
          <w:szCs w:val="22"/>
        </w:rPr>
      </w:pPr>
    </w:p>
    <w:p w14:paraId="010F80A1" w14:textId="77777777" w:rsidR="00692594" w:rsidRPr="00382332" w:rsidRDefault="00692594" w:rsidP="009C3999">
      <w:pPr>
        <w:spacing w:line="360" w:lineRule="auto"/>
        <w:jc w:val="both"/>
        <w:rPr>
          <w:rFonts w:ascii="Arial" w:hAnsi="Arial" w:cs="Arial"/>
          <w:b/>
          <w:bCs/>
          <w:sz w:val="22"/>
          <w:szCs w:val="22"/>
        </w:rPr>
      </w:pPr>
    </w:p>
    <w:p w14:paraId="0837F706" w14:textId="4AC65550" w:rsidR="00562FE6" w:rsidRPr="00382332" w:rsidRDefault="00562FE6" w:rsidP="009C3999">
      <w:pPr>
        <w:spacing w:line="360" w:lineRule="auto"/>
        <w:jc w:val="both"/>
        <w:rPr>
          <w:rFonts w:ascii="Arial" w:hAnsi="Arial" w:cs="Arial"/>
          <w:b/>
          <w:bCs/>
          <w:sz w:val="22"/>
          <w:szCs w:val="22"/>
        </w:rPr>
      </w:pPr>
      <w:r w:rsidRPr="00382332">
        <w:rPr>
          <w:rFonts w:ascii="Arial" w:hAnsi="Arial" w:cs="Arial"/>
          <w:b/>
          <w:bCs/>
          <w:sz w:val="22"/>
          <w:szCs w:val="22"/>
        </w:rPr>
        <w:t>ERG THEORY AND PERSON-CENTRED CARE</w:t>
      </w:r>
    </w:p>
    <w:p w14:paraId="660C47C4" w14:textId="77777777" w:rsidR="00562FE6" w:rsidRPr="00382332" w:rsidRDefault="00562FE6" w:rsidP="009C3999">
      <w:pPr>
        <w:spacing w:line="360" w:lineRule="auto"/>
        <w:jc w:val="both"/>
        <w:rPr>
          <w:rFonts w:ascii="Arial" w:hAnsi="Arial" w:cs="Arial"/>
          <w:sz w:val="22"/>
          <w:szCs w:val="22"/>
        </w:rPr>
      </w:pPr>
      <w:r w:rsidRPr="00382332">
        <w:rPr>
          <w:rFonts w:ascii="Arial" w:hAnsi="Arial" w:cs="Arial"/>
          <w:sz w:val="22"/>
          <w:szCs w:val="22"/>
        </w:rPr>
        <w:t>Theories provide a framework for understanding human behaviour and support healthcare professionals in delivering individualised care. Alderfer's ERG Theory (1969), developed from Maslow's Hierarchy of Needs, groups human needs into three categories: Existence, Relatedness, and Growth. Unlike Maslow's model, ERG Theory suggests that these needs can occur simultaneously rather than following a strict hierarchy, making it more flexible when applied to health and social care.</w:t>
      </w:r>
    </w:p>
    <w:p w14:paraId="002A18F4" w14:textId="77777777" w:rsidR="00562FE6" w:rsidRPr="00382332" w:rsidRDefault="00562FE6" w:rsidP="009C3999">
      <w:pPr>
        <w:spacing w:line="360" w:lineRule="auto"/>
        <w:jc w:val="both"/>
        <w:rPr>
          <w:rFonts w:ascii="Arial" w:hAnsi="Arial" w:cs="Arial"/>
          <w:sz w:val="22"/>
          <w:szCs w:val="22"/>
        </w:rPr>
      </w:pPr>
      <w:r w:rsidRPr="00382332">
        <w:rPr>
          <w:rFonts w:ascii="Arial" w:hAnsi="Arial" w:cs="Arial"/>
          <w:sz w:val="22"/>
          <w:szCs w:val="22"/>
        </w:rPr>
        <w:t>Existence needs refer to fundamental physical requirements such as nutrition, hydration, comfort, safety, and healthcare. Within dementia care homes, these needs are essential because residents may experience difficulties communicating pain, hunger, or discomfort. Staff must therefore rely on observation, knowledge of the individual, and professional judgement to identify unmet needs. Kitwood (1997) argues that behaviours such as agitation or distress may represent attempts to communicate unmet physical or emotional needs rather than symptoms of dementia alone.</w:t>
      </w:r>
    </w:p>
    <w:p w14:paraId="6A0BE795" w14:textId="77777777" w:rsidR="00562FE6" w:rsidRPr="00382332" w:rsidRDefault="00562FE6" w:rsidP="009C3999">
      <w:pPr>
        <w:spacing w:line="360" w:lineRule="auto"/>
        <w:jc w:val="both"/>
        <w:rPr>
          <w:rFonts w:ascii="Arial" w:hAnsi="Arial" w:cs="Arial"/>
          <w:sz w:val="22"/>
          <w:szCs w:val="22"/>
        </w:rPr>
      </w:pPr>
      <w:r w:rsidRPr="00382332">
        <w:rPr>
          <w:rFonts w:ascii="Arial" w:hAnsi="Arial" w:cs="Arial"/>
          <w:sz w:val="22"/>
          <w:szCs w:val="22"/>
        </w:rPr>
        <w:t>Relatedness needs emphasise the importance of relationships, belonging, and social connection. This strongly aligns with person-centred care, as meaningful relationships between residents, families, and care staff enable professionals to understand an individual's preferences, personality, and life history. Kitwood (1997) highlights that preserving personhood through positive relationships is fundamental to maintaining identity and emotional wellbeing for people living with dementia.</w:t>
      </w:r>
    </w:p>
    <w:p w14:paraId="65C04001" w14:textId="77777777" w:rsidR="00562FE6" w:rsidRPr="00382332" w:rsidRDefault="00562FE6" w:rsidP="009C3999">
      <w:pPr>
        <w:spacing w:line="360" w:lineRule="auto"/>
        <w:jc w:val="both"/>
        <w:rPr>
          <w:rFonts w:ascii="Arial" w:hAnsi="Arial" w:cs="Arial"/>
          <w:sz w:val="22"/>
          <w:szCs w:val="22"/>
        </w:rPr>
      </w:pPr>
      <w:r w:rsidRPr="00382332">
        <w:rPr>
          <w:rFonts w:ascii="Arial" w:hAnsi="Arial" w:cs="Arial"/>
          <w:sz w:val="22"/>
          <w:szCs w:val="22"/>
        </w:rPr>
        <w:t>Growth needs relate to achievement, independence, and maintaining a sense of purpose. Although dementia may affect cognitive function, individuals can continue to experience fulfilment through meaningful activities adapted to their abilities and interests. Encouraging participation in hobbies, social activities, or daily routines supports dignity and independence while promoting quality of life (Brooker, 2007).</w:t>
      </w:r>
    </w:p>
    <w:p w14:paraId="1B645EC7" w14:textId="77777777" w:rsidR="00562FE6" w:rsidRPr="00382332" w:rsidRDefault="00562FE6" w:rsidP="009C3999">
      <w:pPr>
        <w:spacing w:line="360" w:lineRule="auto"/>
        <w:jc w:val="both"/>
        <w:rPr>
          <w:rFonts w:ascii="Arial" w:hAnsi="Arial" w:cs="Arial"/>
          <w:sz w:val="22"/>
          <w:szCs w:val="22"/>
        </w:rPr>
      </w:pPr>
      <w:r w:rsidRPr="00382332">
        <w:rPr>
          <w:rFonts w:ascii="Arial" w:hAnsi="Arial" w:cs="Arial"/>
          <w:sz w:val="22"/>
          <w:szCs w:val="22"/>
        </w:rPr>
        <w:t>ERG Theory provides several strengths when applied to person-centred dementia care. By recognising that individuals have physical, emotional, and social needs, it encourages a holistic approach that extends beyond clinical care. This supports the aims of PCC by promoting dignity, maintaining identity, and improving overall wellbeing.</w:t>
      </w:r>
    </w:p>
    <w:p w14:paraId="7494A7CB" w14:textId="44520BD8" w:rsidR="00562FE6" w:rsidRPr="00382332" w:rsidRDefault="00562FE6" w:rsidP="009C3999">
      <w:pPr>
        <w:spacing w:line="360" w:lineRule="auto"/>
        <w:jc w:val="both"/>
        <w:rPr>
          <w:rFonts w:ascii="Arial" w:hAnsi="Arial" w:cs="Arial"/>
          <w:sz w:val="22"/>
          <w:szCs w:val="22"/>
        </w:rPr>
      </w:pPr>
      <w:r w:rsidRPr="00382332">
        <w:rPr>
          <w:rFonts w:ascii="Arial" w:hAnsi="Arial" w:cs="Arial"/>
          <w:sz w:val="22"/>
          <w:szCs w:val="22"/>
        </w:rPr>
        <w:t xml:space="preserve">However, the theory also has limitations. ERG Theory was developed as a general theory of human motivation rather than a dementia-specific framework. Consequently, it does not fully address challenges associated with cognitive decline, communication difficulties, changing capacity, or the progressive nature of dementia. In practice, dementia care often requires </w:t>
      </w:r>
      <w:r w:rsidRPr="00382332">
        <w:rPr>
          <w:rFonts w:ascii="Arial" w:hAnsi="Arial" w:cs="Arial"/>
          <w:sz w:val="22"/>
          <w:szCs w:val="22"/>
        </w:rPr>
        <w:lastRenderedPageBreak/>
        <w:t xml:space="preserve">approaches that specifically focus on preserving personhood and adapting communication, such as </w:t>
      </w:r>
      <w:proofErr w:type="spellStart"/>
      <w:r w:rsidRPr="00382332">
        <w:rPr>
          <w:rFonts w:ascii="Arial" w:hAnsi="Arial" w:cs="Arial"/>
          <w:sz w:val="22"/>
          <w:szCs w:val="22"/>
        </w:rPr>
        <w:t>Kitwood's</w:t>
      </w:r>
      <w:proofErr w:type="spellEnd"/>
      <w:r w:rsidRPr="00382332">
        <w:rPr>
          <w:rFonts w:ascii="Arial" w:hAnsi="Arial" w:cs="Arial"/>
          <w:sz w:val="22"/>
          <w:szCs w:val="22"/>
        </w:rPr>
        <w:t xml:space="preserve"> person-centred model.</w:t>
      </w:r>
      <w:r w:rsidR="002301A0" w:rsidRPr="002301A0">
        <w:rPr>
          <w:rFonts w:ascii="Arial" w:hAnsi="Arial" w:cs="Arial"/>
          <w:sz w:val="22"/>
          <w:szCs w:val="22"/>
        </w:rPr>
        <w:t xml:space="preserve"> </w:t>
      </w:r>
      <w:r w:rsidR="002301A0" w:rsidRPr="00382332">
        <w:rPr>
          <w:rFonts w:ascii="Arial" w:hAnsi="Arial" w:cs="Arial"/>
          <w:sz w:val="22"/>
          <w:szCs w:val="22"/>
        </w:rPr>
        <w:t>(Brooker, 2007).</w:t>
      </w:r>
    </w:p>
    <w:p w14:paraId="05F61D19" w14:textId="0CD5A06D" w:rsidR="00562FE6" w:rsidRPr="00382332" w:rsidRDefault="00562FE6" w:rsidP="009C3999">
      <w:pPr>
        <w:spacing w:line="360" w:lineRule="auto"/>
        <w:jc w:val="both"/>
        <w:rPr>
          <w:rFonts w:ascii="Arial" w:hAnsi="Arial" w:cs="Arial"/>
          <w:sz w:val="22"/>
          <w:szCs w:val="22"/>
        </w:rPr>
      </w:pPr>
      <w:r w:rsidRPr="00382332">
        <w:rPr>
          <w:rFonts w:ascii="Arial" w:hAnsi="Arial" w:cs="Arial"/>
          <w:sz w:val="22"/>
          <w:szCs w:val="22"/>
        </w:rPr>
        <w:t>Furthermore, although ERG Theory categorises needs into three broad areas, the needs of people living with dementia are often dynamic and interconnected. For example, emotional distress may arise from unmet social needs rather than unmet physical needs alone. This highlights the importance of continuous assessment and flexible care planning to ensure support remains responsive to changing circumstances.</w:t>
      </w:r>
      <w:r w:rsidR="003921F8" w:rsidRPr="003921F8">
        <w:rPr>
          <w:rFonts w:ascii="Arial" w:hAnsi="Arial" w:cs="Arial"/>
          <w:sz w:val="22"/>
          <w:szCs w:val="22"/>
        </w:rPr>
        <w:t xml:space="preserve"> </w:t>
      </w:r>
      <w:proofErr w:type="spellStart"/>
      <w:r w:rsidR="003921F8" w:rsidRPr="00382332">
        <w:rPr>
          <w:rFonts w:ascii="Arial" w:hAnsi="Arial" w:cs="Arial"/>
          <w:sz w:val="22"/>
          <w:szCs w:val="22"/>
        </w:rPr>
        <w:t>Kitwood</w:t>
      </w:r>
      <w:proofErr w:type="spellEnd"/>
      <w:r w:rsidR="003921F8" w:rsidRPr="00382332">
        <w:rPr>
          <w:rFonts w:ascii="Arial" w:hAnsi="Arial" w:cs="Arial"/>
          <w:sz w:val="22"/>
          <w:szCs w:val="22"/>
        </w:rPr>
        <w:t xml:space="preserve"> (1997)</w:t>
      </w:r>
    </w:p>
    <w:p w14:paraId="4DC6EF6B" w14:textId="70A9BA1A" w:rsidR="00562FE6" w:rsidRPr="00382332" w:rsidRDefault="00562FE6" w:rsidP="009C3999">
      <w:pPr>
        <w:spacing w:line="360" w:lineRule="auto"/>
        <w:jc w:val="both"/>
        <w:rPr>
          <w:rFonts w:ascii="Arial" w:hAnsi="Arial" w:cs="Arial"/>
          <w:sz w:val="22"/>
          <w:szCs w:val="22"/>
        </w:rPr>
      </w:pPr>
      <w:r w:rsidRPr="00382332">
        <w:rPr>
          <w:rFonts w:ascii="Arial" w:hAnsi="Arial" w:cs="Arial"/>
          <w:sz w:val="22"/>
          <w:szCs w:val="22"/>
        </w:rPr>
        <w:t>Overall, ERG Theory provides a valuable foundation for understanding holistic care and supports many principles of person-centred practice. Nevertheless, it is most effective when combined with dementia-specific approaches that recognise the importance of identity, relationships, and personhood throughout the progression of the condition.</w:t>
      </w:r>
      <w:r w:rsidR="003921F8" w:rsidRPr="003921F8">
        <w:rPr>
          <w:rFonts w:ascii="Arial" w:hAnsi="Arial" w:cs="Arial"/>
          <w:sz w:val="22"/>
          <w:szCs w:val="22"/>
        </w:rPr>
        <w:t xml:space="preserve"> </w:t>
      </w:r>
      <w:proofErr w:type="spellStart"/>
      <w:r w:rsidR="003921F8" w:rsidRPr="00382332">
        <w:rPr>
          <w:rFonts w:ascii="Arial" w:hAnsi="Arial" w:cs="Arial"/>
          <w:sz w:val="22"/>
          <w:szCs w:val="22"/>
        </w:rPr>
        <w:t>Kitwood</w:t>
      </w:r>
      <w:proofErr w:type="spellEnd"/>
      <w:r w:rsidR="003921F8" w:rsidRPr="00382332">
        <w:rPr>
          <w:rFonts w:ascii="Arial" w:hAnsi="Arial" w:cs="Arial"/>
          <w:sz w:val="22"/>
          <w:szCs w:val="22"/>
        </w:rPr>
        <w:t xml:space="preserve"> (1997)</w:t>
      </w:r>
    </w:p>
    <w:p w14:paraId="3E36B103" w14:textId="77777777" w:rsidR="007706C9" w:rsidRPr="00382332" w:rsidRDefault="007706C9" w:rsidP="009C3999">
      <w:pPr>
        <w:spacing w:line="360" w:lineRule="auto"/>
        <w:jc w:val="both"/>
        <w:rPr>
          <w:rFonts w:ascii="Arial" w:hAnsi="Arial" w:cs="Arial"/>
          <w:b/>
          <w:bCs/>
          <w:sz w:val="22"/>
          <w:szCs w:val="22"/>
        </w:rPr>
      </w:pPr>
    </w:p>
    <w:p w14:paraId="2DEE7389" w14:textId="77777777" w:rsidR="007706C9" w:rsidRPr="00382332" w:rsidRDefault="007706C9" w:rsidP="009C3999">
      <w:pPr>
        <w:spacing w:line="360" w:lineRule="auto"/>
        <w:jc w:val="both"/>
        <w:rPr>
          <w:rFonts w:ascii="Arial" w:hAnsi="Arial" w:cs="Arial"/>
          <w:b/>
          <w:bCs/>
          <w:sz w:val="22"/>
          <w:szCs w:val="22"/>
        </w:rPr>
      </w:pPr>
    </w:p>
    <w:p w14:paraId="5045D750" w14:textId="77777777" w:rsidR="007706C9" w:rsidRPr="00382332" w:rsidRDefault="007706C9" w:rsidP="009C3999">
      <w:pPr>
        <w:spacing w:line="360" w:lineRule="auto"/>
        <w:jc w:val="both"/>
        <w:rPr>
          <w:rFonts w:ascii="Arial" w:hAnsi="Arial" w:cs="Arial"/>
          <w:b/>
          <w:bCs/>
          <w:sz w:val="22"/>
          <w:szCs w:val="22"/>
        </w:rPr>
      </w:pPr>
    </w:p>
    <w:p w14:paraId="22D4B93B" w14:textId="77777777" w:rsidR="007706C9" w:rsidRPr="00382332" w:rsidRDefault="007706C9" w:rsidP="009C3999">
      <w:pPr>
        <w:spacing w:line="360" w:lineRule="auto"/>
        <w:jc w:val="both"/>
        <w:rPr>
          <w:rFonts w:ascii="Arial" w:hAnsi="Arial" w:cs="Arial"/>
          <w:b/>
          <w:bCs/>
          <w:sz w:val="22"/>
          <w:szCs w:val="22"/>
        </w:rPr>
      </w:pPr>
    </w:p>
    <w:p w14:paraId="12389263" w14:textId="77777777" w:rsidR="007706C9" w:rsidRPr="00382332" w:rsidRDefault="007706C9" w:rsidP="009C3999">
      <w:pPr>
        <w:spacing w:line="360" w:lineRule="auto"/>
        <w:jc w:val="both"/>
        <w:rPr>
          <w:rFonts w:ascii="Arial" w:hAnsi="Arial" w:cs="Arial"/>
          <w:b/>
          <w:bCs/>
          <w:sz w:val="22"/>
          <w:szCs w:val="22"/>
        </w:rPr>
      </w:pPr>
    </w:p>
    <w:p w14:paraId="0C13576E" w14:textId="77777777" w:rsidR="007706C9" w:rsidRPr="00382332" w:rsidRDefault="007706C9" w:rsidP="009C3999">
      <w:pPr>
        <w:spacing w:line="360" w:lineRule="auto"/>
        <w:jc w:val="both"/>
        <w:rPr>
          <w:rFonts w:ascii="Arial" w:hAnsi="Arial" w:cs="Arial"/>
          <w:b/>
          <w:bCs/>
          <w:sz w:val="22"/>
          <w:szCs w:val="22"/>
        </w:rPr>
      </w:pPr>
    </w:p>
    <w:p w14:paraId="77B6DE5A" w14:textId="77777777" w:rsidR="007706C9" w:rsidRPr="00382332" w:rsidRDefault="007706C9" w:rsidP="009C3999">
      <w:pPr>
        <w:spacing w:line="360" w:lineRule="auto"/>
        <w:jc w:val="both"/>
        <w:rPr>
          <w:rFonts w:ascii="Arial" w:hAnsi="Arial" w:cs="Arial"/>
          <w:b/>
          <w:bCs/>
          <w:sz w:val="22"/>
          <w:szCs w:val="22"/>
        </w:rPr>
      </w:pPr>
    </w:p>
    <w:p w14:paraId="05125EE9" w14:textId="77777777" w:rsidR="007706C9" w:rsidRPr="00382332" w:rsidRDefault="007706C9" w:rsidP="009C3999">
      <w:pPr>
        <w:spacing w:line="360" w:lineRule="auto"/>
        <w:jc w:val="both"/>
        <w:rPr>
          <w:rFonts w:ascii="Arial" w:hAnsi="Arial" w:cs="Arial"/>
          <w:b/>
          <w:bCs/>
          <w:sz w:val="22"/>
          <w:szCs w:val="22"/>
        </w:rPr>
      </w:pPr>
    </w:p>
    <w:p w14:paraId="36DDAAE1" w14:textId="77777777" w:rsidR="007706C9" w:rsidRPr="00382332" w:rsidRDefault="007706C9" w:rsidP="009C3999">
      <w:pPr>
        <w:spacing w:line="360" w:lineRule="auto"/>
        <w:jc w:val="both"/>
        <w:rPr>
          <w:rFonts w:ascii="Arial" w:hAnsi="Arial" w:cs="Arial"/>
          <w:b/>
          <w:bCs/>
          <w:sz w:val="22"/>
          <w:szCs w:val="22"/>
        </w:rPr>
      </w:pPr>
    </w:p>
    <w:p w14:paraId="725FE61F" w14:textId="77777777" w:rsidR="007706C9" w:rsidRPr="00382332" w:rsidRDefault="007706C9" w:rsidP="009C3999">
      <w:pPr>
        <w:spacing w:line="360" w:lineRule="auto"/>
        <w:jc w:val="both"/>
        <w:rPr>
          <w:rFonts w:ascii="Arial" w:hAnsi="Arial" w:cs="Arial"/>
          <w:b/>
          <w:bCs/>
          <w:sz w:val="22"/>
          <w:szCs w:val="22"/>
        </w:rPr>
      </w:pPr>
    </w:p>
    <w:p w14:paraId="3F259BC2" w14:textId="77777777" w:rsidR="007706C9" w:rsidRPr="00382332" w:rsidRDefault="007706C9" w:rsidP="009C3999">
      <w:pPr>
        <w:spacing w:line="360" w:lineRule="auto"/>
        <w:jc w:val="both"/>
        <w:rPr>
          <w:rFonts w:ascii="Arial" w:hAnsi="Arial" w:cs="Arial"/>
          <w:b/>
          <w:bCs/>
          <w:sz w:val="22"/>
          <w:szCs w:val="22"/>
        </w:rPr>
      </w:pPr>
    </w:p>
    <w:p w14:paraId="3073B709" w14:textId="77777777" w:rsidR="007706C9" w:rsidRPr="00382332" w:rsidRDefault="007706C9" w:rsidP="009C3999">
      <w:pPr>
        <w:spacing w:line="360" w:lineRule="auto"/>
        <w:jc w:val="both"/>
        <w:rPr>
          <w:rFonts w:ascii="Arial" w:hAnsi="Arial" w:cs="Arial"/>
          <w:b/>
          <w:bCs/>
          <w:sz w:val="22"/>
          <w:szCs w:val="22"/>
        </w:rPr>
      </w:pPr>
    </w:p>
    <w:p w14:paraId="0D8D50AA" w14:textId="77777777" w:rsidR="007706C9" w:rsidRPr="00382332" w:rsidRDefault="007706C9" w:rsidP="009C3999">
      <w:pPr>
        <w:spacing w:line="360" w:lineRule="auto"/>
        <w:jc w:val="both"/>
        <w:rPr>
          <w:rFonts w:ascii="Arial" w:hAnsi="Arial" w:cs="Arial"/>
          <w:b/>
          <w:bCs/>
          <w:sz w:val="22"/>
          <w:szCs w:val="22"/>
        </w:rPr>
      </w:pPr>
    </w:p>
    <w:p w14:paraId="4CB9C08B" w14:textId="77777777" w:rsidR="007706C9" w:rsidRPr="00382332" w:rsidRDefault="007706C9" w:rsidP="009C3999">
      <w:pPr>
        <w:spacing w:line="360" w:lineRule="auto"/>
        <w:jc w:val="both"/>
        <w:rPr>
          <w:rFonts w:ascii="Arial" w:hAnsi="Arial" w:cs="Arial"/>
          <w:b/>
          <w:bCs/>
          <w:sz w:val="22"/>
          <w:szCs w:val="22"/>
        </w:rPr>
      </w:pPr>
    </w:p>
    <w:p w14:paraId="176B4EC0" w14:textId="77777777" w:rsidR="007706C9" w:rsidRPr="00382332" w:rsidRDefault="007706C9" w:rsidP="009C3999">
      <w:pPr>
        <w:spacing w:line="360" w:lineRule="auto"/>
        <w:jc w:val="both"/>
        <w:rPr>
          <w:rFonts w:ascii="Arial" w:hAnsi="Arial" w:cs="Arial"/>
          <w:b/>
          <w:bCs/>
          <w:sz w:val="22"/>
          <w:szCs w:val="22"/>
        </w:rPr>
      </w:pPr>
    </w:p>
    <w:p w14:paraId="717C5883" w14:textId="77777777" w:rsidR="007706C9" w:rsidRPr="00382332" w:rsidRDefault="007706C9" w:rsidP="009C3999">
      <w:pPr>
        <w:spacing w:line="360" w:lineRule="auto"/>
        <w:jc w:val="both"/>
        <w:rPr>
          <w:rFonts w:ascii="Arial" w:hAnsi="Arial" w:cs="Arial"/>
          <w:b/>
          <w:bCs/>
          <w:sz w:val="22"/>
          <w:szCs w:val="22"/>
        </w:rPr>
      </w:pPr>
    </w:p>
    <w:p w14:paraId="3081FBF3" w14:textId="77777777" w:rsidR="00391ADA" w:rsidRDefault="00391ADA" w:rsidP="009C3999">
      <w:pPr>
        <w:spacing w:line="360" w:lineRule="auto"/>
        <w:jc w:val="both"/>
        <w:rPr>
          <w:rFonts w:ascii="Arial" w:hAnsi="Arial" w:cs="Arial"/>
          <w:b/>
          <w:bCs/>
          <w:sz w:val="22"/>
          <w:szCs w:val="22"/>
        </w:rPr>
      </w:pPr>
    </w:p>
    <w:p w14:paraId="37A0A967" w14:textId="42E6EF95" w:rsidR="00562FE6" w:rsidRPr="00382332" w:rsidRDefault="00562FE6" w:rsidP="009C3999">
      <w:pPr>
        <w:spacing w:line="360" w:lineRule="auto"/>
        <w:jc w:val="both"/>
        <w:rPr>
          <w:rFonts w:ascii="Arial" w:hAnsi="Arial" w:cs="Arial"/>
          <w:b/>
          <w:bCs/>
          <w:sz w:val="22"/>
          <w:szCs w:val="22"/>
        </w:rPr>
      </w:pPr>
      <w:r w:rsidRPr="00382332">
        <w:rPr>
          <w:rFonts w:ascii="Arial" w:hAnsi="Arial" w:cs="Arial"/>
          <w:b/>
          <w:bCs/>
          <w:sz w:val="22"/>
          <w:szCs w:val="22"/>
        </w:rPr>
        <w:lastRenderedPageBreak/>
        <w:t>ETHICAL FUNDAMENTALS</w:t>
      </w:r>
    </w:p>
    <w:p w14:paraId="298FA6EA" w14:textId="168DD1B0" w:rsidR="00562FE6" w:rsidRPr="00382332" w:rsidRDefault="00562FE6" w:rsidP="009C3999">
      <w:pPr>
        <w:spacing w:line="360" w:lineRule="auto"/>
        <w:jc w:val="both"/>
        <w:rPr>
          <w:rFonts w:ascii="Arial" w:hAnsi="Arial" w:cs="Arial"/>
          <w:sz w:val="22"/>
          <w:szCs w:val="22"/>
        </w:rPr>
      </w:pPr>
      <w:r w:rsidRPr="00382332">
        <w:rPr>
          <w:rFonts w:ascii="Arial" w:hAnsi="Arial" w:cs="Arial"/>
          <w:sz w:val="22"/>
          <w:szCs w:val="22"/>
        </w:rPr>
        <w:t>Ethical principles underpin person-centred care (PCC) and partnership working (PW) by ensuring care is delivered in a way that respects individuals' rights, dignity, and wellbeing. The four key principles—autonomy, beneficence, non-maleficence, and justice—guide decision-making within dementia care and help professionals balance individual preferences with legal and professional responsibilities.</w:t>
      </w:r>
      <w:r w:rsidR="001E09E5" w:rsidRPr="001E09E5">
        <w:t xml:space="preserve"> </w:t>
      </w:r>
      <w:r w:rsidR="001E09E5" w:rsidRPr="001E09E5">
        <w:rPr>
          <w:rFonts w:ascii="Arial" w:hAnsi="Arial" w:cs="Arial"/>
          <w:sz w:val="22"/>
          <w:szCs w:val="22"/>
        </w:rPr>
        <w:t>(NICE, 2018; Equality Act 2010).</w:t>
      </w:r>
    </w:p>
    <w:p w14:paraId="07033853" w14:textId="5F113986" w:rsidR="00562FE6" w:rsidRPr="00382332" w:rsidRDefault="00562FE6" w:rsidP="009C3999">
      <w:pPr>
        <w:spacing w:line="360" w:lineRule="auto"/>
        <w:jc w:val="both"/>
        <w:rPr>
          <w:rFonts w:ascii="Arial" w:hAnsi="Arial" w:cs="Arial"/>
          <w:sz w:val="22"/>
          <w:szCs w:val="22"/>
        </w:rPr>
      </w:pPr>
      <w:r w:rsidRPr="00382332">
        <w:rPr>
          <w:rFonts w:ascii="Arial" w:hAnsi="Arial" w:cs="Arial"/>
          <w:sz w:val="22"/>
          <w:szCs w:val="22"/>
        </w:rPr>
        <w:t>Autonomy recognises an individual's right to make informed decisions about their care and supports shared decision-making wherever possible. Beneficence requires healthcare professionals to act in the person's best interests, while non-maleficence aims to prevent unnecessary harm. Justice ensures people with dementia receive fair and equitable access to services regardless of age or disability.</w:t>
      </w:r>
      <w:r w:rsidR="00042618" w:rsidRPr="00042618">
        <w:t xml:space="preserve"> </w:t>
      </w:r>
      <w:r w:rsidR="00042618" w:rsidRPr="00042618">
        <w:rPr>
          <w:rFonts w:ascii="Arial" w:hAnsi="Arial" w:cs="Arial"/>
          <w:sz w:val="22"/>
          <w:szCs w:val="22"/>
        </w:rPr>
        <w:t>(NICE, 2018; Equality Act 2010).</w:t>
      </w:r>
    </w:p>
    <w:p w14:paraId="21948F69" w14:textId="77777777" w:rsidR="00562FE6" w:rsidRPr="00382332" w:rsidRDefault="00562FE6" w:rsidP="009C3999">
      <w:pPr>
        <w:spacing w:line="360" w:lineRule="auto"/>
        <w:jc w:val="both"/>
        <w:rPr>
          <w:rFonts w:ascii="Arial" w:hAnsi="Arial" w:cs="Arial"/>
          <w:sz w:val="22"/>
          <w:szCs w:val="22"/>
        </w:rPr>
      </w:pPr>
      <w:r w:rsidRPr="00382332">
        <w:rPr>
          <w:rFonts w:ascii="Arial" w:hAnsi="Arial" w:cs="Arial"/>
          <w:sz w:val="22"/>
          <w:szCs w:val="22"/>
        </w:rPr>
        <w:t>An ethical dilemma may arise when a resident with dementia refuses essential medication despite professionals and family members believing it is necessary. While encouraging treatment may reflect beneficence and non-maleficence, forcing medication could compromise the individual's autonomy. Dementia does not automatically remove decision-making capacity; therefore, under the Mental Capacity Act (2005), capacity must be assessed in relation to the specific decision.</w:t>
      </w:r>
    </w:p>
    <w:p w14:paraId="5B4E7F04" w14:textId="5D85F13D" w:rsidR="00562FE6" w:rsidRPr="00382332" w:rsidRDefault="00562FE6" w:rsidP="009C3999">
      <w:pPr>
        <w:spacing w:line="360" w:lineRule="auto"/>
        <w:jc w:val="both"/>
        <w:rPr>
          <w:rFonts w:ascii="Arial" w:hAnsi="Arial" w:cs="Arial"/>
          <w:sz w:val="22"/>
          <w:szCs w:val="22"/>
        </w:rPr>
      </w:pPr>
      <w:r w:rsidRPr="00382332">
        <w:rPr>
          <w:rFonts w:ascii="Arial" w:hAnsi="Arial" w:cs="Arial"/>
          <w:sz w:val="22"/>
          <w:szCs w:val="22"/>
        </w:rPr>
        <w:t>Partnership working is essential when resolving such dilemmas. Care staff, healthcare professionals, the resident, and family members should work collaboratively to identify reasons for refusal, such as fear, discomfort, or misunderstanding. A person-centred approach may involve adjusting how medication is offered or exploring alternative treatments while ensuring any decision made on behalf of a person lacking capacity is in their best interests. This demonstrates the need to balance individual choice with safeguarding responsibilities while respecting the person's values and dignity.</w:t>
      </w:r>
      <w:r w:rsidR="002B7D9A" w:rsidRPr="002B7D9A">
        <w:t xml:space="preserve"> </w:t>
      </w:r>
      <w:r w:rsidR="002B7D9A" w:rsidRPr="002B7D9A">
        <w:rPr>
          <w:rFonts w:ascii="Arial" w:hAnsi="Arial" w:cs="Arial"/>
          <w:sz w:val="22"/>
          <w:szCs w:val="22"/>
        </w:rPr>
        <w:t>(McCormack and McCance, 2021; NMC, 2018).</w:t>
      </w:r>
    </w:p>
    <w:p w14:paraId="172A2CEA" w14:textId="77777777" w:rsidR="007706C9" w:rsidRPr="00382332" w:rsidRDefault="007706C9" w:rsidP="009C3999">
      <w:pPr>
        <w:spacing w:line="360" w:lineRule="auto"/>
        <w:jc w:val="both"/>
        <w:rPr>
          <w:rFonts w:ascii="Arial" w:hAnsi="Arial" w:cs="Arial"/>
          <w:b/>
          <w:bCs/>
          <w:sz w:val="22"/>
          <w:szCs w:val="22"/>
        </w:rPr>
      </w:pPr>
    </w:p>
    <w:p w14:paraId="3B88AB6E" w14:textId="77777777" w:rsidR="007706C9" w:rsidRPr="00382332" w:rsidRDefault="007706C9" w:rsidP="009C3999">
      <w:pPr>
        <w:spacing w:line="360" w:lineRule="auto"/>
        <w:jc w:val="both"/>
        <w:rPr>
          <w:rFonts w:ascii="Arial" w:hAnsi="Arial" w:cs="Arial"/>
          <w:b/>
          <w:bCs/>
          <w:sz w:val="22"/>
          <w:szCs w:val="22"/>
        </w:rPr>
      </w:pPr>
    </w:p>
    <w:p w14:paraId="0AD8F8CF" w14:textId="77777777" w:rsidR="007706C9" w:rsidRPr="00382332" w:rsidRDefault="007706C9" w:rsidP="009C3999">
      <w:pPr>
        <w:spacing w:line="360" w:lineRule="auto"/>
        <w:jc w:val="both"/>
        <w:rPr>
          <w:rFonts w:ascii="Arial" w:hAnsi="Arial" w:cs="Arial"/>
          <w:b/>
          <w:bCs/>
          <w:sz w:val="22"/>
          <w:szCs w:val="22"/>
        </w:rPr>
      </w:pPr>
    </w:p>
    <w:p w14:paraId="344F5D10" w14:textId="77777777" w:rsidR="007706C9" w:rsidRPr="00382332" w:rsidRDefault="007706C9" w:rsidP="009C3999">
      <w:pPr>
        <w:spacing w:line="360" w:lineRule="auto"/>
        <w:jc w:val="both"/>
        <w:rPr>
          <w:rFonts w:ascii="Arial" w:hAnsi="Arial" w:cs="Arial"/>
          <w:b/>
          <w:bCs/>
          <w:sz w:val="22"/>
          <w:szCs w:val="22"/>
        </w:rPr>
      </w:pPr>
    </w:p>
    <w:p w14:paraId="3D0EC25A" w14:textId="77777777" w:rsidR="007706C9" w:rsidRPr="00382332" w:rsidRDefault="007706C9" w:rsidP="009C3999">
      <w:pPr>
        <w:spacing w:line="360" w:lineRule="auto"/>
        <w:jc w:val="both"/>
        <w:rPr>
          <w:rFonts w:ascii="Arial" w:hAnsi="Arial" w:cs="Arial"/>
          <w:b/>
          <w:bCs/>
          <w:sz w:val="22"/>
          <w:szCs w:val="22"/>
        </w:rPr>
      </w:pPr>
    </w:p>
    <w:p w14:paraId="71A87988" w14:textId="77777777" w:rsidR="007706C9" w:rsidRPr="00382332" w:rsidRDefault="007706C9" w:rsidP="009C3999">
      <w:pPr>
        <w:spacing w:line="360" w:lineRule="auto"/>
        <w:jc w:val="both"/>
        <w:rPr>
          <w:rFonts w:ascii="Arial" w:hAnsi="Arial" w:cs="Arial"/>
          <w:b/>
          <w:bCs/>
          <w:sz w:val="22"/>
          <w:szCs w:val="22"/>
        </w:rPr>
      </w:pPr>
    </w:p>
    <w:p w14:paraId="4EFEBF29" w14:textId="77777777" w:rsidR="007706C9" w:rsidRPr="00382332" w:rsidRDefault="007706C9" w:rsidP="009C3999">
      <w:pPr>
        <w:spacing w:line="360" w:lineRule="auto"/>
        <w:jc w:val="both"/>
        <w:rPr>
          <w:rFonts w:ascii="Arial" w:hAnsi="Arial" w:cs="Arial"/>
          <w:b/>
          <w:bCs/>
          <w:sz w:val="22"/>
          <w:szCs w:val="22"/>
        </w:rPr>
      </w:pPr>
    </w:p>
    <w:p w14:paraId="5F2E7F6C" w14:textId="77777777" w:rsidR="007706C9" w:rsidRPr="00382332" w:rsidRDefault="007706C9" w:rsidP="009C3999">
      <w:pPr>
        <w:spacing w:line="360" w:lineRule="auto"/>
        <w:jc w:val="both"/>
        <w:rPr>
          <w:rFonts w:ascii="Arial" w:hAnsi="Arial" w:cs="Arial"/>
          <w:b/>
          <w:bCs/>
          <w:sz w:val="22"/>
          <w:szCs w:val="22"/>
        </w:rPr>
      </w:pPr>
    </w:p>
    <w:p w14:paraId="6D6BAE6B" w14:textId="676D3481" w:rsidR="00562FE6" w:rsidRPr="00382332" w:rsidRDefault="00562FE6" w:rsidP="009C3999">
      <w:pPr>
        <w:spacing w:line="360" w:lineRule="auto"/>
        <w:jc w:val="both"/>
        <w:rPr>
          <w:rFonts w:ascii="Arial" w:hAnsi="Arial" w:cs="Arial"/>
          <w:b/>
          <w:bCs/>
          <w:sz w:val="22"/>
          <w:szCs w:val="22"/>
        </w:rPr>
      </w:pPr>
      <w:r w:rsidRPr="00382332">
        <w:rPr>
          <w:rFonts w:ascii="Arial" w:hAnsi="Arial" w:cs="Arial"/>
          <w:b/>
          <w:bCs/>
          <w:sz w:val="22"/>
          <w:szCs w:val="22"/>
        </w:rPr>
        <w:t>EVALUATION OF PARTNERSHIP WORKING</w:t>
      </w:r>
    </w:p>
    <w:p w14:paraId="570F2346" w14:textId="77777777" w:rsidR="00562FE6" w:rsidRPr="00382332" w:rsidRDefault="00562FE6" w:rsidP="009C3999">
      <w:pPr>
        <w:spacing w:line="360" w:lineRule="auto"/>
        <w:jc w:val="both"/>
        <w:rPr>
          <w:rFonts w:ascii="Arial" w:hAnsi="Arial" w:cs="Arial"/>
          <w:sz w:val="22"/>
          <w:szCs w:val="22"/>
        </w:rPr>
      </w:pPr>
      <w:r w:rsidRPr="00382332">
        <w:rPr>
          <w:rFonts w:ascii="Arial" w:hAnsi="Arial" w:cs="Arial"/>
          <w:sz w:val="22"/>
          <w:szCs w:val="22"/>
        </w:rPr>
        <w:t>Partnership working refers to collaboration between professionals, organisations, individuals, and families to deliver coordinated, person-centred care. It is particularly important within dementia care because residents often have complex physical, psychological, and social needs that require input from multiple services.</w:t>
      </w:r>
    </w:p>
    <w:p w14:paraId="7AC91D8D" w14:textId="77777777" w:rsidR="00562FE6" w:rsidRPr="00382332" w:rsidRDefault="00562FE6" w:rsidP="009C3999">
      <w:pPr>
        <w:spacing w:line="360" w:lineRule="auto"/>
        <w:jc w:val="both"/>
        <w:rPr>
          <w:rFonts w:ascii="Arial" w:hAnsi="Arial" w:cs="Arial"/>
          <w:sz w:val="22"/>
          <w:szCs w:val="22"/>
        </w:rPr>
      </w:pPr>
      <w:r w:rsidRPr="00382332">
        <w:rPr>
          <w:rFonts w:ascii="Arial" w:hAnsi="Arial" w:cs="Arial"/>
          <w:sz w:val="22"/>
          <w:szCs w:val="22"/>
        </w:rPr>
        <w:t>The introduction of Integrated Care Systems (ICSs) in England has strengthened partnership working by encouraging NHS organisations, local authorities, and care providers to collaborate in planning and delivering services. This integrated approach aims to improve continuity of care, reduce service fragmentation, and achieve better outcomes for individuals.</w:t>
      </w:r>
    </w:p>
    <w:p w14:paraId="107FA45C" w14:textId="2F073BD4" w:rsidR="00562FE6" w:rsidRPr="00382332" w:rsidRDefault="00562FE6" w:rsidP="009C3999">
      <w:pPr>
        <w:spacing w:line="360" w:lineRule="auto"/>
        <w:jc w:val="both"/>
        <w:rPr>
          <w:rFonts w:ascii="Arial" w:hAnsi="Arial" w:cs="Arial"/>
          <w:sz w:val="22"/>
          <w:szCs w:val="22"/>
        </w:rPr>
      </w:pPr>
      <w:r w:rsidRPr="00382332">
        <w:rPr>
          <w:rFonts w:ascii="Arial" w:hAnsi="Arial" w:cs="Arial"/>
          <w:sz w:val="22"/>
          <w:szCs w:val="22"/>
        </w:rPr>
        <w:t>A major strength of partnership working is improved communication between professionals, allowing care plans to reflect residents' changing needs. Collaboration between care home staff, GPs, social workers, nurses, therapists, residents, and family members supports holistic care by addressing physical health alongside emotional and social wellbeing. Early identification of concerns can also reduce avoidable hospital admissions and improve continuity of care.</w:t>
      </w:r>
      <w:r w:rsidR="00574911" w:rsidRPr="00574911">
        <w:t xml:space="preserve"> </w:t>
      </w:r>
      <w:r w:rsidR="00574911" w:rsidRPr="00574911">
        <w:rPr>
          <w:rFonts w:ascii="Arial" w:hAnsi="Arial" w:cs="Arial"/>
          <w:sz w:val="22"/>
          <w:szCs w:val="22"/>
        </w:rPr>
        <w:t>(Glasby and Dickinson, 2014; NICE, 2018)</w:t>
      </w:r>
    </w:p>
    <w:p w14:paraId="0BD113E6" w14:textId="63DFD4D8" w:rsidR="00562FE6" w:rsidRPr="00382332" w:rsidRDefault="00562FE6" w:rsidP="009C3999">
      <w:pPr>
        <w:spacing w:line="360" w:lineRule="auto"/>
        <w:jc w:val="both"/>
        <w:rPr>
          <w:rFonts w:ascii="Arial" w:hAnsi="Arial" w:cs="Arial"/>
          <w:sz w:val="22"/>
          <w:szCs w:val="22"/>
        </w:rPr>
      </w:pPr>
      <w:r w:rsidRPr="00382332">
        <w:rPr>
          <w:rFonts w:ascii="Arial" w:hAnsi="Arial" w:cs="Arial"/>
          <w:sz w:val="22"/>
          <w:szCs w:val="22"/>
        </w:rPr>
        <w:t>However, effective partnership working is not without challenges. Communication barriers, incompatible documentation systems, and differing organisational priorities may delay decision-making or create inconsistencies in care delivery. Unclear professional roles and increasing workforce pressures can further affect collaboration, potentially reducing the effectiveness of integrated care.</w:t>
      </w:r>
      <w:r w:rsidR="00505DDD" w:rsidRPr="00505DDD">
        <w:rPr>
          <w:b/>
          <w:bCs/>
        </w:rPr>
        <w:t xml:space="preserve"> </w:t>
      </w:r>
      <w:r w:rsidR="00505DDD" w:rsidRPr="00505DDD">
        <w:rPr>
          <w:rFonts w:ascii="Arial" w:hAnsi="Arial" w:cs="Arial"/>
          <w:sz w:val="22"/>
          <w:szCs w:val="22"/>
        </w:rPr>
        <w:t>(Health and Care Act 2022; NHS England, 2022).</w:t>
      </w:r>
    </w:p>
    <w:p w14:paraId="6EF5140D" w14:textId="34EBE3D2" w:rsidR="00562FE6" w:rsidRPr="00382332" w:rsidRDefault="00562FE6" w:rsidP="009C3999">
      <w:pPr>
        <w:spacing w:line="360" w:lineRule="auto"/>
        <w:jc w:val="both"/>
        <w:rPr>
          <w:rFonts w:ascii="Arial" w:hAnsi="Arial" w:cs="Arial"/>
          <w:sz w:val="22"/>
          <w:szCs w:val="22"/>
        </w:rPr>
      </w:pPr>
      <w:r w:rsidRPr="00382332">
        <w:rPr>
          <w:rFonts w:ascii="Arial" w:hAnsi="Arial" w:cs="Arial"/>
          <w:sz w:val="22"/>
          <w:szCs w:val="22"/>
        </w:rPr>
        <w:t>Overall, successful partnership working enhances person-centred dementia care by promoting coordinated decision-making and ensuring residents receive support that reflects their individual needs. However, its effectiveness depends upon clear communication, mutual trust, and shared professional responsibility.</w:t>
      </w:r>
      <w:r w:rsidR="001C26DB" w:rsidRPr="001C26DB">
        <w:t xml:space="preserve"> </w:t>
      </w:r>
      <w:r w:rsidR="001C26DB" w:rsidRPr="001C26DB">
        <w:rPr>
          <w:rFonts w:ascii="Arial" w:hAnsi="Arial" w:cs="Arial"/>
          <w:sz w:val="22"/>
          <w:szCs w:val="22"/>
        </w:rPr>
        <w:t>(NICE, 2018; SCIE, 2022).</w:t>
      </w:r>
    </w:p>
    <w:p w14:paraId="687479A9" w14:textId="77777777" w:rsidR="000417E4" w:rsidRPr="00382332" w:rsidRDefault="000417E4" w:rsidP="009C3999">
      <w:pPr>
        <w:spacing w:line="360" w:lineRule="auto"/>
        <w:jc w:val="both"/>
        <w:rPr>
          <w:rFonts w:ascii="Arial" w:hAnsi="Arial" w:cs="Arial"/>
          <w:b/>
          <w:bCs/>
          <w:sz w:val="22"/>
          <w:szCs w:val="22"/>
        </w:rPr>
      </w:pPr>
    </w:p>
    <w:p w14:paraId="6EEDB57A" w14:textId="77777777" w:rsidR="000417E4" w:rsidRPr="00382332" w:rsidRDefault="000417E4" w:rsidP="009C3999">
      <w:pPr>
        <w:spacing w:line="360" w:lineRule="auto"/>
        <w:jc w:val="both"/>
        <w:rPr>
          <w:rFonts w:ascii="Arial" w:hAnsi="Arial" w:cs="Arial"/>
          <w:b/>
          <w:bCs/>
          <w:sz w:val="22"/>
          <w:szCs w:val="22"/>
        </w:rPr>
      </w:pPr>
    </w:p>
    <w:p w14:paraId="3B52B85C" w14:textId="77777777" w:rsidR="000417E4" w:rsidRPr="00382332" w:rsidRDefault="000417E4" w:rsidP="009C3999">
      <w:pPr>
        <w:spacing w:line="360" w:lineRule="auto"/>
        <w:jc w:val="both"/>
        <w:rPr>
          <w:rFonts w:ascii="Arial" w:hAnsi="Arial" w:cs="Arial"/>
          <w:b/>
          <w:bCs/>
          <w:sz w:val="22"/>
          <w:szCs w:val="22"/>
        </w:rPr>
      </w:pPr>
    </w:p>
    <w:p w14:paraId="553F30D5" w14:textId="77777777" w:rsidR="000417E4" w:rsidRPr="00382332" w:rsidRDefault="000417E4" w:rsidP="009C3999">
      <w:pPr>
        <w:spacing w:line="360" w:lineRule="auto"/>
        <w:jc w:val="both"/>
        <w:rPr>
          <w:rFonts w:ascii="Arial" w:hAnsi="Arial" w:cs="Arial"/>
          <w:b/>
          <w:bCs/>
          <w:sz w:val="22"/>
          <w:szCs w:val="22"/>
        </w:rPr>
      </w:pPr>
    </w:p>
    <w:p w14:paraId="03A0C2A9" w14:textId="77777777" w:rsidR="000417E4" w:rsidRPr="00382332" w:rsidRDefault="000417E4" w:rsidP="009C3999">
      <w:pPr>
        <w:spacing w:line="360" w:lineRule="auto"/>
        <w:jc w:val="both"/>
        <w:rPr>
          <w:rFonts w:ascii="Arial" w:hAnsi="Arial" w:cs="Arial"/>
          <w:b/>
          <w:bCs/>
          <w:sz w:val="22"/>
          <w:szCs w:val="22"/>
        </w:rPr>
      </w:pPr>
    </w:p>
    <w:p w14:paraId="615AD371" w14:textId="77777777" w:rsidR="000417E4" w:rsidRPr="00382332" w:rsidRDefault="000417E4" w:rsidP="009C3999">
      <w:pPr>
        <w:spacing w:line="360" w:lineRule="auto"/>
        <w:jc w:val="both"/>
        <w:rPr>
          <w:rFonts w:ascii="Arial" w:hAnsi="Arial" w:cs="Arial"/>
          <w:b/>
          <w:bCs/>
          <w:sz w:val="22"/>
          <w:szCs w:val="22"/>
        </w:rPr>
      </w:pPr>
    </w:p>
    <w:p w14:paraId="0EB2E81F" w14:textId="77777777" w:rsidR="00391ADA" w:rsidRDefault="00391ADA" w:rsidP="009C3999">
      <w:pPr>
        <w:spacing w:line="360" w:lineRule="auto"/>
        <w:jc w:val="both"/>
        <w:rPr>
          <w:rFonts w:ascii="Arial" w:hAnsi="Arial" w:cs="Arial"/>
          <w:b/>
          <w:bCs/>
          <w:sz w:val="22"/>
          <w:szCs w:val="22"/>
        </w:rPr>
      </w:pPr>
    </w:p>
    <w:p w14:paraId="4B0F2B16" w14:textId="4ABB4E2D" w:rsidR="00562FE6" w:rsidRPr="00382332" w:rsidRDefault="00562FE6" w:rsidP="009C3999">
      <w:pPr>
        <w:spacing w:line="360" w:lineRule="auto"/>
        <w:jc w:val="both"/>
        <w:rPr>
          <w:rFonts w:ascii="Arial" w:hAnsi="Arial" w:cs="Arial"/>
          <w:b/>
          <w:bCs/>
          <w:sz w:val="22"/>
          <w:szCs w:val="22"/>
        </w:rPr>
      </w:pPr>
      <w:r w:rsidRPr="00382332">
        <w:rPr>
          <w:rFonts w:ascii="Arial" w:hAnsi="Arial" w:cs="Arial"/>
          <w:b/>
          <w:bCs/>
          <w:sz w:val="22"/>
          <w:szCs w:val="22"/>
        </w:rPr>
        <w:t>POLICY AND LEGISLATION</w:t>
      </w:r>
    </w:p>
    <w:p w14:paraId="1FF4C848" w14:textId="77777777" w:rsidR="00562FE6" w:rsidRPr="00382332" w:rsidRDefault="00562FE6" w:rsidP="009C3999">
      <w:pPr>
        <w:spacing w:line="360" w:lineRule="auto"/>
        <w:jc w:val="both"/>
        <w:rPr>
          <w:rFonts w:ascii="Arial" w:hAnsi="Arial" w:cs="Arial"/>
          <w:sz w:val="22"/>
          <w:szCs w:val="22"/>
        </w:rPr>
      </w:pPr>
      <w:r w:rsidRPr="00382332">
        <w:rPr>
          <w:rFonts w:ascii="Arial" w:hAnsi="Arial" w:cs="Arial"/>
          <w:sz w:val="22"/>
          <w:szCs w:val="22"/>
        </w:rPr>
        <w:t>Legislation provides the legal framework that supports person-centred care and partnership working while protecting the rights of people living with dementia.</w:t>
      </w:r>
    </w:p>
    <w:p w14:paraId="0CB42B1B" w14:textId="77777777" w:rsidR="00562FE6" w:rsidRPr="00382332" w:rsidRDefault="00562FE6" w:rsidP="009C3999">
      <w:pPr>
        <w:spacing w:line="360" w:lineRule="auto"/>
        <w:jc w:val="both"/>
        <w:rPr>
          <w:rFonts w:ascii="Arial" w:hAnsi="Arial" w:cs="Arial"/>
          <w:sz w:val="22"/>
          <w:szCs w:val="22"/>
        </w:rPr>
      </w:pPr>
      <w:r w:rsidRPr="00382332">
        <w:rPr>
          <w:rFonts w:ascii="Arial" w:hAnsi="Arial" w:cs="Arial"/>
          <w:sz w:val="22"/>
          <w:szCs w:val="22"/>
        </w:rPr>
        <w:t>The Care Act 2014 promotes wellbeing, dignity, independence, and personalised care by requiring local authorities and care providers to place individuals at the centre of decision-making. Within dementia care homes, this supports the development of personalised care plans based on residents' preferences, abilities, and life experiences while encouraging collaboration between professionals and families.</w:t>
      </w:r>
    </w:p>
    <w:p w14:paraId="76E66014" w14:textId="0D1A273C" w:rsidR="00562FE6" w:rsidRPr="00382332" w:rsidRDefault="00562FE6" w:rsidP="009C3999">
      <w:pPr>
        <w:spacing w:line="360" w:lineRule="auto"/>
        <w:jc w:val="both"/>
        <w:rPr>
          <w:rFonts w:ascii="Arial" w:hAnsi="Arial" w:cs="Arial"/>
          <w:sz w:val="22"/>
          <w:szCs w:val="22"/>
        </w:rPr>
      </w:pPr>
      <w:r w:rsidRPr="00382332">
        <w:rPr>
          <w:rFonts w:ascii="Arial" w:hAnsi="Arial" w:cs="Arial"/>
          <w:sz w:val="22"/>
          <w:szCs w:val="22"/>
        </w:rPr>
        <w:t xml:space="preserve">The Health and Care Act 2022 further </w:t>
      </w:r>
      <w:r w:rsidR="00692594" w:rsidRPr="00382332">
        <w:rPr>
          <w:rFonts w:ascii="Arial" w:hAnsi="Arial" w:cs="Arial"/>
          <w:sz w:val="22"/>
          <w:szCs w:val="22"/>
        </w:rPr>
        <w:t>strengthen</w:t>
      </w:r>
      <w:r w:rsidRPr="00382332">
        <w:rPr>
          <w:rFonts w:ascii="Arial" w:hAnsi="Arial" w:cs="Arial"/>
          <w:sz w:val="22"/>
          <w:szCs w:val="22"/>
        </w:rPr>
        <w:t xml:space="preserve"> partnership working through the establishment of Integrated Care Systems, promoting greater collaboration between health and social care organisations. Although this has improved service integration, implementation may still be affected by workforce shortages, limited resources, and communication challenges across organisations.</w:t>
      </w:r>
    </w:p>
    <w:p w14:paraId="7F00E516" w14:textId="77777777" w:rsidR="00562FE6" w:rsidRPr="00382332" w:rsidRDefault="00562FE6" w:rsidP="009C3999">
      <w:pPr>
        <w:spacing w:line="360" w:lineRule="auto"/>
        <w:jc w:val="both"/>
        <w:rPr>
          <w:rFonts w:ascii="Arial" w:hAnsi="Arial" w:cs="Arial"/>
          <w:sz w:val="22"/>
          <w:szCs w:val="22"/>
        </w:rPr>
      </w:pPr>
      <w:r w:rsidRPr="00382332">
        <w:rPr>
          <w:rFonts w:ascii="Arial" w:hAnsi="Arial" w:cs="Arial"/>
          <w:sz w:val="22"/>
          <w:szCs w:val="22"/>
        </w:rPr>
        <w:t>The Human Rights Act 1998 protects fundamental rights, including dignity, privacy, and respect for family life, while the Equality Act 2010 requires services to make reasonable adjustments that prevent discrimination against individuals with disabilities, including dementia. For example, adapting communication methods or providing accessible information enables residents to remain involved in decisions about their care.</w:t>
      </w:r>
    </w:p>
    <w:p w14:paraId="606166B7" w14:textId="24367D5B" w:rsidR="00562FE6" w:rsidRPr="00382332" w:rsidRDefault="00562FE6" w:rsidP="009C3999">
      <w:pPr>
        <w:spacing w:line="360" w:lineRule="auto"/>
        <w:jc w:val="both"/>
        <w:rPr>
          <w:rFonts w:ascii="Arial" w:hAnsi="Arial" w:cs="Arial"/>
          <w:sz w:val="22"/>
          <w:szCs w:val="22"/>
        </w:rPr>
      </w:pPr>
      <w:r w:rsidRPr="00382332">
        <w:rPr>
          <w:rFonts w:ascii="Arial" w:hAnsi="Arial" w:cs="Arial"/>
          <w:sz w:val="22"/>
          <w:szCs w:val="22"/>
        </w:rPr>
        <w:t>Together, these legislative frameworks support the delivery of person-centred, rights-based care. However, effective implementation relies on professional judgement, appropriate staff training, and ongoing collaboration to balance individual autonomy with safeguarding responsibilities.</w:t>
      </w:r>
      <w:r w:rsidR="00EE6620" w:rsidRPr="00EE6620">
        <w:rPr>
          <w:rFonts w:ascii="Arial" w:hAnsi="Arial" w:cs="Arial"/>
          <w:sz w:val="22"/>
          <w:szCs w:val="22"/>
        </w:rPr>
        <w:t xml:space="preserve"> </w:t>
      </w:r>
      <w:r w:rsidR="00EE6620" w:rsidRPr="00382332">
        <w:rPr>
          <w:rFonts w:ascii="Arial" w:hAnsi="Arial" w:cs="Arial"/>
          <w:sz w:val="22"/>
          <w:szCs w:val="22"/>
        </w:rPr>
        <w:t>Equality Act 2010</w:t>
      </w:r>
    </w:p>
    <w:p w14:paraId="7C90678C" w14:textId="77777777" w:rsidR="000417E4" w:rsidRPr="00382332" w:rsidRDefault="000417E4" w:rsidP="009C3999">
      <w:pPr>
        <w:spacing w:line="360" w:lineRule="auto"/>
        <w:jc w:val="both"/>
        <w:rPr>
          <w:rFonts w:ascii="Arial" w:hAnsi="Arial" w:cs="Arial"/>
          <w:b/>
          <w:bCs/>
          <w:sz w:val="22"/>
          <w:szCs w:val="22"/>
        </w:rPr>
      </w:pPr>
    </w:p>
    <w:p w14:paraId="4299D6A1" w14:textId="77777777" w:rsidR="000417E4" w:rsidRPr="00382332" w:rsidRDefault="000417E4" w:rsidP="009C3999">
      <w:pPr>
        <w:spacing w:line="360" w:lineRule="auto"/>
        <w:jc w:val="both"/>
        <w:rPr>
          <w:rFonts w:ascii="Arial" w:hAnsi="Arial" w:cs="Arial"/>
          <w:b/>
          <w:bCs/>
          <w:sz w:val="22"/>
          <w:szCs w:val="22"/>
        </w:rPr>
      </w:pPr>
    </w:p>
    <w:p w14:paraId="7E6DC909" w14:textId="77777777" w:rsidR="000417E4" w:rsidRPr="00382332" w:rsidRDefault="000417E4" w:rsidP="009C3999">
      <w:pPr>
        <w:spacing w:line="360" w:lineRule="auto"/>
        <w:jc w:val="both"/>
        <w:rPr>
          <w:rFonts w:ascii="Arial" w:hAnsi="Arial" w:cs="Arial"/>
          <w:b/>
          <w:bCs/>
          <w:sz w:val="22"/>
          <w:szCs w:val="22"/>
        </w:rPr>
      </w:pPr>
    </w:p>
    <w:p w14:paraId="57C18989" w14:textId="77777777" w:rsidR="000417E4" w:rsidRPr="00382332" w:rsidRDefault="000417E4" w:rsidP="009C3999">
      <w:pPr>
        <w:spacing w:line="360" w:lineRule="auto"/>
        <w:jc w:val="both"/>
        <w:rPr>
          <w:rFonts w:ascii="Arial" w:hAnsi="Arial" w:cs="Arial"/>
          <w:b/>
          <w:bCs/>
          <w:sz w:val="22"/>
          <w:szCs w:val="22"/>
        </w:rPr>
      </w:pPr>
    </w:p>
    <w:p w14:paraId="6BEC1305" w14:textId="77777777" w:rsidR="000417E4" w:rsidRPr="00382332" w:rsidRDefault="000417E4" w:rsidP="009C3999">
      <w:pPr>
        <w:spacing w:line="360" w:lineRule="auto"/>
        <w:jc w:val="both"/>
        <w:rPr>
          <w:rFonts w:ascii="Arial" w:hAnsi="Arial" w:cs="Arial"/>
          <w:b/>
          <w:bCs/>
          <w:sz w:val="22"/>
          <w:szCs w:val="22"/>
        </w:rPr>
      </w:pPr>
    </w:p>
    <w:p w14:paraId="2C7E2189" w14:textId="77777777" w:rsidR="000417E4" w:rsidRPr="00382332" w:rsidRDefault="000417E4" w:rsidP="009C3999">
      <w:pPr>
        <w:spacing w:line="360" w:lineRule="auto"/>
        <w:jc w:val="both"/>
        <w:rPr>
          <w:rFonts w:ascii="Arial" w:hAnsi="Arial" w:cs="Arial"/>
          <w:b/>
          <w:bCs/>
          <w:sz w:val="22"/>
          <w:szCs w:val="22"/>
        </w:rPr>
      </w:pPr>
    </w:p>
    <w:p w14:paraId="12552ECB" w14:textId="77777777" w:rsidR="000417E4" w:rsidRPr="00382332" w:rsidRDefault="000417E4" w:rsidP="009C3999">
      <w:pPr>
        <w:spacing w:line="360" w:lineRule="auto"/>
        <w:jc w:val="both"/>
        <w:rPr>
          <w:rFonts w:ascii="Arial" w:hAnsi="Arial" w:cs="Arial"/>
          <w:b/>
          <w:bCs/>
          <w:sz w:val="22"/>
          <w:szCs w:val="22"/>
        </w:rPr>
      </w:pPr>
    </w:p>
    <w:p w14:paraId="7B6CEF26" w14:textId="77777777" w:rsidR="000417E4" w:rsidRPr="00382332" w:rsidRDefault="000417E4" w:rsidP="009C3999">
      <w:pPr>
        <w:spacing w:line="360" w:lineRule="auto"/>
        <w:jc w:val="both"/>
        <w:rPr>
          <w:rFonts w:ascii="Arial" w:hAnsi="Arial" w:cs="Arial"/>
          <w:b/>
          <w:bCs/>
          <w:sz w:val="22"/>
          <w:szCs w:val="22"/>
        </w:rPr>
      </w:pPr>
    </w:p>
    <w:p w14:paraId="084362BA" w14:textId="77777777" w:rsidR="00391ADA" w:rsidRDefault="00391ADA" w:rsidP="009C3999">
      <w:pPr>
        <w:spacing w:line="360" w:lineRule="auto"/>
        <w:jc w:val="both"/>
        <w:rPr>
          <w:rFonts w:ascii="Arial" w:hAnsi="Arial" w:cs="Arial"/>
          <w:b/>
          <w:bCs/>
          <w:sz w:val="22"/>
          <w:szCs w:val="22"/>
        </w:rPr>
      </w:pPr>
    </w:p>
    <w:p w14:paraId="13AE5FB6" w14:textId="350B297D" w:rsidR="00562FE6" w:rsidRPr="00382332" w:rsidRDefault="00562FE6" w:rsidP="009C3999">
      <w:pPr>
        <w:spacing w:line="360" w:lineRule="auto"/>
        <w:jc w:val="both"/>
        <w:rPr>
          <w:rFonts w:ascii="Arial" w:hAnsi="Arial" w:cs="Arial"/>
          <w:b/>
          <w:bCs/>
          <w:sz w:val="22"/>
          <w:szCs w:val="22"/>
        </w:rPr>
      </w:pPr>
      <w:r w:rsidRPr="00382332">
        <w:rPr>
          <w:rFonts w:ascii="Arial" w:hAnsi="Arial" w:cs="Arial"/>
          <w:b/>
          <w:bCs/>
          <w:sz w:val="22"/>
          <w:szCs w:val="22"/>
        </w:rPr>
        <w:t>RECOMMENDATIONS</w:t>
      </w:r>
    </w:p>
    <w:p w14:paraId="239A8BCE" w14:textId="77777777" w:rsidR="00562FE6" w:rsidRPr="00382332" w:rsidRDefault="00562FE6" w:rsidP="009C3999">
      <w:pPr>
        <w:spacing w:line="360" w:lineRule="auto"/>
        <w:jc w:val="both"/>
        <w:rPr>
          <w:rFonts w:ascii="Arial" w:hAnsi="Arial" w:cs="Arial"/>
          <w:sz w:val="22"/>
          <w:szCs w:val="22"/>
        </w:rPr>
      </w:pPr>
      <w:r w:rsidRPr="00382332">
        <w:rPr>
          <w:rFonts w:ascii="Arial" w:hAnsi="Arial" w:cs="Arial"/>
          <w:sz w:val="22"/>
          <w:szCs w:val="22"/>
        </w:rPr>
        <w:t>Although person-centred care and partnership working are recognised as best practice, further improvements are required to ensure consistent implementation within dementia care homes.</w:t>
      </w:r>
    </w:p>
    <w:p w14:paraId="7AF22AA2" w14:textId="77777777" w:rsidR="00562FE6" w:rsidRPr="00382332" w:rsidRDefault="00562FE6" w:rsidP="009C3999">
      <w:pPr>
        <w:spacing w:line="360" w:lineRule="auto"/>
        <w:jc w:val="both"/>
        <w:rPr>
          <w:rFonts w:ascii="Arial" w:hAnsi="Arial" w:cs="Arial"/>
          <w:sz w:val="22"/>
          <w:szCs w:val="22"/>
        </w:rPr>
      </w:pPr>
      <w:r w:rsidRPr="00382332">
        <w:rPr>
          <w:rFonts w:ascii="Arial" w:hAnsi="Arial" w:cs="Arial"/>
          <w:sz w:val="22"/>
          <w:szCs w:val="22"/>
        </w:rPr>
        <w:t xml:space="preserve">A key priority is increasing dementia-specific training for care staff. Education focusing on communication, recognising behaviours as expressions of unmet need, and applying person-centred approaches would improve staff confidence and the quality of care delivered. Research by Chenoweth </w:t>
      </w:r>
      <w:r w:rsidRPr="00382332">
        <w:rPr>
          <w:rFonts w:ascii="Arial" w:hAnsi="Arial" w:cs="Arial"/>
          <w:i/>
          <w:iCs/>
          <w:sz w:val="22"/>
          <w:szCs w:val="22"/>
        </w:rPr>
        <w:t>et al.</w:t>
      </w:r>
      <w:r w:rsidRPr="00382332">
        <w:rPr>
          <w:rFonts w:ascii="Arial" w:hAnsi="Arial" w:cs="Arial"/>
          <w:sz w:val="22"/>
          <w:szCs w:val="22"/>
        </w:rPr>
        <w:t xml:space="preserve"> (2009) found that person-centred interventions can improve quality of life while reducing agitation in people living with dementia. However, investment in training may be limited by staffing shortages and financial constraints.</w:t>
      </w:r>
    </w:p>
    <w:p w14:paraId="375A9006" w14:textId="77777777" w:rsidR="00562FE6" w:rsidRPr="00382332" w:rsidRDefault="00562FE6" w:rsidP="009C3999">
      <w:pPr>
        <w:spacing w:line="360" w:lineRule="auto"/>
        <w:jc w:val="both"/>
        <w:rPr>
          <w:rFonts w:ascii="Arial" w:hAnsi="Arial" w:cs="Arial"/>
          <w:sz w:val="22"/>
          <w:szCs w:val="22"/>
        </w:rPr>
      </w:pPr>
      <w:r w:rsidRPr="00382332">
        <w:rPr>
          <w:rFonts w:ascii="Arial" w:hAnsi="Arial" w:cs="Arial"/>
          <w:sz w:val="22"/>
          <w:szCs w:val="22"/>
        </w:rPr>
        <w:t>Improving multidisciplinary communication is also essential. Regular meetings involving healthcare professionals, care staff, residents, and family members would encourage shared decision-making and ensure care plans remain responsive to changing needs. Strengthening communication between organisations would further reduce fragmented care and improve continuity of support.</w:t>
      </w:r>
    </w:p>
    <w:p w14:paraId="285403BB" w14:textId="2C2AF5F1" w:rsidR="00562FE6" w:rsidRPr="00382332" w:rsidRDefault="00562FE6" w:rsidP="009C3999">
      <w:pPr>
        <w:spacing w:line="360" w:lineRule="auto"/>
        <w:jc w:val="both"/>
        <w:rPr>
          <w:rFonts w:ascii="Arial" w:hAnsi="Arial" w:cs="Arial"/>
          <w:sz w:val="22"/>
          <w:szCs w:val="22"/>
        </w:rPr>
      </w:pPr>
      <w:r w:rsidRPr="00382332">
        <w:rPr>
          <w:rFonts w:ascii="Arial" w:hAnsi="Arial" w:cs="Arial"/>
          <w:sz w:val="22"/>
          <w:szCs w:val="22"/>
        </w:rPr>
        <w:t>Greater use of digital technology could also enhance partnership working. Electronic care records and secure communication systems would allow professionals to access up-to-date information, reducing duplication and improving coordination across services. Nevertheless, successful implementation requires adequate staff training, investment in technology, and robust data protection measures.</w:t>
      </w:r>
      <w:r w:rsidR="00610338" w:rsidRPr="00610338">
        <w:t xml:space="preserve"> </w:t>
      </w:r>
      <w:r w:rsidR="00610338" w:rsidRPr="00742895">
        <w:rPr>
          <w:rFonts w:ascii="Arial" w:hAnsi="Arial" w:cs="Arial"/>
          <w:sz w:val="22"/>
          <w:szCs w:val="22"/>
        </w:rPr>
        <w:t>(NHS England, 2023; Health and Care Act 2022; Information Commissioner's Office, 2024).</w:t>
      </w:r>
    </w:p>
    <w:p w14:paraId="3A1FF6B3" w14:textId="0F8B5776" w:rsidR="00562FE6" w:rsidRPr="00382332" w:rsidRDefault="00562FE6" w:rsidP="009C3999">
      <w:pPr>
        <w:spacing w:line="360" w:lineRule="auto"/>
        <w:jc w:val="both"/>
        <w:rPr>
          <w:rFonts w:ascii="Arial" w:hAnsi="Arial" w:cs="Arial"/>
          <w:sz w:val="22"/>
          <w:szCs w:val="22"/>
        </w:rPr>
      </w:pPr>
      <w:r w:rsidRPr="00382332">
        <w:rPr>
          <w:rFonts w:ascii="Arial" w:hAnsi="Arial" w:cs="Arial"/>
          <w:sz w:val="22"/>
          <w:szCs w:val="22"/>
        </w:rPr>
        <w:t>Overall, improving dementia care requires continued investment in workforce development, integrated communication systems, and collaborative practice. Although resource pressures remain a significant challenge, these developments would strengthen both person-centred care and partnership working, ultimately improving outcomes and quality of life for people living with dementia.</w:t>
      </w:r>
      <w:r w:rsidR="00742895" w:rsidRPr="00742895">
        <w:rPr>
          <w:b/>
          <w:bCs/>
        </w:rPr>
        <w:t xml:space="preserve"> </w:t>
      </w:r>
      <w:r w:rsidR="00742895" w:rsidRPr="00742895">
        <w:rPr>
          <w:rFonts w:ascii="Arial" w:hAnsi="Arial" w:cs="Arial"/>
          <w:sz w:val="22"/>
          <w:szCs w:val="22"/>
        </w:rPr>
        <w:t>(NICE, 2018; Skills for Care, 2024; McCormack and McCance, 2021).</w:t>
      </w:r>
    </w:p>
    <w:p w14:paraId="1309E5F6" w14:textId="77777777" w:rsidR="000417E4" w:rsidRPr="00382332" w:rsidRDefault="000417E4" w:rsidP="009C3999">
      <w:pPr>
        <w:spacing w:line="360" w:lineRule="auto"/>
        <w:jc w:val="both"/>
        <w:rPr>
          <w:rFonts w:ascii="Arial" w:hAnsi="Arial" w:cs="Arial"/>
          <w:b/>
          <w:bCs/>
          <w:sz w:val="22"/>
          <w:szCs w:val="22"/>
        </w:rPr>
      </w:pPr>
    </w:p>
    <w:p w14:paraId="73FCA649" w14:textId="77777777" w:rsidR="000417E4" w:rsidRPr="00382332" w:rsidRDefault="000417E4" w:rsidP="009C3999">
      <w:pPr>
        <w:spacing w:line="360" w:lineRule="auto"/>
        <w:jc w:val="both"/>
        <w:rPr>
          <w:rFonts w:ascii="Arial" w:hAnsi="Arial" w:cs="Arial"/>
          <w:b/>
          <w:bCs/>
          <w:sz w:val="22"/>
          <w:szCs w:val="22"/>
        </w:rPr>
      </w:pPr>
    </w:p>
    <w:p w14:paraId="6E5C3F82" w14:textId="77777777" w:rsidR="000417E4" w:rsidRPr="00382332" w:rsidRDefault="000417E4" w:rsidP="009C3999">
      <w:pPr>
        <w:spacing w:line="360" w:lineRule="auto"/>
        <w:jc w:val="both"/>
        <w:rPr>
          <w:rFonts w:ascii="Arial" w:hAnsi="Arial" w:cs="Arial"/>
          <w:b/>
          <w:bCs/>
          <w:sz w:val="22"/>
          <w:szCs w:val="22"/>
        </w:rPr>
      </w:pPr>
    </w:p>
    <w:p w14:paraId="09339E43" w14:textId="77777777" w:rsidR="000417E4" w:rsidRPr="00382332" w:rsidRDefault="000417E4" w:rsidP="009C3999">
      <w:pPr>
        <w:spacing w:line="360" w:lineRule="auto"/>
        <w:jc w:val="both"/>
        <w:rPr>
          <w:rFonts w:ascii="Arial" w:hAnsi="Arial" w:cs="Arial"/>
          <w:b/>
          <w:bCs/>
          <w:sz w:val="22"/>
          <w:szCs w:val="22"/>
        </w:rPr>
      </w:pPr>
    </w:p>
    <w:p w14:paraId="2B9B29AE" w14:textId="77777777" w:rsidR="000417E4" w:rsidRPr="00382332" w:rsidRDefault="000417E4" w:rsidP="009C3999">
      <w:pPr>
        <w:spacing w:line="360" w:lineRule="auto"/>
        <w:jc w:val="both"/>
        <w:rPr>
          <w:rFonts w:ascii="Arial" w:hAnsi="Arial" w:cs="Arial"/>
          <w:b/>
          <w:bCs/>
          <w:sz w:val="22"/>
          <w:szCs w:val="22"/>
        </w:rPr>
      </w:pPr>
    </w:p>
    <w:p w14:paraId="5772E774" w14:textId="77777777" w:rsidR="00391ADA" w:rsidRDefault="00391ADA" w:rsidP="009C3999">
      <w:pPr>
        <w:spacing w:line="360" w:lineRule="auto"/>
        <w:jc w:val="both"/>
        <w:rPr>
          <w:rFonts w:ascii="Arial" w:hAnsi="Arial" w:cs="Arial"/>
          <w:b/>
          <w:bCs/>
          <w:sz w:val="22"/>
          <w:szCs w:val="22"/>
        </w:rPr>
      </w:pPr>
    </w:p>
    <w:p w14:paraId="4C52B315" w14:textId="77777777" w:rsidR="00391ADA" w:rsidRDefault="00391ADA" w:rsidP="009C3999">
      <w:pPr>
        <w:spacing w:line="360" w:lineRule="auto"/>
        <w:jc w:val="both"/>
        <w:rPr>
          <w:rFonts w:ascii="Arial" w:hAnsi="Arial" w:cs="Arial"/>
          <w:b/>
          <w:bCs/>
          <w:sz w:val="22"/>
          <w:szCs w:val="22"/>
        </w:rPr>
      </w:pPr>
    </w:p>
    <w:p w14:paraId="3DDA30ED" w14:textId="6E263F2E" w:rsidR="00562FE6" w:rsidRPr="00382332" w:rsidRDefault="00562FE6" w:rsidP="009C3999">
      <w:pPr>
        <w:spacing w:line="360" w:lineRule="auto"/>
        <w:jc w:val="both"/>
        <w:rPr>
          <w:rFonts w:ascii="Arial" w:hAnsi="Arial" w:cs="Arial"/>
          <w:b/>
          <w:bCs/>
          <w:sz w:val="22"/>
          <w:szCs w:val="22"/>
        </w:rPr>
      </w:pPr>
      <w:r w:rsidRPr="00382332">
        <w:rPr>
          <w:rFonts w:ascii="Arial" w:hAnsi="Arial" w:cs="Arial"/>
          <w:b/>
          <w:bCs/>
          <w:sz w:val="22"/>
          <w:szCs w:val="22"/>
        </w:rPr>
        <w:t>CONCLUSION</w:t>
      </w:r>
    </w:p>
    <w:p w14:paraId="7693CD56" w14:textId="63265E90" w:rsidR="00562FE6" w:rsidRPr="00382332" w:rsidRDefault="00562FE6" w:rsidP="009C3999">
      <w:pPr>
        <w:spacing w:line="360" w:lineRule="auto"/>
        <w:jc w:val="both"/>
        <w:rPr>
          <w:rFonts w:ascii="Arial" w:hAnsi="Arial" w:cs="Arial"/>
          <w:sz w:val="22"/>
          <w:szCs w:val="22"/>
        </w:rPr>
      </w:pPr>
      <w:r w:rsidRPr="00382332">
        <w:rPr>
          <w:rFonts w:ascii="Arial" w:hAnsi="Arial" w:cs="Arial"/>
          <w:sz w:val="22"/>
          <w:szCs w:val="22"/>
        </w:rPr>
        <w:t>This report has evaluated the importance of person-centred care (PCC) and partnership working (PW) within dementia care homes, demonstrating how both approaches contribute to delivering high-quality, holistic care. It has shown that PCC promotes dignity, autonomy, and individualised support by recognising residents as people with unique needs, values, and life experiences rather than focusing solely on their diagnosis. The report also highlighted how partnership working enables professionals, families, and residents to collaborate in developing coordinated care that improves continuity and supports better outcomes.</w:t>
      </w:r>
      <w:r w:rsidR="00826899" w:rsidRPr="00826899">
        <w:t xml:space="preserve"> </w:t>
      </w:r>
      <w:r w:rsidR="00826899" w:rsidRPr="00826899">
        <w:rPr>
          <w:rFonts w:ascii="Arial" w:hAnsi="Arial" w:cs="Arial"/>
          <w:sz w:val="22"/>
          <w:szCs w:val="22"/>
        </w:rPr>
        <w:t>(McCormack and McCance, 2021; NICE, 2018).</w:t>
      </w:r>
    </w:p>
    <w:p w14:paraId="1F3942E5" w14:textId="77777777" w:rsidR="00562FE6" w:rsidRPr="00382332" w:rsidRDefault="00562FE6" w:rsidP="009C3999">
      <w:pPr>
        <w:spacing w:line="360" w:lineRule="auto"/>
        <w:jc w:val="both"/>
        <w:rPr>
          <w:rFonts w:ascii="Arial" w:hAnsi="Arial" w:cs="Arial"/>
          <w:sz w:val="22"/>
          <w:szCs w:val="22"/>
        </w:rPr>
      </w:pPr>
      <w:r w:rsidRPr="00382332">
        <w:rPr>
          <w:rFonts w:ascii="Arial" w:hAnsi="Arial" w:cs="Arial"/>
          <w:sz w:val="22"/>
          <w:szCs w:val="22"/>
        </w:rPr>
        <w:t>The critical analysis of Alderfer's ERG Theory demonstrated that, although it provides a useful framework for understanding the physical, social, and emotional needs of individuals, it should be used alongside dementia-specific approaches that address communication difficulties, personhood, and cognitive decline. The report also demonstrated that ethical principles and legislation, including the Care Act 2014 and the Mental Capacity Act 2005, provide an essential framework for balancing individual autonomy with safeguarding responsibilities.</w:t>
      </w:r>
    </w:p>
    <w:p w14:paraId="72C81F55" w14:textId="6DE5A42F" w:rsidR="00562FE6" w:rsidRPr="00382332" w:rsidRDefault="00562FE6" w:rsidP="009C3999">
      <w:pPr>
        <w:spacing w:line="360" w:lineRule="auto"/>
        <w:jc w:val="both"/>
        <w:rPr>
          <w:rFonts w:ascii="Arial" w:hAnsi="Arial" w:cs="Arial"/>
          <w:sz w:val="22"/>
          <w:szCs w:val="22"/>
        </w:rPr>
      </w:pPr>
      <w:r w:rsidRPr="00382332">
        <w:rPr>
          <w:rFonts w:ascii="Arial" w:hAnsi="Arial" w:cs="Arial"/>
          <w:sz w:val="22"/>
          <w:szCs w:val="22"/>
        </w:rPr>
        <w:t>Overall, the findings suggest that effective dementia care depends upon skilled professionals, collaborative partnerships, and consistent application of person-centred principles. Continued investment in dementia-specific training, stronger multidisciplinary communication, and greater use of digital technologies will support more personalised, coordinated, and responsive care, ensuring people living with dementia remain central to all decisions affecting their health and wellbeing.</w:t>
      </w:r>
      <w:r w:rsidR="00C3141B" w:rsidRPr="00C3141B">
        <w:t xml:space="preserve"> </w:t>
      </w:r>
      <w:r w:rsidR="00C3141B" w:rsidRPr="00C3141B">
        <w:rPr>
          <w:rFonts w:ascii="Arial" w:hAnsi="Arial" w:cs="Arial"/>
          <w:sz w:val="22"/>
          <w:szCs w:val="22"/>
        </w:rPr>
        <w:t>(NICE, 2018; Skills for Care, 2024; NHS England, 2023).</w:t>
      </w:r>
    </w:p>
    <w:p w14:paraId="3B8833CA" w14:textId="77777777" w:rsidR="000417E4" w:rsidRPr="00382332" w:rsidRDefault="000417E4" w:rsidP="009C3999">
      <w:pPr>
        <w:spacing w:line="360" w:lineRule="auto"/>
        <w:jc w:val="both"/>
        <w:rPr>
          <w:rFonts w:ascii="Arial" w:hAnsi="Arial" w:cs="Arial"/>
          <w:b/>
          <w:bCs/>
          <w:sz w:val="22"/>
          <w:szCs w:val="22"/>
        </w:rPr>
      </w:pPr>
    </w:p>
    <w:p w14:paraId="37F97580" w14:textId="77777777" w:rsidR="000417E4" w:rsidRPr="00382332" w:rsidRDefault="000417E4" w:rsidP="009C3999">
      <w:pPr>
        <w:spacing w:line="360" w:lineRule="auto"/>
        <w:jc w:val="both"/>
        <w:rPr>
          <w:rFonts w:ascii="Arial" w:hAnsi="Arial" w:cs="Arial"/>
          <w:b/>
          <w:bCs/>
          <w:sz w:val="22"/>
          <w:szCs w:val="22"/>
        </w:rPr>
      </w:pPr>
    </w:p>
    <w:p w14:paraId="21781147" w14:textId="77777777" w:rsidR="000417E4" w:rsidRPr="00382332" w:rsidRDefault="000417E4" w:rsidP="009C3999">
      <w:pPr>
        <w:spacing w:line="360" w:lineRule="auto"/>
        <w:jc w:val="both"/>
        <w:rPr>
          <w:rFonts w:ascii="Arial" w:hAnsi="Arial" w:cs="Arial"/>
          <w:b/>
          <w:bCs/>
          <w:sz w:val="22"/>
          <w:szCs w:val="22"/>
        </w:rPr>
      </w:pPr>
    </w:p>
    <w:p w14:paraId="075BF991" w14:textId="77777777" w:rsidR="000417E4" w:rsidRPr="00382332" w:rsidRDefault="000417E4" w:rsidP="009C3999">
      <w:pPr>
        <w:spacing w:line="360" w:lineRule="auto"/>
        <w:jc w:val="both"/>
        <w:rPr>
          <w:rFonts w:ascii="Arial" w:hAnsi="Arial" w:cs="Arial"/>
          <w:b/>
          <w:bCs/>
          <w:sz w:val="22"/>
          <w:szCs w:val="22"/>
        </w:rPr>
      </w:pPr>
    </w:p>
    <w:p w14:paraId="06A0F01B" w14:textId="77777777" w:rsidR="000417E4" w:rsidRPr="00382332" w:rsidRDefault="000417E4" w:rsidP="009C3999">
      <w:pPr>
        <w:spacing w:line="360" w:lineRule="auto"/>
        <w:jc w:val="both"/>
        <w:rPr>
          <w:rFonts w:ascii="Arial" w:hAnsi="Arial" w:cs="Arial"/>
          <w:b/>
          <w:bCs/>
          <w:sz w:val="22"/>
          <w:szCs w:val="22"/>
        </w:rPr>
      </w:pPr>
    </w:p>
    <w:p w14:paraId="00252B71" w14:textId="77777777" w:rsidR="000417E4" w:rsidRPr="00382332" w:rsidRDefault="000417E4" w:rsidP="009C3999">
      <w:pPr>
        <w:spacing w:line="360" w:lineRule="auto"/>
        <w:jc w:val="both"/>
        <w:rPr>
          <w:rFonts w:ascii="Arial" w:hAnsi="Arial" w:cs="Arial"/>
          <w:b/>
          <w:bCs/>
          <w:sz w:val="22"/>
          <w:szCs w:val="22"/>
        </w:rPr>
      </w:pPr>
    </w:p>
    <w:p w14:paraId="7ACB0D26" w14:textId="77777777" w:rsidR="000417E4" w:rsidRPr="00382332" w:rsidRDefault="000417E4" w:rsidP="009C3999">
      <w:pPr>
        <w:spacing w:line="360" w:lineRule="auto"/>
        <w:jc w:val="both"/>
        <w:rPr>
          <w:rFonts w:ascii="Arial" w:hAnsi="Arial" w:cs="Arial"/>
          <w:b/>
          <w:bCs/>
          <w:sz w:val="22"/>
          <w:szCs w:val="22"/>
        </w:rPr>
      </w:pPr>
    </w:p>
    <w:p w14:paraId="3B1F0AED" w14:textId="77777777" w:rsidR="000417E4" w:rsidRPr="00382332" w:rsidRDefault="000417E4" w:rsidP="009C3999">
      <w:pPr>
        <w:spacing w:line="360" w:lineRule="auto"/>
        <w:jc w:val="both"/>
        <w:rPr>
          <w:rFonts w:ascii="Arial" w:hAnsi="Arial" w:cs="Arial"/>
          <w:b/>
          <w:bCs/>
          <w:sz w:val="22"/>
          <w:szCs w:val="22"/>
        </w:rPr>
      </w:pPr>
    </w:p>
    <w:p w14:paraId="7188B771" w14:textId="77777777" w:rsidR="000417E4" w:rsidRPr="00382332" w:rsidRDefault="000417E4" w:rsidP="009C3999">
      <w:pPr>
        <w:spacing w:line="360" w:lineRule="auto"/>
        <w:jc w:val="both"/>
        <w:rPr>
          <w:rFonts w:ascii="Arial" w:hAnsi="Arial" w:cs="Arial"/>
          <w:b/>
          <w:bCs/>
          <w:sz w:val="22"/>
          <w:szCs w:val="22"/>
        </w:rPr>
      </w:pPr>
    </w:p>
    <w:p w14:paraId="4FC46CCA" w14:textId="77777777" w:rsidR="000417E4" w:rsidRPr="00382332" w:rsidRDefault="000417E4" w:rsidP="009C3999">
      <w:pPr>
        <w:spacing w:line="360" w:lineRule="auto"/>
        <w:jc w:val="both"/>
        <w:rPr>
          <w:rFonts w:ascii="Arial" w:hAnsi="Arial" w:cs="Arial"/>
          <w:b/>
          <w:bCs/>
          <w:sz w:val="22"/>
          <w:szCs w:val="22"/>
        </w:rPr>
      </w:pPr>
    </w:p>
    <w:p w14:paraId="598D27DE" w14:textId="77777777" w:rsidR="00391ADA" w:rsidRDefault="00391ADA" w:rsidP="009C3999">
      <w:pPr>
        <w:spacing w:line="360" w:lineRule="auto"/>
        <w:jc w:val="both"/>
        <w:rPr>
          <w:rFonts w:ascii="Arial" w:hAnsi="Arial" w:cs="Arial"/>
          <w:b/>
          <w:bCs/>
          <w:sz w:val="22"/>
          <w:szCs w:val="22"/>
        </w:rPr>
      </w:pPr>
    </w:p>
    <w:p w14:paraId="44B99208" w14:textId="1BAD11B6" w:rsidR="00562FE6" w:rsidRPr="00382332" w:rsidRDefault="00562FE6" w:rsidP="009C3999">
      <w:pPr>
        <w:spacing w:line="360" w:lineRule="auto"/>
        <w:jc w:val="both"/>
        <w:rPr>
          <w:rFonts w:ascii="Arial" w:hAnsi="Arial" w:cs="Arial"/>
          <w:b/>
          <w:bCs/>
          <w:sz w:val="22"/>
          <w:szCs w:val="22"/>
        </w:rPr>
      </w:pPr>
      <w:r w:rsidRPr="00382332">
        <w:rPr>
          <w:rFonts w:ascii="Arial" w:hAnsi="Arial" w:cs="Arial"/>
          <w:b/>
          <w:bCs/>
          <w:sz w:val="22"/>
          <w:szCs w:val="22"/>
        </w:rPr>
        <w:t>REFERENCE LIST</w:t>
      </w:r>
    </w:p>
    <w:p w14:paraId="7AAAB8F6" w14:textId="77777777" w:rsidR="005C2ED2" w:rsidRDefault="00562FE6" w:rsidP="009C3999">
      <w:pPr>
        <w:spacing w:line="360" w:lineRule="auto"/>
        <w:jc w:val="both"/>
        <w:rPr>
          <w:rFonts w:ascii="Arial" w:hAnsi="Arial" w:cs="Arial"/>
          <w:i/>
          <w:iCs/>
          <w:sz w:val="22"/>
          <w:szCs w:val="22"/>
        </w:rPr>
      </w:pPr>
      <w:r w:rsidRPr="00382332">
        <w:rPr>
          <w:rFonts w:ascii="Arial" w:hAnsi="Arial" w:cs="Arial"/>
          <w:sz w:val="22"/>
          <w:szCs w:val="22"/>
        </w:rPr>
        <w:t xml:space="preserve">Alderfer, C.P. (1969) ‘An empirical test of a new theory of human needs’, </w:t>
      </w:r>
      <w:r w:rsidRPr="00382332">
        <w:rPr>
          <w:rFonts w:ascii="Arial" w:hAnsi="Arial" w:cs="Arial"/>
          <w:i/>
          <w:iCs/>
          <w:sz w:val="22"/>
          <w:szCs w:val="22"/>
        </w:rPr>
        <w:t xml:space="preserve">Organizational </w:t>
      </w:r>
    </w:p>
    <w:p w14:paraId="1E2406DD" w14:textId="11AD6055" w:rsidR="00562FE6" w:rsidRPr="00382332" w:rsidRDefault="00562FE6" w:rsidP="009C3999">
      <w:pPr>
        <w:spacing w:line="360" w:lineRule="auto"/>
        <w:jc w:val="both"/>
        <w:rPr>
          <w:rFonts w:ascii="Arial" w:hAnsi="Arial" w:cs="Arial"/>
          <w:sz w:val="22"/>
          <w:szCs w:val="22"/>
        </w:rPr>
      </w:pPr>
      <w:r w:rsidRPr="00382332">
        <w:rPr>
          <w:rFonts w:ascii="Arial" w:hAnsi="Arial" w:cs="Arial"/>
          <w:i/>
          <w:iCs/>
          <w:sz w:val="22"/>
          <w:szCs w:val="22"/>
        </w:rPr>
        <w:t>Behavior</w:t>
      </w:r>
      <w:r w:rsidR="005536E5">
        <w:rPr>
          <w:rFonts w:ascii="Arial" w:hAnsi="Arial" w:cs="Arial"/>
          <w:i/>
          <w:iCs/>
          <w:sz w:val="22"/>
          <w:szCs w:val="22"/>
        </w:rPr>
        <w:t>.</w:t>
      </w:r>
      <w:r w:rsidRPr="00382332">
        <w:rPr>
          <w:rFonts w:ascii="Arial" w:hAnsi="Arial" w:cs="Arial"/>
          <w:i/>
          <w:iCs/>
          <w:sz w:val="22"/>
          <w:szCs w:val="22"/>
        </w:rPr>
        <w:t>and</w:t>
      </w:r>
      <w:r w:rsidR="005536E5">
        <w:rPr>
          <w:rFonts w:ascii="Arial" w:hAnsi="Arial" w:cs="Arial"/>
          <w:i/>
          <w:iCs/>
          <w:sz w:val="22"/>
          <w:szCs w:val="22"/>
        </w:rPr>
        <w:t>.</w:t>
      </w:r>
      <w:r w:rsidRPr="00382332">
        <w:rPr>
          <w:rFonts w:ascii="Arial" w:hAnsi="Arial" w:cs="Arial"/>
          <w:i/>
          <w:iCs/>
          <w:sz w:val="22"/>
          <w:szCs w:val="22"/>
        </w:rPr>
        <w:t>Human</w:t>
      </w:r>
      <w:r w:rsidR="005536E5">
        <w:rPr>
          <w:rFonts w:ascii="Arial" w:hAnsi="Arial" w:cs="Arial"/>
          <w:i/>
          <w:iCs/>
          <w:sz w:val="22"/>
          <w:szCs w:val="22"/>
        </w:rPr>
        <w:t>.</w:t>
      </w:r>
      <w:r w:rsidRPr="00382332">
        <w:rPr>
          <w:rFonts w:ascii="Arial" w:hAnsi="Arial" w:cs="Arial"/>
          <w:i/>
          <w:iCs/>
          <w:sz w:val="22"/>
          <w:szCs w:val="22"/>
        </w:rPr>
        <w:t>Performance</w:t>
      </w:r>
      <w:r w:rsidRPr="00382332">
        <w:rPr>
          <w:rFonts w:ascii="Arial" w:hAnsi="Arial" w:cs="Arial"/>
          <w:sz w:val="22"/>
          <w:szCs w:val="22"/>
        </w:rPr>
        <w:t xml:space="preserve">,4(2),pp.142–175.Available at: </w:t>
      </w:r>
      <w:hyperlink r:id="rId10" w:history="1">
        <w:r w:rsidRPr="00382332">
          <w:rPr>
            <w:rStyle w:val="Hyperlink"/>
            <w:rFonts w:ascii="Arial" w:hAnsi="Arial" w:cs="Arial"/>
            <w:sz w:val="22"/>
            <w:szCs w:val="22"/>
          </w:rPr>
          <w:t>https://doi.org/10.1016/0030-5073(69)90004-X</w:t>
        </w:r>
      </w:hyperlink>
      <w:r w:rsidRPr="00382332">
        <w:rPr>
          <w:rFonts w:ascii="Arial" w:hAnsi="Arial" w:cs="Arial"/>
          <w:sz w:val="22"/>
          <w:szCs w:val="22"/>
        </w:rPr>
        <w:t xml:space="preserve"> (Accessed: 9 July 2026).</w:t>
      </w:r>
    </w:p>
    <w:p w14:paraId="0184FA7A" w14:textId="6589D3CA" w:rsidR="00E649A1" w:rsidRPr="00382332" w:rsidRDefault="00E649A1" w:rsidP="009C3999">
      <w:pPr>
        <w:spacing w:line="360" w:lineRule="auto"/>
        <w:jc w:val="both"/>
        <w:rPr>
          <w:rFonts w:ascii="Arial" w:hAnsi="Arial" w:cs="Arial"/>
          <w:sz w:val="22"/>
          <w:szCs w:val="22"/>
        </w:rPr>
      </w:pPr>
      <w:r w:rsidRPr="00382332">
        <w:rPr>
          <w:rFonts w:ascii="Arial" w:hAnsi="Arial" w:cs="Arial"/>
          <w:sz w:val="22"/>
          <w:szCs w:val="22"/>
        </w:rPr>
        <w:t xml:space="preserve">Alzheimer's Society (2024) </w:t>
      </w:r>
      <w:r w:rsidRPr="00382332">
        <w:rPr>
          <w:rFonts w:ascii="Arial" w:hAnsi="Arial" w:cs="Arial"/>
          <w:i/>
          <w:iCs/>
          <w:sz w:val="22"/>
          <w:szCs w:val="22"/>
        </w:rPr>
        <w:t>Person-centred care for people with dementia</w:t>
      </w:r>
      <w:r w:rsidRPr="00382332">
        <w:rPr>
          <w:rFonts w:ascii="Arial" w:hAnsi="Arial" w:cs="Arial"/>
          <w:sz w:val="22"/>
          <w:szCs w:val="22"/>
        </w:rPr>
        <w:t xml:space="preserve">. Available at: </w:t>
      </w:r>
      <w:hyperlink r:id="rId11" w:history="1">
        <w:r w:rsidRPr="00382332">
          <w:rPr>
            <w:rStyle w:val="Hyperlink"/>
            <w:rFonts w:ascii="Arial" w:hAnsi="Arial" w:cs="Arial"/>
            <w:sz w:val="22"/>
            <w:szCs w:val="22"/>
          </w:rPr>
          <w:t>https://www.alzheimers.org.uk</w:t>
        </w:r>
      </w:hyperlink>
      <w:r w:rsidRPr="00382332">
        <w:rPr>
          <w:rFonts w:ascii="Arial" w:hAnsi="Arial" w:cs="Arial"/>
          <w:sz w:val="22"/>
          <w:szCs w:val="22"/>
        </w:rPr>
        <w:t xml:space="preserve"> (Accessed: 9 July 2026).</w:t>
      </w:r>
    </w:p>
    <w:p w14:paraId="6F7BF578" w14:textId="77777777" w:rsidR="00E649A1" w:rsidRPr="00382332" w:rsidRDefault="00E649A1" w:rsidP="009C3999">
      <w:pPr>
        <w:spacing w:line="360" w:lineRule="auto"/>
        <w:jc w:val="both"/>
        <w:rPr>
          <w:rFonts w:ascii="Arial" w:hAnsi="Arial" w:cs="Arial"/>
          <w:sz w:val="22"/>
          <w:szCs w:val="22"/>
        </w:rPr>
      </w:pPr>
    </w:p>
    <w:p w14:paraId="67280A79" w14:textId="15E0F228" w:rsidR="00562FE6" w:rsidRPr="00382332" w:rsidRDefault="00562FE6" w:rsidP="009C3999">
      <w:pPr>
        <w:spacing w:line="360" w:lineRule="auto"/>
        <w:jc w:val="both"/>
        <w:rPr>
          <w:rFonts w:ascii="Arial" w:hAnsi="Arial" w:cs="Arial"/>
          <w:sz w:val="22"/>
          <w:szCs w:val="22"/>
        </w:rPr>
      </w:pPr>
      <w:r w:rsidRPr="00382332">
        <w:rPr>
          <w:rFonts w:ascii="Arial" w:hAnsi="Arial" w:cs="Arial"/>
          <w:sz w:val="22"/>
          <w:szCs w:val="22"/>
        </w:rPr>
        <w:t xml:space="preserve">Brooker, D. (2007) </w:t>
      </w:r>
      <w:r w:rsidRPr="00382332">
        <w:rPr>
          <w:rFonts w:ascii="Arial" w:hAnsi="Arial" w:cs="Arial"/>
          <w:i/>
          <w:iCs/>
          <w:sz w:val="22"/>
          <w:szCs w:val="22"/>
        </w:rPr>
        <w:t>Person-Centred Dementia Care: Making Services Better</w:t>
      </w:r>
      <w:r w:rsidRPr="00382332">
        <w:rPr>
          <w:rFonts w:ascii="Arial" w:hAnsi="Arial" w:cs="Arial"/>
          <w:sz w:val="22"/>
          <w:szCs w:val="22"/>
        </w:rPr>
        <w:t>. London: Jessica Kingsley Publishers.</w:t>
      </w:r>
    </w:p>
    <w:p w14:paraId="0626BB06" w14:textId="1BF0A1A8" w:rsidR="00562FE6" w:rsidRPr="00382332" w:rsidRDefault="00562FE6" w:rsidP="009C3999">
      <w:pPr>
        <w:spacing w:line="360" w:lineRule="auto"/>
        <w:jc w:val="both"/>
        <w:rPr>
          <w:rFonts w:ascii="Arial" w:hAnsi="Arial" w:cs="Arial"/>
          <w:sz w:val="22"/>
          <w:szCs w:val="22"/>
        </w:rPr>
      </w:pPr>
      <w:r w:rsidRPr="00382332">
        <w:rPr>
          <w:rFonts w:ascii="Arial" w:hAnsi="Arial" w:cs="Arial"/>
          <w:sz w:val="22"/>
          <w:szCs w:val="22"/>
        </w:rPr>
        <w:t>Care Act 2014, c.23. London: The Stationery Office.</w:t>
      </w:r>
    </w:p>
    <w:p w14:paraId="16E17A59" w14:textId="1A789856" w:rsidR="00562FE6" w:rsidRPr="00382332" w:rsidRDefault="00562FE6" w:rsidP="009C3999">
      <w:pPr>
        <w:spacing w:line="360" w:lineRule="auto"/>
        <w:jc w:val="both"/>
        <w:rPr>
          <w:rFonts w:ascii="Arial" w:hAnsi="Arial" w:cs="Arial"/>
          <w:sz w:val="22"/>
          <w:szCs w:val="22"/>
        </w:rPr>
      </w:pPr>
      <w:r w:rsidRPr="00382332">
        <w:rPr>
          <w:rFonts w:ascii="Arial" w:hAnsi="Arial" w:cs="Arial"/>
          <w:sz w:val="22"/>
          <w:szCs w:val="22"/>
        </w:rPr>
        <w:t xml:space="preserve">Chenoweth, L., King, M.T., Jeon, Y.H., </w:t>
      </w:r>
      <w:proofErr w:type="spellStart"/>
      <w:r w:rsidRPr="00382332">
        <w:rPr>
          <w:rFonts w:ascii="Arial" w:hAnsi="Arial" w:cs="Arial"/>
          <w:sz w:val="22"/>
          <w:szCs w:val="22"/>
        </w:rPr>
        <w:t>Brodaty</w:t>
      </w:r>
      <w:proofErr w:type="spellEnd"/>
      <w:r w:rsidRPr="00382332">
        <w:rPr>
          <w:rFonts w:ascii="Arial" w:hAnsi="Arial" w:cs="Arial"/>
          <w:sz w:val="22"/>
          <w:szCs w:val="22"/>
        </w:rPr>
        <w:t>, H., Stein-</w:t>
      </w:r>
      <w:proofErr w:type="spellStart"/>
      <w:r w:rsidRPr="00382332">
        <w:rPr>
          <w:rFonts w:ascii="Arial" w:hAnsi="Arial" w:cs="Arial"/>
          <w:sz w:val="22"/>
          <w:szCs w:val="22"/>
        </w:rPr>
        <w:t>Parbury</w:t>
      </w:r>
      <w:proofErr w:type="spellEnd"/>
      <w:r w:rsidRPr="00382332">
        <w:rPr>
          <w:rFonts w:ascii="Arial" w:hAnsi="Arial" w:cs="Arial"/>
          <w:sz w:val="22"/>
          <w:szCs w:val="22"/>
        </w:rPr>
        <w:t xml:space="preserve">, J., Norman, R., Haas, M. and Luscombe, G. (2009) ‘Caring for Aged Dementia Care Resident Study (CADRES): A cluster randomised trial of person-centred care, dementia-care mapping and usual care’, </w:t>
      </w:r>
      <w:r w:rsidRPr="00382332">
        <w:rPr>
          <w:rFonts w:ascii="Arial" w:hAnsi="Arial" w:cs="Arial"/>
          <w:i/>
          <w:iCs/>
          <w:sz w:val="22"/>
          <w:szCs w:val="22"/>
        </w:rPr>
        <w:t>The Lancet Neurology</w:t>
      </w:r>
      <w:r w:rsidRPr="00382332">
        <w:rPr>
          <w:rFonts w:ascii="Arial" w:hAnsi="Arial" w:cs="Arial"/>
          <w:sz w:val="22"/>
          <w:szCs w:val="22"/>
        </w:rPr>
        <w:t>, 8(4), pp. 317–325.</w:t>
      </w:r>
    </w:p>
    <w:p w14:paraId="318DAD30" w14:textId="15871A3D" w:rsidR="00E649A1" w:rsidRPr="00382332" w:rsidRDefault="00E649A1" w:rsidP="009C3999">
      <w:pPr>
        <w:spacing w:line="360" w:lineRule="auto"/>
        <w:jc w:val="both"/>
        <w:rPr>
          <w:rFonts w:ascii="Arial" w:hAnsi="Arial" w:cs="Arial"/>
          <w:sz w:val="22"/>
          <w:szCs w:val="22"/>
        </w:rPr>
      </w:pPr>
      <w:r w:rsidRPr="00382332">
        <w:rPr>
          <w:rFonts w:ascii="Arial" w:hAnsi="Arial" w:cs="Arial"/>
          <w:sz w:val="22"/>
          <w:szCs w:val="22"/>
        </w:rPr>
        <w:t xml:space="preserve">Department for Constitutional Affairs (2007) </w:t>
      </w:r>
      <w:r w:rsidRPr="00382332">
        <w:rPr>
          <w:rFonts w:ascii="Arial" w:hAnsi="Arial" w:cs="Arial"/>
          <w:i/>
          <w:iCs/>
          <w:sz w:val="22"/>
          <w:szCs w:val="22"/>
        </w:rPr>
        <w:t>Mental Capacity Act 2005: Code of Practice</w:t>
      </w:r>
      <w:r w:rsidRPr="00382332">
        <w:rPr>
          <w:rFonts w:ascii="Arial" w:hAnsi="Arial" w:cs="Arial"/>
          <w:sz w:val="22"/>
          <w:szCs w:val="22"/>
        </w:rPr>
        <w:t xml:space="preserve">. </w:t>
      </w:r>
      <w:proofErr w:type="spellStart"/>
      <w:r w:rsidRPr="00382332">
        <w:rPr>
          <w:rFonts w:ascii="Arial" w:hAnsi="Arial" w:cs="Arial"/>
          <w:sz w:val="22"/>
          <w:szCs w:val="22"/>
        </w:rPr>
        <w:t>London:The</w:t>
      </w:r>
      <w:r w:rsidR="00FD0D8E">
        <w:rPr>
          <w:rFonts w:ascii="Arial" w:hAnsi="Arial" w:cs="Arial"/>
          <w:sz w:val="22"/>
          <w:szCs w:val="22"/>
        </w:rPr>
        <w:t>,</w:t>
      </w:r>
      <w:r w:rsidRPr="00382332">
        <w:rPr>
          <w:rFonts w:ascii="Arial" w:hAnsi="Arial" w:cs="Arial"/>
          <w:sz w:val="22"/>
          <w:szCs w:val="22"/>
        </w:rPr>
        <w:t>tationery</w:t>
      </w:r>
      <w:r w:rsidR="00522565">
        <w:rPr>
          <w:rFonts w:ascii="Arial" w:hAnsi="Arial" w:cs="Arial"/>
          <w:sz w:val="22"/>
          <w:szCs w:val="22"/>
        </w:rPr>
        <w:t>.</w:t>
      </w:r>
      <w:r w:rsidRPr="00382332">
        <w:rPr>
          <w:rFonts w:ascii="Arial" w:hAnsi="Arial" w:cs="Arial"/>
          <w:sz w:val="22"/>
          <w:szCs w:val="22"/>
        </w:rPr>
        <w:t>Office.Available</w:t>
      </w:r>
      <w:r w:rsidR="00522565">
        <w:rPr>
          <w:rFonts w:ascii="Arial" w:hAnsi="Arial" w:cs="Arial"/>
          <w:sz w:val="22"/>
          <w:szCs w:val="22"/>
        </w:rPr>
        <w:t>,</w:t>
      </w:r>
      <w:r w:rsidRPr="00CB7903">
        <w:rPr>
          <w:rFonts w:ascii="Arial" w:hAnsi="Arial" w:cs="Arial"/>
          <w:i/>
          <w:iCs/>
          <w:sz w:val="22"/>
          <w:szCs w:val="22"/>
        </w:rPr>
        <w:t>at</w:t>
      </w:r>
      <w:proofErr w:type="spellEnd"/>
      <w:r w:rsidRPr="00CB7903">
        <w:rPr>
          <w:rFonts w:ascii="Arial" w:hAnsi="Arial" w:cs="Arial"/>
          <w:i/>
          <w:iCs/>
          <w:sz w:val="22"/>
          <w:szCs w:val="22"/>
        </w:rPr>
        <w:t>:</w:t>
      </w:r>
      <w:r w:rsidRPr="00382332">
        <w:rPr>
          <w:rFonts w:ascii="Arial" w:hAnsi="Arial" w:cs="Arial"/>
          <w:sz w:val="22"/>
          <w:szCs w:val="22"/>
        </w:rPr>
        <w:t xml:space="preserve"> </w:t>
      </w:r>
      <w:hyperlink r:id="rId12" w:tgtFrame="_new" w:history="1">
        <w:r w:rsidRPr="00382332">
          <w:rPr>
            <w:rStyle w:val="Hyperlink"/>
            <w:rFonts w:ascii="Arial" w:hAnsi="Arial" w:cs="Arial"/>
            <w:sz w:val="22"/>
            <w:szCs w:val="22"/>
          </w:rPr>
          <w:t>https://www.gov.uk/government/publications/mental-capacity-act-code-of-practice</w:t>
        </w:r>
      </w:hyperlink>
      <w:r w:rsidRPr="00382332">
        <w:rPr>
          <w:rFonts w:ascii="Arial" w:hAnsi="Arial" w:cs="Arial"/>
          <w:sz w:val="22"/>
          <w:szCs w:val="22"/>
        </w:rPr>
        <w:t xml:space="preserve"> (Accessed: 12 July 2026).</w:t>
      </w:r>
    </w:p>
    <w:p w14:paraId="1B846D16" w14:textId="5B3E46A8" w:rsidR="007141A0" w:rsidRPr="00E16763" w:rsidRDefault="007141A0" w:rsidP="009C3999">
      <w:pPr>
        <w:spacing w:line="360" w:lineRule="auto"/>
        <w:jc w:val="both"/>
        <w:rPr>
          <w:rFonts w:ascii="Arial" w:hAnsi="Arial" w:cs="Arial"/>
          <w:sz w:val="22"/>
          <w:szCs w:val="22"/>
        </w:rPr>
      </w:pPr>
      <w:r w:rsidRPr="00382332">
        <w:rPr>
          <w:rFonts w:ascii="Arial" w:hAnsi="Arial" w:cs="Arial"/>
          <w:sz w:val="22"/>
          <w:szCs w:val="22"/>
        </w:rPr>
        <w:t xml:space="preserve">Equality Act 2010, c. 15. Available at: </w:t>
      </w:r>
      <w:hyperlink r:id="rId13" w:tgtFrame="_new" w:history="1">
        <w:r w:rsidRPr="00382332">
          <w:rPr>
            <w:rStyle w:val="Hyperlink"/>
            <w:rFonts w:ascii="Arial" w:hAnsi="Arial" w:cs="Arial"/>
            <w:sz w:val="22"/>
            <w:szCs w:val="22"/>
          </w:rPr>
          <w:t>https://www.legislation.gov.uk/ukpga/2010/15/contents</w:t>
        </w:r>
      </w:hyperlink>
      <w:r w:rsidRPr="00382332">
        <w:rPr>
          <w:rFonts w:ascii="Arial" w:hAnsi="Arial" w:cs="Arial"/>
          <w:sz w:val="22"/>
          <w:szCs w:val="22"/>
        </w:rPr>
        <w:t xml:space="preserve"> (Accessed: 5 July 2026).</w:t>
      </w:r>
    </w:p>
    <w:p w14:paraId="335A7D2C" w14:textId="5274681E" w:rsidR="00E649A1" w:rsidRPr="00382332" w:rsidRDefault="00E16763" w:rsidP="009C3999">
      <w:pPr>
        <w:spacing w:line="360" w:lineRule="auto"/>
        <w:jc w:val="both"/>
        <w:rPr>
          <w:rFonts w:ascii="Arial" w:hAnsi="Arial" w:cs="Arial"/>
          <w:sz w:val="22"/>
          <w:szCs w:val="22"/>
        </w:rPr>
      </w:pPr>
      <w:r w:rsidRPr="00E16763">
        <w:rPr>
          <w:rFonts w:ascii="Arial" w:hAnsi="Arial" w:cs="Arial"/>
          <w:sz w:val="22"/>
          <w:szCs w:val="22"/>
        </w:rPr>
        <w:t>Human</w:t>
      </w:r>
      <w:r w:rsidR="00522565">
        <w:rPr>
          <w:rFonts w:ascii="Arial" w:hAnsi="Arial" w:cs="Arial"/>
          <w:sz w:val="22"/>
          <w:szCs w:val="22"/>
        </w:rPr>
        <w:t>,</w:t>
      </w:r>
      <w:r w:rsidRPr="00E16763">
        <w:rPr>
          <w:rFonts w:ascii="Arial" w:hAnsi="Arial" w:cs="Arial"/>
          <w:sz w:val="22"/>
          <w:szCs w:val="22"/>
        </w:rPr>
        <w:t>right</w:t>
      </w:r>
      <w:r w:rsidR="00522565">
        <w:rPr>
          <w:rFonts w:ascii="Arial" w:hAnsi="Arial" w:cs="Arial"/>
          <w:sz w:val="22"/>
          <w:szCs w:val="22"/>
        </w:rPr>
        <w:t>,</w:t>
      </w:r>
      <w:r w:rsidRPr="00E16763">
        <w:rPr>
          <w:rFonts w:ascii="Arial" w:hAnsi="Arial" w:cs="Arial"/>
          <w:sz w:val="22"/>
          <w:szCs w:val="22"/>
        </w:rPr>
        <w:t>Act</w:t>
      </w:r>
      <w:r w:rsidR="00522565">
        <w:rPr>
          <w:rFonts w:ascii="Arial" w:hAnsi="Arial" w:cs="Arial"/>
          <w:sz w:val="22"/>
          <w:szCs w:val="22"/>
        </w:rPr>
        <w:t>.</w:t>
      </w:r>
      <w:r w:rsidR="00E649A1" w:rsidRPr="00E16763">
        <w:rPr>
          <w:rFonts w:ascii="Arial" w:hAnsi="Arial" w:cs="Arial"/>
          <w:sz w:val="22"/>
          <w:szCs w:val="22"/>
        </w:rPr>
        <w:t>1998,c.42.Available</w:t>
      </w:r>
      <w:r w:rsidR="00BE3693">
        <w:rPr>
          <w:rFonts w:ascii="Arial" w:hAnsi="Arial" w:cs="Arial"/>
          <w:sz w:val="22"/>
          <w:szCs w:val="22"/>
        </w:rPr>
        <w:t>,</w:t>
      </w:r>
      <w:r w:rsidR="00E649A1" w:rsidRPr="00E16763">
        <w:rPr>
          <w:rFonts w:ascii="Arial" w:hAnsi="Arial" w:cs="Arial"/>
          <w:i/>
          <w:iCs/>
          <w:sz w:val="22"/>
          <w:szCs w:val="22"/>
        </w:rPr>
        <w:t xml:space="preserve">at: </w:t>
      </w:r>
      <w:hyperlink r:id="rId14" w:tgtFrame="_new" w:history="1">
        <w:r w:rsidR="00E649A1" w:rsidRPr="00382332">
          <w:rPr>
            <w:rStyle w:val="Hyperlink"/>
            <w:rFonts w:ascii="Arial" w:hAnsi="Arial" w:cs="Arial"/>
            <w:sz w:val="22"/>
            <w:szCs w:val="22"/>
          </w:rPr>
          <w:t>https://www.legislation.gov.uk/ukpga/1998/42/contents</w:t>
        </w:r>
      </w:hyperlink>
      <w:r w:rsidR="00E649A1" w:rsidRPr="00382332">
        <w:rPr>
          <w:rFonts w:ascii="Arial" w:hAnsi="Arial" w:cs="Arial"/>
          <w:sz w:val="22"/>
          <w:szCs w:val="22"/>
        </w:rPr>
        <w:t xml:space="preserve"> (Accessed: </w:t>
      </w:r>
      <w:r w:rsidR="007141A0" w:rsidRPr="00382332">
        <w:rPr>
          <w:rFonts w:ascii="Arial" w:hAnsi="Arial" w:cs="Arial"/>
          <w:sz w:val="22"/>
          <w:szCs w:val="22"/>
        </w:rPr>
        <w:t xml:space="preserve">4 </w:t>
      </w:r>
      <w:r w:rsidR="00E649A1" w:rsidRPr="00382332">
        <w:rPr>
          <w:rFonts w:ascii="Arial" w:hAnsi="Arial" w:cs="Arial"/>
          <w:sz w:val="22"/>
          <w:szCs w:val="22"/>
        </w:rPr>
        <w:t>July 2026).</w:t>
      </w:r>
    </w:p>
    <w:p w14:paraId="436FC860" w14:textId="77777777" w:rsidR="00562FE6" w:rsidRPr="00382332" w:rsidRDefault="00562FE6" w:rsidP="009C3999">
      <w:pPr>
        <w:spacing w:line="360" w:lineRule="auto"/>
        <w:jc w:val="both"/>
        <w:rPr>
          <w:rFonts w:ascii="Arial" w:hAnsi="Arial" w:cs="Arial"/>
          <w:sz w:val="22"/>
          <w:szCs w:val="22"/>
        </w:rPr>
      </w:pPr>
      <w:r w:rsidRPr="00382332">
        <w:rPr>
          <w:rFonts w:ascii="Arial" w:hAnsi="Arial" w:cs="Arial"/>
          <w:sz w:val="22"/>
          <w:szCs w:val="22"/>
        </w:rPr>
        <w:t xml:space="preserve">Hibbard, J.H. and Greene, J. (2013) ‘What the evidence shows about patient activation: Better health outcomes and care experiences; fewer data on costs’, </w:t>
      </w:r>
      <w:r w:rsidRPr="00382332">
        <w:rPr>
          <w:rFonts w:ascii="Arial" w:hAnsi="Arial" w:cs="Arial"/>
          <w:i/>
          <w:iCs/>
          <w:sz w:val="22"/>
          <w:szCs w:val="22"/>
        </w:rPr>
        <w:t>Health Affairs</w:t>
      </w:r>
      <w:r w:rsidRPr="00382332">
        <w:rPr>
          <w:rFonts w:ascii="Arial" w:hAnsi="Arial" w:cs="Arial"/>
          <w:sz w:val="22"/>
          <w:szCs w:val="22"/>
        </w:rPr>
        <w:t xml:space="preserve">, 32(2), pp. 207–214. Available at: </w:t>
      </w:r>
      <w:hyperlink r:id="rId15" w:history="1">
        <w:r w:rsidRPr="00382332">
          <w:rPr>
            <w:rStyle w:val="Hyperlink"/>
            <w:rFonts w:ascii="Arial" w:hAnsi="Arial" w:cs="Arial"/>
            <w:sz w:val="22"/>
            <w:szCs w:val="22"/>
          </w:rPr>
          <w:t>https://doi.org/10.1377/hlthaff.2012.1061</w:t>
        </w:r>
      </w:hyperlink>
      <w:r w:rsidRPr="00382332">
        <w:rPr>
          <w:rFonts w:ascii="Arial" w:hAnsi="Arial" w:cs="Arial"/>
          <w:sz w:val="22"/>
          <w:szCs w:val="22"/>
        </w:rPr>
        <w:t xml:space="preserve"> (Accessed: 9 July 2026).</w:t>
      </w:r>
    </w:p>
    <w:p w14:paraId="3266ED68" w14:textId="18DAA648" w:rsidR="00562FE6" w:rsidRPr="00382332" w:rsidRDefault="007141A0" w:rsidP="009C3999">
      <w:pPr>
        <w:spacing w:line="360" w:lineRule="auto"/>
        <w:jc w:val="both"/>
        <w:rPr>
          <w:rFonts w:ascii="Arial" w:hAnsi="Arial" w:cs="Arial"/>
          <w:sz w:val="22"/>
          <w:szCs w:val="22"/>
        </w:rPr>
      </w:pPr>
      <w:r w:rsidRPr="00382332">
        <w:rPr>
          <w:rFonts w:ascii="Arial" w:hAnsi="Arial" w:cs="Arial"/>
          <w:sz w:val="22"/>
          <w:szCs w:val="22"/>
        </w:rPr>
        <w:t xml:space="preserve">Equality Act 2010, c. 15. Available at: </w:t>
      </w:r>
      <w:hyperlink r:id="rId16" w:tgtFrame="_new" w:history="1">
        <w:r w:rsidRPr="00382332">
          <w:rPr>
            <w:rStyle w:val="Hyperlink"/>
            <w:rFonts w:ascii="Arial" w:hAnsi="Arial" w:cs="Arial"/>
            <w:sz w:val="22"/>
            <w:szCs w:val="22"/>
          </w:rPr>
          <w:t>https://www.legislation.gov.uk/ukpga/2010/15/contents</w:t>
        </w:r>
      </w:hyperlink>
      <w:r w:rsidRPr="00382332">
        <w:rPr>
          <w:rFonts w:ascii="Arial" w:hAnsi="Arial" w:cs="Arial"/>
          <w:sz w:val="22"/>
          <w:szCs w:val="22"/>
        </w:rPr>
        <w:t xml:space="preserve"> (Accessed: 12 July 2026).</w:t>
      </w:r>
    </w:p>
    <w:p w14:paraId="31AE8327" w14:textId="77777777" w:rsidR="00562FE6" w:rsidRPr="00382332" w:rsidRDefault="00562FE6" w:rsidP="009C3999">
      <w:pPr>
        <w:spacing w:line="360" w:lineRule="auto"/>
        <w:jc w:val="both"/>
        <w:rPr>
          <w:rFonts w:ascii="Arial" w:hAnsi="Arial" w:cs="Arial"/>
          <w:sz w:val="22"/>
          <w:szCs w:val="22"/>
        </w:rPr>
      </w:pPr>
      <w:r w:rsidRPr="00382332">
        <w:rPr>
          <w:rFonts w:ascii="Arial" w:hAnsi="Arial" w:cs="Arial"/>
          <w:sz w:val="22"/>
          <w:szCs w:val="22"/>
        </w:rPr>
        <w:lastRenderedPageBreak/>
        <w:t xml:space="preserve">Kitwood, T. (1997) </w:t>
      </w:r>
      <w:r w:rsidRPr="00382332">
        <w:rPr>
          <w:rFonts w:ascii="Arial" w:hAnsi="Arial" w:cs="Arial"/>
          <w:i/>
          <w:iCs/>
          <w:sz w:val="22"/>
          <w:szCs w:val="22"/>
        </w:rPr>
        <w:t>Dementia Reconsidered: The Person Comes First</w:t>
      </w:r>
      <w:r w:rsidRPr="00382332">
        <w:rPr>
          <w:rFonts w:ascii="Arial" w:hAnsi="Arial" w:cs="Arial"/>
          <w:sz w:val="22"/>
          <w:szCs w:val="22"/>
        </w:rPr>
        <w:t>. Buckingham: Open University Press.</w:t>
      </w:r>
    </w:p>
    <w:p w14:paraId="0EEA36E1" w14:textId="123A8FB4" w:rsidR="00562FE6" w:rsidRPr="00382332" w:rsidRDefault="00562FE6" w:rsidP="009C3999">
      <w:pPr>
        <w:spacing w:line="360" w:lineRule="auto"/>
        <w:jc w:val="both"/>
        <w:rPr>
          <w:rFonts w:ascii="Arial" w:hAnsi="Arial" w:cs="Arial"/>
          <w:sz w:val="22"/>
          <w:szCs w:val="22"/>
        </w:rPr>
      </w:pPr>
      <w:r w:rsidRPr="00382332">
        <w:rPr>
          <w:rFonts w:ascii="Arial" w:hAnsi="Arial" w:cs="Arial"/>
          <w:sz w:val="22"/>
          <w:szCs w:val="22"/>
        </w:rPr>
        <w:t xml:space="preserve">National Institute for Health and Care Excellence (2018, updated 2024) </w:t>
      </w:r>
      <w:r w:rsidRPr="00382332">
        <w:rPr>
          <w:rFonts w:ascii="Arial" w:hAnsi="Arial" w:cs="Arial"/>
          <w:i/>
          <w:iCs/>
          <w:sz w:val="22"/>
          <w:szCs w:val="22"/>
        </w:rPr>
        <w:t>Dementia: Assessment, management and support for people living with dementia and their carers (NG97).</w:t>
      </w:r>
      <w:r w:rsidRPr="00382332">
        <w:rPr>
          <w:rFonts w:ascii="Arial" w:hAnsi="Arial" w:cs="Arial"/>
          <w:sz w:val="22"/>
          <w:szCs w:val="22"/>
        </w:rPr>
        <w:t xml:space="preserve"> Available at: </w:t>
      </w:r>
      <w:hyperlink r:id="rId17" w:history="1">
        <w:r w:rsidRPr="00382332">
          <w:rPr>
            <w:rStyle w:val="Hyperlink"/>
            <w:rFonts w:ascii="Arial" w:hAnsi="Arial" w:cs="Arial"/>
            <w:sz w:val="22"/>
            <w:szCs w:val="22"/>
          </w:rPr>
          <w:t>https://www.nice.org.uk/guidance/ng97</w:t>
        </w:r>
      </w:hyperlink>
      <w:r w:rsidRPr="00382332">
        <w:rPr>
          <w:rFonts w:ascii="Arial" w:hAnsi="Arial" w:cs="Arial"/>
          <w:sz w:val="22"/>
          <w:szCs w:val="22"/>
        </w:rPr>
        <w:t xml:space="preserve"> (Accessed: </w:t>
      </w:r>
      <w:r w:rsidR="00E649A1" w:rsidRPr="00382332">
        <w:rPr>
          <w:rFonts w:ascii="Arial" w:hAnsi="Arial" w:cs="Arial"/>
          <w:sz w:val="22"/>
          <w:szCs w:val="22"/>
        </w:rPr>
        <w:t>7</w:t>
      </w:r>
      <w:r w:rsidRPr="00382332">
        <w:rPr>
          <w:rFonts w:ascii="Arial" w:hAnsi="Arial" w:cs="Arial"/>
          <w:sz w:val="22"/>
          <w:szCs w:val="22"/>
        </w:rPr>
        <w:t xml:space="preserve"> July 2026).</w:t>
      </w:r>
    </w:p>
    <w:p w14:paraId="65383B9F" w14:textId="77777777" w:rsidR="00BE3693" w:rsidRDefault="00E649A1" w:rsidP="009C3999">
      <w:pPr>
        <w:spacing w:line="360" w:lineRule="auto"/>
        <w:jc w:val="both"/>
        <w:rPr>
          <w:rFonts w:ascii="Arial" w:hAnsi="Arial" w:cs="Arial"/>
          <w:sz w:val="22"/>
          <w:szCs w:val="22"/>
        </w:rPr>
      </w:pPr>
      <w:r w:rsidRPr="00382332">
        <w:rPr>
          <w:rFonts w:ascii="Arial" w:hAnsi="Arial" w:cs="Arial"/>
          <w:sz w:val="22"/>
          <w:szCs w:val="22"/>
        </w:rPr>
        <w:t xml:space="preserve">Department for Constitutional Affairs (2007) </w:t>
      </w:r>
      <w:r w:rsidRPr="00382332">
        <w:rPr>
          <w:rFonts w:ascii="Arial" w:hAnsi="Arial" w:cs="Arial"/>
          <w:i/>
          <w:iCs/>
          <w:sz w:val="22"/>
          <w:szCs w:val="22"/>
        </w:rPr>
        <w:t>Mental Capacity Act 2005: Code of Practice</w:t>
      </w:r>
      <w:r w:rsidRPr="00382332">
        <w:rPr>
          <w:rFonts w:ascii="Arial" w:hAnsi="Arial" w:cs="Arial"/>
          <w:sz w:val="22"/>
          <w:szCs w:val="22"/>
        </w:rPr>
        <w:t xml:space="preserve">. </w:t>
      </w:r>
      <w:proofErr w:type="spellStart"/>
      <w:r w:rsidRPr="00382332">
        <w:rPr>
          <w:rFonts w:ascii="Arial" w:hAnsi="Arial" w:cs="Arial"/>
          <w:sz w:val="22"/>
          <w:szCs w:val="22"/>
        </w:rPr>
        <w:t>London:The</w:t>
      </w:r>
      <w:r w:rsidR="00BE3693">
        <w:rPr>
          <w:rFonts w:ascii="Arial" w:hAnsi="Arial" w:cs="Arial"/>
          <w:sz w:val="22"/>
          <w:szCs w:val="22"/>
        </w:rPr>
        <w:t>,</w:t>
      </w:r>
      <w:r w:rsidRPr="00382332">
        <w:rPr>
          <w:rFonts w:ascii="Arial" w:hAnsi="Arial" w:cs="Arial"/>
          <w:sz w:val="22"/>
          <w:szCs w:val="22"/>
        </w:rPr>
        <w:t>tationery</w:t>
      </w:r>
      <w:r w:rsidR="00BE3693">
        <w:rPr>
          <w:rFonts w:ascii="Arial" w:hAnsi="Arial" w:cs="Arial"/>
          <w:sz w:val="22"/>
          <w:szCs w:val="22"/>
        </w:rPr>
        <w:t>,</w:t>
      </w:r>
      <w:r w:rsidRPr="00382332">
        <w:rPr>
          <w:rFonts w:ascii="Arial" w:hAnsi="Arial" w:cs="Arial"/>
          <w:sz w:val="22"/>
          <w:szCs w:val="22"/>
        </w:rPr>
        <w:t>Office.Available</w:t>
      </w:r>
      <w:proofErr w:type="spellEnd"/>
    </w:p>
    <w:p w14:paraId="2DE9D7D7" w14:textId="642E7480" w:rsidR="00E649A1" w:rsidRPr="00382332" w:rsidRDefault="00E649A1" w:rsidP="009C3999">
      <w:pPr>
        <w:spacing w:line="360" w:lineRule="auto"/>
        <w:jc w:val="both"/>
        <w:rPr>
          <w:rFonts w:ascii="Arial" w:hAnsi="Arial" w:cs="Arial"/>
          <w:sz w:val="22"/>
          <w:szCs w:val="22"/>
        </w:rPr>
      </w:pPr>
      <w:r w:rsidRPr="00382332">
        <w:rPr>
          <w:rFonts w:ascii="Arial" w:hAnsi="Arial" w:cs="Arial"/>
          <w:sz w:val="22"/>
          <w:szCs w:val="22"/>
        </w:rPr>
        <w:t xml:space="preserve">at: </w:t>
      </w:r>
      <w:hyperlink r:id="rId18" w:tgtFrame="_new" w:history="1">
        <w:r w:rsidRPr="00382332">
          <w:rPr>
            <w:rStyle w:val="Hyperlink"/>
            <w:rFonts w:ascii="Arial" w:hAnsi="Arial" w:cs="Arial"/>
            <w:sz w:val="22"/>
            <w:szCs w:val="22"/>
          </w:rPr>
          <w:t>https://www.gov.uk/government/publications/mental-capacity-act-code-of-practice</w:t>
        </w:r>
      </w:hyperlink>
      <w:r w:rsidRPr="00382332">
        <w:rPr>
          <w:rFonts w:ascii="Arial" w:hAnsi="Arial" w:cs="Arial"/>
          <w:sz w:val="22"/>
          <w:szCs w:val="22"/>
        </w:rPr>
        <w:t xml:space="preserve"> (Accessed: 12 July 2026).</w:t>
      </w:r>
    </w:p>
    <w:p w14:paraId="4A4802B2" w14:textId="77777777" w:rsidR="00562FE6" w:rsidRPr="00382332" w:rsidRDefault="00562FE6" w:rsidP="009C3999">
      <w:pPr>
        <w:spacing w:line="360" w:lineRule="auto"/>
        <w:jc w:val="both"/>
        <w:rPr>
          <w:rFonts w:ascii="Arial" w:hAnsi="Arial" w:cs="Arial"/>
          <w:sz w:val="22"/>
          <w:szCs w:val="22"/>
        </w:rPr>
      </w:pPr>
      <w:r w:rsidRPr="00382332">
        <w:rPr>
          <w:rFonts w:ascii="Arial" w:hAnsi="Arial" w:cs="Arial"/>
          <w:sz w:val="22"/>
          <w:szCs w:val="22"/>
        </w:rPr>
        <w:t xml:space="preserve">Skills for Care (2024) </w:t>
      </w:r>
      <w:r w:rsidRPr="00382332">
        <w:rPr>
          <w:rFonts w:ascii="Arial" w:hAnsi="Arial" w:cs="Arial"/>
          <w:i/>
          <w:iCs/>
          <w:sz w:val="22"/>
          <w:szCs w:val="22"/>
        </w:rPr>
        <w:t>Dementia</w:t>
      </w:r>
      <w:r w:rsidRPr="00382332">
        <w:rPr>
          <w:rFonts w:ascii="Arial" w:hAnsi="Arial" w:cs="Arial"/>
          <w:sz w:val="22"/>
          <w:szCs w:val="22"/>
        </w:rPr>
        <w:t xml:space="preserve">. Available at: </w:t>
      </w:r>
      <w:hyperlink r:id="rId19" w:history="1">
        <w:r w:rsidRPr="00382332">
          <w:rPr>
            <w:rStyle w:val="Hyperlink"/>
            <w:rFonts w:ascii="Arial" w:hAnsi="Arial" w:cs="Arial"/>
            <w:sz w:val="22"/>
            <w:szCs w:val="22"/>
          </w:rPr>
          <w:t>https://www.skillsforcare.org.uk</w:t>
        </w:r>
      </w:hyperlink>
      <w:r w:rsidRPr="00382332">
        <w:rPr>
          <w:rFonts w:ascii="Arial" w:hAnsi="Arial" w:cs="Arial"/>
          <w:sz w:val="22"/>
          <w:szCs w:val="22"/>
        </w:rPr>
        <w:t xml:space="preserve"> (Accessed: 9 July 2026).</w:t>
      </w:r>
    </w:p>
    <w:p w14:paraId="479C3FE7" w14:textId="1B02BE6C" w:rsidR="00562FE6" w:rsidRPr="00382332" w:rsidRDefault="00562FE6" w:rsidP="009C3999">
      <w:pPr>
        <w:spacing w:line="360" w:lineRule="auto"/>
        <w:jc w:val="both"/>
        <w:rPr>
          <w:rFonts w:ascii="Arial" w:hAnsi="Arial" w:cs="Arial"/>
          <w:sz w:val="22"/>
          <w:szCs w:val="22"/>
        </w:rPr>
      </w:pPr>
      <w:r w:rsidRPr="00382332">
        <w:rPr>
          <w:rFonts w:ascii="Arial" w:hAnsi="Arial" w:cs="Arial"/>
          <w:sz w:val="22"/>
          <w:szCs w:val="22"/>
        </w:rPr>
        <w:t xml:space="preserve">World Health Organization (2016) </w:t>
      </w:r>
      <w:r w:rsidRPr="00382332">
        <w:rPr>
          <w:rFonts w:ascii="Arial" w:hAnsi="Arial" w:cs="Arial"/>
          <w:i/>
          <w:iCs/>
          <w:sz w:val="22"/>
          <w:szCs w:val="22"/>
        </w:rPr>
        <w:t>Framework on integrated, people-centred health services</w:t>
      </w:r>
      <w:r w:rsidRPr="00382332">
        <w:rPr>
          <w:rFonts w:ascii="Arial" w:hAnsi="Arial" w:cs="Arial"/>
          <w:sz w:val="22"/>
          <w:szCs w:val="22"/>
        </w:rPr>
        <w:t xml:space="preserve">. Geneva: World Health Organization. Available at: </w:t>
      </w:r>
      <w:hyperlink r:id="rId20" w:history="1">
        <w:r w:rsidRPr="00382332">
          <w:rPr>
            <w:rStyle w:val="Hyperlink"/>
            <w:rFonts w:ascii="Arial" w:hAnsi="Arial" w:cs="Arial"/>
            <w:sz w:val="22"/>
            <w:szCs w:val="22"/>
          </w:rPr>
          <w:t>https://www.who.int/publications/i/item/9789241565276</w:t>
        </w:r>
      </w:hyperlink>
      <w:r w:rsidRPr="00382332">
        <w:rPr>
          <w:rFonts w:ascii="Arial" w:hAnsi="Arial" w:cs="Arial"/>
          <w:sz w:val="22"/>
          <w:szCs w:val="22"/>
        </w:rPr>
        <w:t xml:space="preserve"> (Accessed: </w:t>
      </w:r>
      <w:r w:rsidR="00E649A1" w:rsidRPr="00382332">
        <w:rPr>
          <w:rFonts w:ascii="Arial" w:hAnsi="Arial" w:cs="Arial"/>
          <w:sz w:val="22"/>
          <w:szCs w:val="22"/>
        </w:rPr>
        <w:t>5</w:t>
      </w:r>
      <w:r w:rsidRPr="00382332">
        <w:rPr>
          <w:rFonts w:ascii="Arial" w:hAnsi="Arial" w:cs="Arial"/>
          <w:sz w:val="22"/>
          <w:szCs w:val="22"/>
        </w:rPr>
        <w:t xml:space="preserve"> July 2026).</w:t>
      </w:r>
    </w:p>
    <w:p w14:paraId="15187A6D" w14:textId="77777777" w:rsidR="00562FE6" w:rsidRPr="00382332" w:rsidRDefault="00562FE6" w:rsidP="009C3999">
      <w:pPr>
        <w:spacing w:line="360" w:lineRule="auto"/>
        <w:jc w:val="both"/>
        <w:rPr>
          <w:rFonts w:ascii="Arial" w:hAnsi="Arial" w:cs="Arial"/>
          <w:sz w:val="22"/>
          <w:szCs w:val="22"/>
        </w:rPr>
      </w:pPr>
    </w:p>
    <w:sectPr w:rsidR="00562FE6" w:rsidRPr="00382332" w:rsidSect="00C75F80">
      <w:footerReference w:type="default" r:id="rId21"/>
      <w:pgSz w:w="11906" w:h="16838"/>
      <w:pgMar w:top="1440" w:right="1440" w:bottom="1440" w:left="1440" w:header="0" w:footer="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1D15F01" w14:textId="77777777" w:rsidR="00B82C56" w:rsidRDefault="00B82C56" w:rsidP="00C75F80">
      <w:pPr>
        <w:spacing w:after="0" w:line="240" w:lineRule="auto"/>
      </w:pPr>
      <w:r>
        <w:separator/>
      </w:r>
    </w:p>
  </w:endnote>
  <w:endnote w:type="continuationSeparator" w:id="0">
    <w:p w14:paraId="32286777" w14:textId="77777777" w:rsidR="00B82C56" w:rsidRDefault="00B82C56" w:rsidP="00C75F8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Yu Mincho">
    <w:charset w:val="80"/>
    <w:family w:val="roman"/>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03271539"/>
      <w:docPartObj>
        <w:docPartGallery w:val="Page Numbers (Bottom of Page)"/>
        <w:docPartUnique/>
      </w:docPartObj>
    </w:sdtPr>
    <w:sdtEndPr>
      <w:rPr>
        <w:noProof/>
      </w:rPr>
    </w:sdtEndPr>
    <w:sdtContent>
      <w:p w14:paraId="5683643F" w14:textId="2B2D6F97" w:rsidR="00C75F80" w:rsidRDefault="00C75F80">
        <w:pPr>
          <w:pStyle w:val="Footer"/>
          <w:jc w:val="right"/>
        </w:pPr>
        <w:r>
          <w:ptab w:relativeTo="indent" w:alignment="left" w:leader="none"/>
        </w:r>
        <w:r>
          <w:ptab w:relativeTo="indent" w:alignment="left" w:leader="none"/>
        </w:r>
        <w:r>
          <w:fldChar w:fldCharType="begin"/>
        </w:r>
        <w:r>
          <w:instrText xml:space="preserve"> PAGE   \* MERGEFORMAT </w:instrText>
        </w:r>
        <w:r>
          <w:fldChar w:fldCharType="separate"/>
        </w:r>
        <w:r>
          <w:rPr>
            <w:noProof/>
          </w:rPr>
          <w:t>2</w:t>
        </w:r>
        <w:r>
          <w:rPr>
            <w:noProof/>
          </w:rPr>
          <w:fldChar w:fldCharType="end"/>
        </w:r>
      </w:p>
    </w:sdtContent>
  </w:sdt>
  <w:p w14:paraId="760C5803" w14:textId="67519D57" w:rsidR="00C75F80" w:rsidRDefault="00C75F8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A0D3558" w14:textId="77777777" w:rsidR="00B82C56" w:rsidRDefault="00B82C56" w:rsidP="00C75F80">
      <w:pPr>
        <w:spacing w:after="0" w:line="240" w:lineRule="auto"/>
      </w:pPr>
      <w:r>
        <w:separator/>
      </w:r>
    </w:p>
  </w:footnote>
  <w:footnote w:type="continuationSeparator" w:id="0">
    <w:p w14:paraId="0B71D2AF" w14:textId="77777777" w:rsidR="00B82C56" w:rsidRDefault="00B82C56" w:rsidP="00C75F8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6661A7F"/>
    <w:multiLevelType w:val="hybridMultilevel"/>
    <w:tmpl w:val="CC7AE9D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1367254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2FE6"/>
    <w:rsid w:val="000129F5"/>
    <w:rsid w:val="000417E4"/>
    <w:rsid w:val="00042618"/>
    <w:rsid w:val="001C178C"/>
    <w:rsid w:val="001C26DB"/>
    <w:rsid w:val="001E09E5"/>
    <w:rsid w:val="00203991"/>
    <w:rsid w:val="00207DFD"/>
    <w:rsid w:val="002301A0"/>
    <w:rsid w:val="00265B11"/>
    <w:rsid w:val="0027263E"/>
    <w:rsid w:val="002B7D9A"/>
    <w:rsid w:val="002D207A"/>
    <w:rsid w:val="00324BF5"/>
    <w:rsid w:val="00327F4F"/>
    <w:rsid w:val="00330FDE"/>
    <w:rsid w:val="00365D74"/>
    <w:rsid w:val="00382332"/>
    <w:rsid w:val="00391ADA"/>
    <w:rsid w:val="003921F8"/>
    <w:rsid w:val="00402823"/>
    <w:rsid w:val="004600BC"/>
    <w:rsid w:val="00505DDD"/>
    <w:rsid w:val="005204A9"/>
    <w:rsid w:val="00522565"/>
    <w:rsid w:val="005536E5"/>
    <w:rsid w:val="00562FE6"/>
    <w:rsid w:val="00574911"/>
    <w:rsid w:val="0058294C"/>
    <w:rsid w:val="005C2ED2"/>
    <w:rsid w:val="005E3CE8"/>
    <w:rsid w:val="005F73F8"/>
    <w:rsid w:val="00610338"/>
    <w:rsid w:val="00612276"/>
    <w:rsid w:val="00692594"/>
    <w:rsid w:val="006F2C08"/>
    <w:rsid w:val="007141A0"/>
    <w:rsid w:val="00730004"/>
    <w:rsid w:val="00742895"/>
    <w:rsid w:val="00757CDC"/>
    <w:rsid w:val="007706C9"/>
    <w:rsid w:val="00826899"/>
    <w:rsid w:val="0083727A"/>
    <w:rsid w:val="00965D9D"/>
    <w:rsid w:val="009C3999"/>
    <w:rsid w:val="00B2266A"/>
    <w:rsid w:val="00B527EA"/>
    <w:rsid w:val="00B82C56"/>
    <w:rsid w:val="00B91955"/>
    <w:rsid w:val="00BD3091"/>
    <w:rsid w:val="00BE3693"/>
    <w:rsid w:val="00BE727C"/>
    <w:rsid w:val="00BE745A"/>
    <w:rsid w:val="00C25A23"/>
    <w:rsid w:val="00C3141B"/>
    <w:rsid w:val="00C75F80"/>
    <w:rsid w:val="00CB7903"/>
    <w:rsid w:val="00D81F34"/>
    <w:rsid w:val="00DC134F"/>
    <w:rsid w:val="00E16763"/>
    <w:rsid w:val="00E649A1"/>
    <w:rsid w:val="00E6514A"/>
    <w:rsid w:val="00EE6620"/>
    <w:rsid w:val="00F9542E"/>
    <w:rsid w:val="00F97D3F"/>
    <w:rsid w:val="00FA3523"/>
    <w:rsid w:val="00FB229E"/>
    <w:rsid w:val="00FD0D8E"/>
    <w:rsid w:val="199A385D"/>
    <w:rsid w:val="57F60AE8"/>
    <w:rsid w:val="756B37A4"/>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E9781C7"/>
  <w15:chartTrackingRefBased/>
  <w15:docId w15:val="{5D84B9DD-F6C5-4701-BA39-89854D7567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62FE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62FE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62FE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62FE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62FE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62FE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62FE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62FE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62FE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62FE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62FE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62FE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62FE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62FE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62FE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62FE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62FE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62FE6"/>
    <w:rPr>
      <w:rFonts w:eastAsiaTheme="majorEastAsia" w:cstheme="majorBidi"/>
      <w:color w:val="272727" w:themeColor="text1" w:themeTint="D8"/>
    </w:rPr>
  </w:style>
  <w:style w:type="paragraph" w:styleId="Title">
    <w:name w:val="Title"/>
    <w:basedOn w:val="Normal"/>
    <w:next w:val="Normal"/>
    <w:link w:val="TitleChar"/>
    <w:uiPriority w:val="10"/>
    <w:qFormat/>
    <w:rsid w:val="00562FE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62FE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62FE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62FE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62FE6"/>
    <w:pPr>
      <w:spacing w:before="160"/>
      <w:jc w:val="center"/>
    </w:pPr>
    <w:rPr>
      <w:i/>
      <w:iCs/>
      <w:color w:val="404040" w:themeColor="text1" w:themeTint="BF"/>
    </w:rPr>
  </w:style>
  <w:style w:type="character" w:customStyle="1" w:styleId="QuoteChar">
    <w:name w:val="Quote Char"/>
    <w:basedOn w:val="DefaultParagraphFont"/>
    <w:link w:val="Quote"/>
    <w:uiPriority w:val="29"/>
    <w:rsid w:val="00562FE6"/>
    <w:rPr>
      <w:i/>
      <w:iCs/>
      <w:color w:val="404040" w:themeColor="text1" w:themeTint="BF"/>
    </w:rPr>
  </w:style>
  <w:style w:type="paragraph" w:styleId="ListParagraph">
    <w:name w:val="List Paragraph"/>
    <w:basedOn w:val="Normal"/>
    <w:uiPriority w:val="34"/>
    <w:qFormat/>
    <w:rsid w:val="00562FE6"/>
    <w:pPr>
      <w:ind w:left="720"/>
      <w:contextualSpacing/>
    </w:pPr>
  </w:style>
  <w:style w:type="character" w:styleId="IntenseEmphasis">
    <w:name w:val="Intense Emphasis"/>
    <w:basedOn w:val="DefaultParagraphFont"/>
    <w:uiPriority w:val="21"/>
    <w:qFormat/>
    <w:rsid w:val="00562FE6"/>
    <w:rPr>
      <w:i/>
      <w:iCs/>
      <w:color w:val="0F4761" w:themeColor="accent1" w:themeShade="BF"/>
    </w:rPr>
  </w:style>
  <w:style w:type="paragraph" w:styleId="IntenseQuote">
    <w:name w:val="Intense Quote"/>
    <w:basedOn w:val="Normal"/>
    <w:next w:val="Normal"/>
    <w:link w:val="IntenseQuoteChar"/>
    <w:uiPriority w:val="30"/>
    <w:qFormat/>
    <w:rsid w:val="00562FE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62FE6"/>
    <w:rPr>
      <w:i/>
      <w:iCs/>
      <w:color w:val="0F4761" w:themeColor="accent1" w:themeShade="BF"/>
    </w:rPr>
  </w:style>
  <w:style w:type="character" w:styleId="IntenseReference">
    <w:name w:val="Intense Reference"/>
    <w:basedOn w:val="DefaultParagraphFont"/>
    <w:uiPriority w:val="32"/>
    <w:qFormat/>
    <w:rsid w:val="00562FE6"/>
    <w:rPr>
      <w:b/>
      <w:bCs/>
      <w:smallCaps/>
      <w:color w:val="0F4761" w:themeColor="accent1" w:themeShade="BF"/>
      <w:spacing w:val="5"/>
    </w:rPr>
  </w:style>
  <w:style w:type="character" w:styleId="Hyperlink">
    <w:name w:val="Hyperlink"/>
    <w:basedOn w:val="DefaultParagraphFont"/>
    <w:uiPriority w:val="99"/>
    <w:unhideWhenUsed/>
    <w:rsid w:val="00562FE6"/>
    <w:rPr>
      <w:color w:val="467886" w:themeColor="hyperlink"/>
      <w:u w:val="single"/>
    </w:rPr>
  </w:style>
  <w:style w:type="character" w:styleId="UnresolvedMention">
    <w:name w:val="Unresolved Mention"/>
    <w:basedOn w:val="DefaultParagraphFont"/>
    <w:uiPriority w:val="99"/>
    <w:semiHidden/>
    <w:unhideWhenUsed/>
    <w:rsid w:val="00562FE6"/>
    <w:rPr>
      <w:color w:val="605E5C"/>
      <w:shd w:val="clear" w:color="auto" w:fill="E1DFDD"/>
    </w:rPr>
  </w:style>
  <w:style w:type="paragraph" w:styleId="Header">
    <w:name w:val="header"/>
    <w:basedOn w:val="Normal"/>
    <w:link w:val="HeaderChar"/>
    <w:uiPriority w:val="99"/>
    <w:unhideWhenUsed/>
    <w:rsid w:val="00C75F80"/>
    <w:pPr>
      <w:tabs>
        <w:tab w:val="center" w:pos="4513"/>
        <w:tab w:val="right" w:pos="9026"/>
      </w:tabs>
      <w:spacing w:after="0" w:line="240" w:lineRule="auto"/>
    </w:pPr>
  </w:style>
  <w:style w:type="character" w:customStyle="1" w:styleId="HeaderChar">
    <w:name w:val="Header Char"/>
    <w:basedOn w:val="DefaultParagraphFont"/>
    <w:link w:val="Header"/>
    <w:uiPriority w:val="99"/>
    <w:rsid w:val="00C75F80"/>
  </w:style>
  <w:style w:type="paragraph" w:styleId="Footer">
    <w:name w:val="footer"/>
    <w:basedOn w:val="Normal"/>
    <w:link w:val="FooterChar"/>
    <w:uiPriority w:val="99"/>
    <w:unhideWhenUsed/>
    <w:rsid w:val="00C75F80"/>
    <w:pPr>
      <w:tabs>
        <w:tab w:val="center" w:pos="4513"/>
        <w:tab w:val="right" w:pos="9026"/>
      </w:tabs>
      <w:spacing w:after="0" w:line="240" w:lineRule="auto"/>
    </w:pPr>
  </w:style>
  <w:style w:type="character" w:customStyle="1" w:styleId="FooterChar">
    <w:name w:val="Footer Char"/>
    <w:basedOn w:val="DefaultParagraphFont"/>
    <w:link w:val="Footer"/>
    <w:uiPriority w:val="99"/>
    <w:rsid w:val="00C75F80"/>
  </w:style>
  <w:style w:type="paragraph" w:styleId="Revision">
    <w:name w:val="Revision"/>
    <w:hidden/>
    <w:uiPriority w:val="99"/>
    <w:semiHidden/>
    <w:rsid w:val="00C75F80"/>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legislation.gov.uk/ukpga/2010/15/contents" TargetMode="External"/><Relationship Id="rId18" Type="http://schemas.openxmlformats.org/officeDocument/2006/relationships/hyperlink" Target="https://www.gov.uk/government/publications/mental-capacity-act-code-of-practice" TargetMode="Externa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webSettings" Target="webSettings.xml"/><Relationship Id="rId12" Type="http://schemas.openxmlformats.org/officeDocument/2006/relationships/hyperlink" Target="https://www.gov.uk/government/publications/mental-capacity-act-code-of-practice" TargetMode="External"/><Relationship Id="rId17" Type="http://schemas.openxmlformats.org/officeDocument/2006/relationships/hyperlink" Target="https://www.nice.org.uk/guidance/ng97" TargetMode="External"/><Relationship Id="rId2" Type="http://schemas.openxmlformats.org/officeDocument/2006/relationships/customXml" Target="../customXml/item2.xml"/><Relationship Id="rId16" Type="http://schemas.openxmlformats.org/officeDocument/2006/relationships/hyperlink" Target="https://www.legislation.gov.uk/ukpga/2010/15/contents" TargetMode="External"/><Relationship Id="rId20" Type="http://schemas.openxmlformats.org/officeDocument/2006/relationships/hyperlink" Target="https://www.who.int/publications/i/item/9789241565276"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alzheimers.org.uk/" TargetMode="External"/><Relationship Id="rId5" Type="http://schemas.openxmlformats.org/officeDocument/2006/relationships/styles" Target="styles.xml"/><Relationship Id="rId15" Type="http://schemas.openxmlformats.org/officeDocument/2006/relationships/hyperlink" Target="https://doi.org/10.1377/hlthaff.2012.1061" TargetMode="External"/><Relationship Id="rId23" Type="http://schemas.openxmlformats.org/officeDocument/2006/relationships/theme" Target="theme/theme1.xml"/><Relationship Id="rId10" Type="http://schemas.openxmlformats.org/officeDocument/2006/relationships/hyperlink" Target="https://doi.org/10.1016/0030-5073(69)90004-X" TargetMode="External"/><Relationship Id="rId19" Type="http://schemas.openxmlformats.org/officeDocument/2006/relationships/hyperlink" Target="https://www.skillsforcare.org.uk/"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legislation.gov.uk/ukpga/1998/42/contents"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BED00E2095EE4341B6EDA34AD6B58574" ma:contentTypeVersion="8" ma:contentTypeDescription="Create a new document." ma:contentTypeScope="" ma:versionID="44c810e51b0249a5b6dc11c5bc5070df">
  <xsd:schema xmlns:xsd="http://www.w3.org/2001/XMLSchema" xmlns:xs="http://www.w3.org/2001/XMLSchema" xmlns:p="http://schemas.microsoft.com/office/2006/metadata/properties" xmlns:ns3="1db24759-c936-4417-b43c-e7856b46dbfa" targetNamespace="http://schemas.microsoft.com/office/2006/metadata/properties" ma:root="true" ma:fieldsID="be0f50510c64eba6f8bacd6cc1f07de7" ns3:_="">
    <xsd:import namespace="1db24759-c936-4417-b43c-e7856b46dbfa"/>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SystemTags"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db24759-c936-4417-b43c-e7856b46dbfa"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FDEB2890-FE97-43BF-838A-C1C2DAA2BF0F}">
  <ds:schemaRefs>
    <ds:schemaRef ds:uri="http://schemas.microsoft.com/sharepoint/v3/contenttype/forms"/>
  </ds:schemaRefs>
</ds:datastoreItem>
</file>

<file path=customXml/itemProps2.xml><?xml version="1.0" encoding="utf-8"?>
<ds:datastoreItem xmlns:ds="http://schemas.openxmlformats.org/officeDocument/2006/customXml" ds:itemID="{26AFC115-7870-498D-931B-D63EDA5215F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db24759-c936-4417-b43c-e7856b46dbf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D1E65B1-4E99-41BB-8B6B-3656CBB0FEAC}">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14</Pages>
  <Words>3207</Words>
  <Characters>18284</Characters>
  <Application>Microsoft Office Word</Application>
  <DocSecurity>0</DocSecurity>
  <Lines>152</Lines>
  <Paragraphs>42</Paragraphs>
  <ScaleCrop>false</ScaleCrop>
  <Company/>
  <LinksUpToDate>false</LinksUpToDate>
  <CharactersWithSpaces>21449</CharactersWithSpaces>
  <SharedDoc>false</SharedDoc>
  <HLinks>
    <vt:vector size="66" baseType="variant">
      <vt:variant>
        <vt:i4>1704007</vt:i4>
      </vt:variant>
      <vt:variant>
        <vt:i4>30</vt:i4>
      </vt:variant>
      <vt:variant>
        <vt:i4>0</vt:i4>
      </vt:variant>
      <vt:variant>
        <vt:i4>5</vt:i4>
      </vt:variant>
      <vt:variant>
        <vt:lpwstr>https://www.who.int/publications/i/item/9789241565276</vt:lpwstr>
      </vt:variant>
      <vt:variant>
        <vt:lpwstr/>
      </vt:variant>
      <vt:variant>
        <vt:i4>5963867</vt:i4>
      </vt:variant>
      <vt:variant>
        <vt:i4>27</vt:i4>
      </vt:variant>
      <vt:variant>
        <vt:i4>0</vt:i4>
      </vt:variant>
      <vt:variant>
        <vt:i4>5</vt:i4>
      </vt:variant>
      <vt:variant>
        <vt:lpwstr>https://www.skillsforcare.org.uk/</vt:lpwstr>
      </vt:variant>
      <vt:variant>
        <vt:lpwstr/>
      </vt:variant>
      <vt:variant>
        <vt:i4>4128870</vt:i4>
      </vt:variant>
      <vt:variant>
        <vt:i4>24</vt:i4>
      </vt:variant>
      <vt:variant>
        <vt:i4>0</vt:i4>
      </vt:variant>
      <vt:variant>
        <vt:i4>5</vt:i4>
      </vt:variant>
      <vt:variant>
        <vt:lpwstr>https://www.gov.uk/government/publications/mental-capacity-act-code-of-practice</vt:lpwstr>
      </vt:variant>
      <vt:variant>
        <vt:lpwstr/>
      </vt:variant>
      <vt:variant>
        <vt:i4>5963792</vt:i4>
      </vt:variant>
      <vt:variant>
        <vt:i4>21</vt:i4>
      </vt:variant>
      <vt:variant>
        <vt:i4>0</vt:i4>
      </vt:variant>
      <vt:variant>
        <vt:i4>5</vt:i4>
      </vt:variant>
      <vt:variant>
        <vt:lpwstr>https://www.nice.org.uk/guidance/ng97</vt:lpwstr>
      </vt:variant>
      <vt:variant>
        <vt:lpwstr/>
      </vt:variant>
      <vt:variant>
        <vt:i4>5636189</vt:i4>
      </vt:variant>
      <vt:variant>
        <vt:i4>18</vt:i4>
      </vt:variant>
      <vt:variant>
        <vt:i4>0</vt:i4>
      </vt:variant>
      <vt:variant>
        <vt:i4>5</vt:i4>
      </vt:variant>
      <vt:variant>
        <vt:lpwstr>https://www.legislation.gov.uk/ukpga/2010/15/contents</vt:lpwstr>
      </vt:variant>
      <vt:variant>
        <vt:lpwstr/>
      </vt:variant>
      <vt:variant>
        <vt:i4>6094936</vt:i4>
      </vt:variant>
      <vt:variant>
        <vt:i4>15</vt:i4>
      </vt:variant>
      <vt:variant>
        <vt:i4>0</vt:i4>
      </vt:variant>
      <vt:variant>
        <vt:i4>5</vt:i4>
      </vt:variant>
      <vt:variant>
        <vt:lpwstr>https://doi.org/10.1377/hlthaff.2012.1061</vt:lpwstr>
      </vt:variant>
      <vt:variant>
        <vt:lpwstr/>
      </vt:variant>
      <vt:variant>
        <vt:i4>5898329</vt:i4>
      </vt:variant>
      <vt:variant>
        <vt:i4>12</vt:i4>
      </vt:variant>
      <vt:variant>
        <vt:i4>0</vt:i4>
      </vt:variant>
      <vt:variant>
        <vt:i4>5</vt:i4>
      </vt:variant>
      <vt:variant>
        <vt:lpwstr>https://www.legislation.gov.uk/ukpga/1998/42/contents</vt:lpwstr>
      </vt:variant>
      <vt:variant>
        <vt:lpwstr/>
      </vt:variant>
      <vt:variant>
        <vt:i4>5636189</vt:i4>
      </vt:variant>
      <vt:variant>
        <vt:i4>9</vt:i4>
      </vt:variant>
      <vt:variant>
        <vt:i4>0</vt:i4>
      </vt:variant>
      <vt:variant>
        <vt:i4>5</vt:i4>
      </vt:variant>
      <vt:variant>
        <vt:lpwstr>https://www.legislation.gov.uk/ukpga/2010/15/contents</vt:lpwstr>
      </vt:variant>
      <vt:variant>
        <vt:lpwstr/>
      </vt:variant>
      <vt:variant>
        <vt:i4>4128870</vt:i4>
      </vt:variant>
      <vt:variant>
        <vt:i4>6</vt:i4>
      </vt:variant>
      <vt:variant>
        <vt:i4>0</vt:i4>
      </vt:variant>
      <vt:variant>
        <vt:i4>5</vt:i4>
      </vt:variant>
      <vt:variant>
        <vt:lpwstr>https://www.gov.uk/government/publications/mental-capacity-act-code-of-practice</vt:lpwstr>
      </vt:variant>
      <vt:variant>
        <vt:lpwstr/>
      </vt:variant>
      <vt:variant>
        <vt:i4>6357048</vt:i4>
      </vt:variant>
      <vt:variant>
        <vt:i4>3</vt:i4>
      </vt:variant>
      <vt:variant>
        <vt:i4>0</vt:i4>
      </vt:variant>
      <vt:variant>
        <vt:i4>5</vt:i4>
      </vt:variant>
      <vt:variant>
        <vt:lpwstr>https://www.alzheimers.org.uk/</vt:lpwstr>
      </vt:variant>
      <vt:variant>
        <vt:lpwstr/>
      </vt:variant>
      <vt:variant>
        <vt:i4>4456515</vt:i4>
      </vt:variant>
      <vt:variant>
        <vt:i4>0</vt:i4>
      </vt:variant>
      <vt:variant>
        <vt:i4>0</vt:i4>
      </vt:variant>
      <vt:variant>
        <vt:i4>5</vt:i4>
      </vt:variant>
      <vt:variant>
        <vt:lpwstr>https://doi.org/10.1016/0030-5073(69)90004-X</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Jawaheer Atta (2236701)</dc:creator>
  <cp:keywords/>
  <dc:description/>
  <cp:lastModifiedBy>Jawaheer Atta (2236701)</cp:lastModifiedBy>
  <cp:revision>2</cp:revision>
  <dcterms:created xsi:type="dcterms:W3CDTF">2026-07-21T20:50:00Z</dcterms:created>
  <dcterms:modified xsi:type="dcterms:W3CDTF">2026-07-21T20:50:00Z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0x010100BED00E2095EE4341B6EDA34AD6B58574</vt:lpwstr>
  </property>
</Properties>
</file>