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0B595" w14:textId="0CF408DC" w:rsidR="00BA5BCD" w:rsidRDefault="00000000" w:rsidP="00D043EA">
      <w:pPr>
        <w:jc w:val="center"/>
      </w:pPr>
      <w:r>
        <w:rPr>
          <w:noProof/>
        </w:rPr>
        <w:drawing>
          <wp:inline distT="0" distB="0" distL="0" distR="0" wp14:anchorId="35527739" wp14:editId="37B4A325">
            <wp:extent cx="2148840" cy="8595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png"/>
                    <pic:cNvPicPr/>
                  </pic:nvPicPr>
                  <pic:blipFill>
                    <a:blip r:embed="rId8"/>
                    <a:stretch>
                      <a:fillRect/>
                    </a:stretch>
                  </pic:blipFill>
                  <pic:spPr>
                    <a:xfrm>
                      <a:off x="0" y="0"/>
                      <a:ext cx="2148840" cy="859536"/>
                    </a:xfrm>
                    <a:prstGeom prst="rect">
                      <a:avLst/>
                    </a:prstGeom>
                  </pic:spPr>
                </pic:pic>
              </a:graphicData>
            </a:graphic>
          </wp:inline>
        </w:drawing>
      </w:r>
    </w:p>
    <w:p w14:paraId="3632C90E" w14:textId="77777777" w:rsidR="00BA5BCD" w:rsidRDefault="00000000">
      <w:pPr>
        <w:spacing w:before="480"/>
        <w:jc w:val="center"/>
      </w:pPr>
      <w:r>
        <w:rPr>
          <w:b/>
          <w:color w:val="F06C00"/>
          <w:sz w:val="26"/>
        </w:rPr>
        <w:t>STRATEGIC MANAGEMENT REPORT</w:t>
      </w:r>
    </w:p>
    <w:p w14:paraId="5557F334" w14:textId="77777777" w:rsidR="00BA5BCD" w:rsidRDefault="00000000">
      <w:pPr>
        <w:spacing w:before="200" w:after="160"/>
        <w:jc w:val="center"/>
      </w:pPr>
      <w:r>
        <w:rPr>
          <w:b/>
          <w:color w:val="17324D"/>
          <w:sz w:val="48"/>
        </w:rPr>
        <w:t>J Sainsbury plc's Core UK Grocery Business</w:t>
      </w:r>
    </w:p>
    <w:p w14:paraId="416F1FD8" w14:textId="0DEE0E51" w:rsidR="00BA5BCD" w:rsidRDefault="00000000" w:rsidP="006E3F74">
      <w:pPr>
        <w:jc w:val="center"/>
      </w:pPr>
      <w:r>
        <w:rPr>
          <w:color w:val="66727D"/>
        </w:rPr>
        <w:t>Strategic Position, Competitive Advantage and Implementation</w:t>
      </w:r>
    </w:p>
    <w:tbl>
      <w:tblPr>
        <w:tblW w:w="0" w:type="auto"/>
        <w:jc w:val="center"/>
        <w:tblLayout w:type="fixed"/>
        <w:tblLook w:val="04A0" w:firstRow="1" w:lastRow="0" w:firstColumn="1" w:lastColumn="0" w:noHBand="0" w:noVBand="1"/>
      </w:tblPr>
      <w:tblGrid>
        <w:gridCol w:w="2448"/>
        <w:gridCol w:w="6192"/>
      </w:tblGrid>
      <w:tr w:rsidR="00BA5BCD" w14:paraId="58CA104F" w14:textId="77777777" w:rsidTr="00D043EA">
        <w:trPr>
          <w:jc w:val="center"/>
        </w:trPr>
        <w:tc>
          <w:tcPr>
            <w:tcW w:w="2448" w:type="dxa"/>
            <w:shd w:val="clear" w:color="auto" w:fill="EAF1F7"/>
            <w:tcMar>
              <w:top w:w="110" w:type="dxa"/>
              <w:left w:w="110" w:type="dxa"/>
              <w:bottom w:w="110" w:type="dxa"/>
              <w:right w:w="110" w:type="dxa"/>
            </w:tcMar>
          </w:tcPr>
          <w:p w14:paraId="5F257E74" w14:textId="77777777" w:rsidR="00BA5BCD" w:rsidRDefault="00000000">
            <w:pPr>
              <w:spacing w:after="0" w:line="240" w:lineRule="auto"/>
            </w:pPr>
            <w:r>
              <w:rPr>
                <w:b/>
                <w:color w:val="17324D"/>
                <w:sz w:val="23"/>
              </w:rPr>
              <w:t>Programme</w:t>
            </w:r>
          </w:p>
        </w:tc>
        <w:tc>
          <w:tcPr>
            <w:tcW w:w="6192" w:type="dxa"/>
            <w:shd w:val="clear" w:color="auto" w:fill="FFFFFF"/>
            <w:tcMar>
              <w:top w:w="110" w:type="dxa"/>
              <w:left w:w="110" w:type="dxa"/>
              <w:bottom w:w="110" w:type="dxa"/>
              <w:right w:w="110" w:type="dxa"/>
            </w:tcMar>
          </w:tcPr>
          <w:p w14:paraId="3C7111F1" w14:textId="77777777" w:rsidR="00BA5BCD" w:rsidRDefault="00000000">
            <w:pPr>
              <w:spacing w:after="0" w:line="240" w:lineRule="auto"/>
            </w:pPr>
            <w:r>
              <w:rPr>
                <w:sz w:val="23"/>
              </w:rPr>
              <w:t>Master of Business Administration</w:t>
            </w:r>
          </w:p>
        </w:tc>
      </w:tr>
      <w:tr w:rsidR="00BA5BCD" w14:paraId="39161B36" w14:textId="77777777" w:rsidTr="00D043EA">
        <w:trPr>
          <w:jc w:val="center"/>
        </w:trPr>
        <w:tc>
          <w:tcPr>
            <w:tcW w:w="2448" w:type="dxa"/>
            <w:shd w:val="clear" w:color="auto" w:fill="EAF1F7"/>
            <w:tcMar>
              <w:top w:w="110" w:type="dxa"/>
              <w:left w:w="110" w:type="dxa"/>
              <w:bottom w:w="110" w:type="dxa"/>
              <w:right w:w="110" w:type="dxa"/>
            </w:tcMar>
          </w:tcPr>
          <w:p w14:paraId="5AE084A8" w14:textId="77777777" w:rsidR="00BA5BCD" w:rsidRDefault="00000000">
            <w:pPr>
              <w:spacing w:after="0" w:line="240" w:lineRule="auto"/>
            </w:pPr>
            <w:r>
              <w:rPr>
                <w:b/>
                <w:color w:val="17324D"/>
                <w:sz w:val="23"/>
              </w:rPr>
              <w:t>Module</w:t>
            </w:r>
          </w:p>
        </w:tc>
        <w:tc>
          <w:tcPr>
            <w:tcW w:w="6192" w:type="dxa"/>
            <w:shd w:val="clear" w:color="auto" w:fill="FFFFFF"/>
            <w:tcMar>
              <w:top w:w="110" w:type="dxa"/>
              <w:left w:w="110" w:type="dxa"/>
              <w:bottom w:w="110" w:type="dxa"/>
              <w:right w:w="110" w:type="dxa"/>
            </w:tcMar>
          </w:tcPr>
          <w:p w14:paraId="724E18B0" w14:textId="77777777" w:rsidR="00BA5BCD" w:rsidRDefault="00000000">
            <w:pPr>
              <w:spacing w:after="0" w:line="240" w:lineRule="auto"/>
            </w:pPr>
            <w:r>
              <w:rPr>
                <w:sz w:val="23"/>
              </w:rPr>
              <w:t>Strategic Management</w:t>
            </w:r>
          </w:p>
        </w:tc>
      </w:tr>
      <w:tr w:rsidR="00BA5BCD" w14:paraId="535CAC9E" w14:textId="77777777" w:rsidTr="00D043EA">
        <w:trPr>
          <w:jc w:val="center"/>
        </w:trPr>
        <w:tc>
          <w:tcPr>
            <w:tcW w:w="2448" w:type="dxa"/>
            <w:shd w:val="clear" w:color="auto" w:fill="EAF1F7"/>
            <w:tcMar>
              <w:top w:w="110" w:type="dxa"/>
              <w:left w:w="110" w:type="dxa"/>
              <w:bottom w:w="110" w:type="dxa"/>
              <w:right w:w="110" w:type="dxa"/>
            </w:tcMar>
          </w:tcPr>
          <w:p w14:paraId="201EC973" w14:textId="77777777" w:rsidR="00BA5BCD" w:rsidRDefault="00000000">
            <w:pPr>
              <w:spacing w:after="0" w:line="240" w:lineRule="auto"/>
            </w:pPr>
            <w:r>
              <w:rPr>
                <w:b/>
                <w:color w:val="17324D"/>
                <w:sz w:val="23"/>
              </w:rPr>
              <w:t>Module code</w:t>
            </w:r>
          </w:p>
        </w:tc>
        <w:tc>
          <w:tcPr>
            <w:tcW w:w="6192" w:type="dxa"/>
            <w:shd w:val="clear" w:color="auto" w:fill="FFFFFF"/>
            <w:tcMar>
              <w:top w:w="110" w:type="dxa"/>
              <w:left w:w="110" w:type="dxa"/>
              <w:bottom w:w="110" w:type="dxa"/>
              <w:right w:w="110" w:type="dxa"/>
            </w:tcMar>
          </w:tcPr>
          <w:p w14:paraId="58230AA8" w14:textId="77777777" w:rsidR="00BA5BCD" w:rsidRDefault="00000000">
            <w:pPr>
              <w:spacing w:after="0" w:line="240" w:lineRule="auto"/>
            </w:pPr>
            <w:r>
              <w:rPr>
                <w:sz w:val="23"/>
              </w:rPr>
              <w:t>LCMB7003</w:t>
            </w:r>
          </w:p>
        </w:tc>
      </w:tr>
      <w:tr w:rsidR="00BA5BCD" w14:paraId="239F6A19" w14:textId="77777777" w:rsidTr="00D043EA">
        <w:trPr>
          <w:jc w:val="center"/>
        </w:trPr>
        <w:tc>
          <w:tcPr>
            <w:tcW w:w="2448" w:type="dxa"/>
            <w:shd w:val="clear" w:color="auto" w:fill="EAF1F7"/>
            <w:tcMar>
              <w:top w:w="110" w:type="dxa"/>
              <w:left w:w="110" w:type="dxa"/>
              <w:bottom w:w="110" w:type="dxa"/>
              <w:right w:w="110" w:type="dxa"/>
            </w:tcMar>
          </w:tcPr>
          <w:p w14:paraId="2556FE38" w14:textId="77777777" w:rsidR="00BA5BCD" w:rsidRDefault="00000000">
            <w:pPr>
              <w:spacing w:after="0" w:line="240" w:lineRule="auto"/>
            </w:pPr>
            <w:r>
              <w:rPr>
                <w:b/>
                <w:color w:val="17324D"/>
                <w:sz w:val="23"/>
              </w:rPr>
              <w:t>Lecturer</w:t>
            </w:r>
          </w:p>
        </w:tc>
        <w:tc>
          <w:tcPr>
            <w:tcW w:w="6192" w:type="dxa"/>
            <w:shd w:val="clear" w:color="auto" w:fill="FFFFFF"/>
            <w:tcMar>
              <w:top w:w="110" w:type="dxa"/>
              <w:left w:w="110" w:type="dxa"/>
              <w:bottom w:w="110" w:type="dxa"/>
              <w:right w:w="110" w:type="dxa"/>
            </w:tcMar>
          </w:tcPr>
          <w:p w14:paraId="15637580" w14:textId="1F7E3D18" w:rsidR="00BA5BCD" w:rsidRDefault="00511BCA">
            <w:pPr>
              <w:spacing w:after="0" w:line="240" w:lineRule="auto"/>
            </w:pPr>
            <w:r>
              <w:rPr>
                <w:sz w:val="23"/>
              </w:rPr>
              <w:t xml:space="preserve">Dr Robert </w:t>
            </w:r>
            <w:r w:rsidR="00000000">
              <w:rPr>
                <w:sz w:val="23"/>
              </w:rPr>
              <w:t>Ejike Udeogu</w:t>
            </w:r>
          </w:p>
        </w:tc>
      </w:tr>
      <w:tr w:rsidR="00BA5BCD" w14:paraId="12FD3DC0" w14:textId="77777777" w:rsidTr="00D043EA">
        <w:trPr>
          <w:jc w:val="center"/>
        </w:trPr>
        <w:tc>
          <w:tcPr>
            <w:tcW w:w="2448" w:type="dxa"/>
            <w:shd w:val="clear" w:color="auto" w:fill="EAF1F7"/>
            <w:tcMar>
              <w:top w:w="110" w:type="dxa"/>
              <w:left w:w="110" w:type="dxa"/>
              <w:bottom w:w="110" w:type="dxa"/>
              <w:right w:w="110" w:type="dxa"/>
            </w:tcMar>
          </w:tcPr>
          <w:p w14:paraId="35B5F635" w14:textId="77777777" w:rsidR="00BA5BCD" w:rsidRDefault="00000000">
            <w:pPr>
              <w:spacing w:after="0" w:line="240" w:lineRule="auto"/>
            </w:pPr>
            <w:r>
              <w:rPr>
                <w:b/>
                <w:color w:val="17324D"/>
                <w:sz w:val="23"/>
              </w:rPr>
              <w:t>Student name</w:t>
            </w:r>
          </w:p>
        </w:tc>
        <w:tc>
          <w:tcPr>
            <w:tcW w:w="6192" w:type="dxa"/>
            <w:shd w:val="clear" w:color="auto" w:fill="FFFFFF"/>
            <w:tcMar>
              <w:top w:w="110" w:type="dxa"/>
              <w:left w:w="110" w:type="dxa"/>
              <w:bottom w:w="110" w:type="dxa"/>
              <w:right w:w="110" w:type="dxa"/>
            </w:tcMar>
          </w:tcPr>
          <w:p w14:paraId="20B320C7" w14:textId="016D0A69" w:rsidR="00BA5BCD" w:rsidRDefault="003C2145">
            <w:pPr>
              <w:spacing w:after="0" w:line="240" w:lineRule="auto"/>
            </w:pPr>
            <w:r>
              <w:rPr>
                <w:sz w:val="23"/>
              </w:rPr>
              <w:t>Joy Deb</w:t>
            </w:r>
          </w:p>
        </w:tc>
      </w:tr>
      <w:tr w:rsidR="00BA5BCD" w14:paraId="77642154" w14:textId="77777777" w:rsidTr="00D043EA">
        <w:trPr>
          <w:jc w:val="center"/>
        </w:trPr>
        <w:tc>
          <w:tcPr>
            <w:tcW w:w="2448" w:type="dxa"/>
            <w:shd w:val="clear" w:color="auto" w:fill="EAF1F7"/>
            <w:tcMar>
              <w:top w:w="110" w:type="dxa"/>
              <w:left w:w="110" w:type="dxa"/>
              <w:bottom w:w="110" w:type="dxa"/>
              <w:right w:w="110" w:type="dxa"/>
            </w:tcMar>
          </w:tcPr>
          <w:p w14:paraId="18369EDB" w14:textId="77777777" w:rsidR="00BA5BCD" w:rsidRDefault="00000000">
            <w:pPr>
              <w:spacing w:after="0" w:line="240" w:lineRule="auto"/>
            </w:pPr>
            <w:r>
              <w:rPr>
                <w:b/>
                <w:color w:val="17324D"/>
                <w:sz w:val="23"/>
              </w:rPr>
              <w:t>Student ID</w:t>
            </w:r>
          </w:p>
        </w:tc>
        <w:tc>
          <w:tcPr>
            <w:tcW w:w="6192" w:type="dxa"/>
            <w:shd w:val="clear" w:color="auto" w:fill="FFFFFF"/>
            <w:tcMar>
              <w:top w:w="110" w:type="dxa"/>
              <w:left w:w="110" w:type="dxa"/>
              <w:bottom w:w="110" w:type="dxa"/>
              <w:right w:w="110" w:type="dxa"/>
            </w:tcMar>
          </w:tcPr>
          <w:p w14:paraId="02790291" w14:textId="2DA80D6C" w:rsidR="00BA5BCD" w:rsidRDefault="003C2145">
            <w:pPr>
              <w:spacing w:after="0" w:line="240" w:lineRule="auto"/>
            </w:pPr>
            <w:r>
              <w:rPr>
                <w:sz w:val="23"/>
              </w:rPr>
              <w:t>2505865</w:t>
            </w:r>
          </w:p>
        </w:tc>
      </w:tr>
      <w:tr w:rsidR="00BA5BCD" w14:paraId="2DF77235" w14:textId="77777777" w:rsidTr="00D043EA">
        <w:trPr>
          <w:jc w:val="center"/>
        </w:trPr>
        <w:tc>
          <w:tcPr>
            <w:tcW w:w="2448" w:type="dxa"/>
            <w:shd w:val="clear" w:color="auto" w:fill="EAF1F7"/>
            <w:tcMar>
              <w:top w:w="110" w:type="dxa"/>
              <w:left w:w="110" w:type="dxa"/>
              <w:bottom w:w="110" w:type="dxa"/>
              <w:right w:w="110" w:type="dxa"/>
            </w:tcMar>
          </w:tcPr>
          <w:p w14:paraId="575F9D9C" w14:textId="28DE3F4E" w:rsidR="00BA5BCD" w:rsidRDefault="00BA5BCD">
            <w:pPr>
              <w:spacing w:after="0" w:line="240" w:lineRule="auto"/>
            </w:pPr>
          </w:p>
        </w:tc>
        <w:tc>
          <w:tcPr>
            <w:tcW w:w="6192" w:type="dxa"/>
            <w:shd w:val="clear" w:color="auto" w:fill="FFFFFF"/>
            <w:tcMar>
              <w:top w:w="110" w:type="dxa"/>
              <w:left w:w="110" w:type="dxa"/>
              <w:bottom w:w="110" w:type="dxa"/>
              <w:right w:w="110" w:type="dxa"/>
            </w:tcMar>
          </w:tcPr>
          <w:p w14:paraId="0A2E5173" w14:textId="4DF847E4" w:rsidR="00BA5BCD" w:rsidRDefault="00BA5BCD">
            <w:pPr>
              <w:spacing w:after="0" w:line="240" w:lineRule="auto"/>
            </w:pPr>
          </w:p>
        </w:tc>
      </w:tr>
      <w:tr w:rsidR="00BA5BCD" w14:paraId="57FF9C47" w14:textId="77777777" w:rsidTr="00D043EA">
        <w:trPr>
          <w:jc w:val="center"/>
        </w:trPr>
        <w:tc>
          <w:tcPr>
            <w:tcW w:w="2448" w:type="dxa"/>
            <w:shd w:val="clear" w:color="auto" w:fill="EAF1F7"/>
            <w:tcMar>
              <w:top w:w="110" w:type="dxa"/>
              <w:left w:w="110" w:type="dxa"/>
              <w:bottom w:w="110" w:type="dxa"/>
              <w:right w:w="110" w:type="dxa"/>
            </w:tcMar>
          </w:tcPr>
          <w:p w14:paraId="08E53565" w14:textId="77777777" w:rsidR="00BA5BCD" w:rsidRDefault="00000000">
            <w:pPr>
              <w:spacing w:after="0" w:line="240" w:lineRule="auto"/>
            </w:pPr>
            <w:r>
              <w:rPr>
                <w:b/>
                <w:color w:val="17324D"/>
                <w:sz w:val="23"/>
              </w:rPr>
              <w:t>Submission date</w:t>
            </w:r>
          </w:p>
        </w:tc>
        <w:tc>
          <w:tcPr>
            <w:tcW w:w="6192" w:type="dxa"/>
            <w:shd w:val="clear" w:color="auto" w:fill="FFFFFF"/>
            <w:tcMar>
              <w:top w:w="110" w:type="dxa"/>
              <w:left w:w="110" w:type="dxa"/>
              <w:bottom w:w="110" w:type="dxa"/>
              <w:right w:w="110" w:type="dxa"/>
            </w:tcMar>
          </w:tcPr>
          <w:p w14:paraId="5C3E2ADF" w14:textId="456F62EF" w:rsidR="00BA5BCD" w:rsidRDefault="00511BCA">
            <w:pPr>
              <w:spacing w:after="0" w:line="240" w:lineRule="auto"/>
            </w:pPr>
            <w:r>
              <w:t>16.07.2026</w:t>
            </w:r>
          </w:p>
        </w:tc>
      </w:tr>
    </w:tbl>
    <w:p w14:paraId="041B45E2" w14:textId="77777777" w:rsidR="00BA5BCD" w:rsidRDefault="00BA5BCD"/>
    <w:p w14:paraId="3C74C7DA" w14:textId="77777777" w:rsidR="00BA5BCD" w:rsidRDefault="00000000">
      <w:r>
        <w:br w:type="page"/>
      </w:r>
    </w:p>
    <w:p w14:paraId="6723B834" w14:textId="77777777" w:rsidR="00BA5BCD" w:rsidRDefault="00000000">
      <w:pPr>
        <w:pStyle w:val="Title"/>
        <w:jc w:val="left"/>
      </w:pPr>
      <w:r>
        <w:lastRenderedPageBreak/>
        <w:t>Table of Contents</w:t>
      </w:r>
    </w:p>
    <w:p w14:paraId="2D311F4E" w14:textId="162F9D7F" w:rsidR="00DA0C25" w:rsidRDefault="00000000">
      <w:pPr>
        <w:pStyle w:val="TOC1"/>
        <w:tabs>
          <w:tab w:val="right" w:leader="dot" w:pos="9016"/>
        </w:tabs>
        <w:rPr>
          <w:rFonts w:asciiTheme="minorHAnsi" w:hAnsiTheme="minorHAnsi"/>
          <w:noProof/>
          <w:kern w:val="2"/>
          <w:szCs w:val="24"/>
          <w14:ligatures w14:val="standardContextual"/>
        </w:rPr>
      </w:pPr>
      <w:r>
        <w:fldChar w:fldCharType="begin"/>
      </w:r>
      <w:r>
        <w:instrText>TOC \o "1-3" \h \z \u</w:instrText>
      </w:r>
      <w:r>
        <w:fldChar w:fldCharType="separate"/>
      </w:r>
      <w:hyperlink w:anchor="_Toc234631326" w:history="1">
        <w:r w:rsidR="00DA0C25" w:rsidRPr="00A0619B">
          <w:rPr>
            <w:rStyle w:val="Hyperlink"/>
            <w:noProof/>
          </w:rPr>
          <w:t>Executive Summary</w:t>
        </w:r>
        <w:r w:rsidR="00DA0C25">
          <w:rPr>
            <w:noProof/>
            <w:webHidden/>
          </w:rPr>
          <w:tab/>
        </w:r>
        <w:r w:rsidR="00DA0C25">
          <w:rPr>
            <w:noProof/>
            <w:webHidden/>
          </w:rPr>
          <w:fldChar w:fldCharType="begin"/>
        </w:r>
        <w:r w:rsidR="00DA0C25">
          <w:rPr>
            <w:noProof/>
            <w:webHidden/>
          </w:rPr>
          <w:instrText xml:space="preserve"> PAGEREF _Toc234631326 \h </w:instrText>
        </w:r>
        <w:r w:rsidR="00DA0C25">
          <w:rPr>
            <w:noProof/>
            <w:webHidden/>
          </w:rPr>
        </w:r>
        <w:r w:rsidR="00DA0C25">
          <w:rPr>
            <w:noProof/>
            <w:webHidden/>
          </w:rPr>
          <w:fldChar w:fldCharType="separate"/>
        </w:r>
        <w:r w:rsidR="00DA0C25">
          <w:rPr>
            <w:noProof/>
            <w:webHidden/>
          </w:rPr>
          <w:t>3</w:t>
        </w:r>
        <w:r w:rsidR="00DA0C25">
          <w:rPr>
            <w:noProof/>
            <w:webHidden/>
          </w:rPr>
          <w:fldChar w:fldCharType="end"/>
        </w:r>
      </w:hyperlink>
    </w:p>
    <w:p w14:paraId="508AAFA7" w14:textId="61D51FE7" w:rsidR="00DA0C25" w:rsidRDefault="00DA0C25">
      <w:pPr>
        <w:pStyle w:val="TOC1"/>
        <w:tabs>
          <w:tab w:val="right" w:leader="dot" w:pos="9016"/>
        </w:tabs>
        <w:rPr>
          <w:rFonts w:asciiTheme="minorHAnsi" w:hAnsiTheme="minorHAnsi"/>
          <w:noProof/>
          <w:kern w:val="2"/>
          <w:szCs w:val="24"/>
          <w14:ligatures w14:val="standardContextual"/>
        </w:rPr>
      </w:pPr>
      <w:hyperlink w:anchor="_Toc234631327" w:history="1">
        <w:r w:rsidRPr="00A0619B">
          <w:rPr>
            <w:rStyle w:val="Hyperlink"/>
            <w:noProof/>
          </w:rPr>
          <w:t>1. Organisational Context and Overview</w:t>
        </w:r>
        <w:r>
          <w:rPr>
            <w:noProof/>
            <w:webHidden/>
          </w:rPr>
          <w:tab/>
        </w:r>
        <w:r>
          <w:rPr>
            <w:noProof/>
            <w:webHidden/>
          </w:rPr>
          <w:fldChar w:fldCharType="begin"/>
        </w:r>
        <w:r>
          <w:rPr>
            <w:noProof/>
            <w:webHidden/>
          </w:rPr>
          <w:instrText xml:space="preserve"> PAGEREF _Toc234631327 \h </w:instrText>
        </w:r>
        <w:r>
          <w:rPr>
            <w:noProof/>
            <w:webHidden/>
          </w:rPr>
        </w:r>
        <w:r>
          <w:rPr>
            <w:noProof/>
            <w:webHidden/>
          </w:rPr>
          <w:fldChar w:fldCharType="separate"/>
        </w:r>
        <w:r>
          <w:rPr>
            <w:noProof/>
            <w:webHidden/>
          </w:rPr>
          <w:t>3</w:t>
        </w:r>
        <w:r>
          <w:rPr>
            <w:noProof/>
            <w:webHidden/>
          </w:rPr>
          <w:fldChar w:fldCharType="end"/>
        </w:r>
      </w:hyperlink>
    </w:p>
    <w:p w14:paraId="73817BF9" w14:textId="5252BEBD" w:rsidR="00DA0C25" w:rsidRDefault="00DA0C25">
      <w:pPr>
        <w:pStyle w:val="TOC1"/>
        <w:tabs>
          <w:tab w:val="right" w:leader="dot" w:pos="9016"/>
        </w:tabs>
        <w:rPr>
          <w:rFonts w:asciiTheme="minorHAnsi" w:hAnsiTheme="minorHAnsi"/>
          <w:noProof/>
          <w:kern w:val="2"/>
          <w:szCs w:val="24"/>
          <w14:ligatures w14:val="standardContextual"/>
        </w:rPr>
      </w:pPr>
      <w:hyperlink w:anchor="_Toc234631328" w:history="1">
        <w:r w:rsidRPr="00A0619B">
          <w:rPr>
            <w:rStyle w:val="Hyperlink"/>
            <w:noProof/>
          </w:rPr>
          <w:t>2. External and Internal Analysis</w:t>
        </w:r>
        <w:r>
          <w:rPr>
            <w:noProof/>
            <w:webHidden/>
          </w:rPr>
          <w:tab/>
        </w:r>
        <w:r>
          <w:rPr>
            <w:noProof/>
            <w:webHidden/>
          </w:rPr>
          <w:fldChar w:fldCharType="begin"/>
        </w:r>
        <w:r>
          <w:rPr>
            <w:noProof/>
            <w:webHidden/>
          </w:rPr>
          <w:instrText xml:space="preserve"> PAGEREF _Toc234631328 \h </w:instrText>
        </w:r>
        <w:r>
          <w:rPr>
            <w:noProof/>
            <w:webHidden/>
          </w:rPr>
        </w:r>
        <w:r>
          <w:rPr>
            <w:noProof/>
            <w:webHidden/>
          </w:rPr>
          <w:fldChar w:fldCharType="separate"/>
        </w:r>
        <w:r>
          <w:rPr>
            <w:noProof/>
            <w:webHidden/>
          </w:rPr>
          <w:t>5</w:t>
        </w:r>
        <w:r>
          <w:rPr>
            <w:noProof/>
            <w:webHidden/>
          </w:rPr>
          <w:fldChar w:fldCharType="end"/>
        </w:r>
      </w:hyperlink>
    </w:p>
    <w:p w14:paraId="497DE549" w14:textId="13FC2618" w:rsidR="00DA0C25" w:rsidRDefault="00DA0C25">
      <w:pPr>
        <w:pStyle w:val="TOC2"/>
        <w:tabs>
          <w:tab w:val="right" w:leader="dot" w:pos="9016"/>
        </w:tabs>
        <w:rPr>
          <w:rFonts w:asciiTheme="minorHAnsi" w:hAnsiTheme="minorHAnsi"/>
          <w:noProof/>
          <w:kern w:val="2"/>
          <w:szCs w:val="24"/>
          <w14:ligatures w14:val="standardContextual"/>
        </w:rPr>
      </w:pPr>
      <w:hyperlink w:anchor="_Toc234631329" w:history="1">
        <w:r w:rsidRPr="00A0619B">
          <w:rPr>
            <w:rStyle w:val="Hyperlink"/>
            <w:noProof/>
          </w:rPr>
          <w:t>2.1 PESTEL Analysis</w:t>
        </w:r>
        <w:r>
          <w:rPr>
            <w:noProof/>
            <w:webHidden/>
          </w:rPr>
          <w:tab/>
        </w:r>
        <w:r>
          <w:rPr>
            <w:noProof/>
            <w:webHidden/>
          </w:rPr>
          <w:fldChar w:fldCharType="begin"/>
        </w:r>
        <w:r>
          <w:rPr>
            <w:noProof/>
            <w:webHidden/>
          </w:rPr>
          <w:instrText xml:space="preserve"> PAGEREF _Toc234631329 \h </w:instrText>
        </w:r>
        <w:r>
          <w:rPr>
            <w:noProof/>
            <w:webHidden/>
          </w:rPr>
        </w:r>
        <w:r>
          <w:rPr>
            <w:noProof/>
            <w:webHidden/>
          </w:rPr>
          <w:fldChar w:fldCharType="separate"/>
        </w:r>
        <w:r>
          <w:rPr>
            <w:noProof/>
            <w:webHidden/>
          </w:rPr>
          <w:t>5</w:t>
        </w:r>
        <w:r>
          <w:rPr>
            <w:noProof/>
            <w:webHidden/>
          </w:rPr>
          <w:fldChar w:fldCharType="end"/>
        </w:r>
      </w:hyperlink>
    </w:p>
    <w:p w14:paraId="7DD1F5A9" w14:textId="0E69A0AD" w:rsidR="00DA0C25" w:rsidRDefault="00DA0C25">
      <w:pPr>
        <w:pStyle w:val="TOC2"/>
        <w:tabs>
          <w:tab w:val="right" w:leader="dot" w:pos="9016"/>
        </w:tabs>
        <w:rPr>
          <w:rFonts w:asciiTheme="minorHAnsi" w:hAnsiTheme="minorHAnsi"/>
          <w:noProof/>
          <w:kern w:val="2"/>
          <w:szCs w:val="24"/>
          <w14:ligatures w14:val="standardContextual"/>
        </w:rPr>
      </w:pPr>
      <w:hyperlink w:anchor="_Toc234631330" w:history="1">
        <w:r w:rsidRPr="00A0619B">
          <w:rPr>
            <w:rStyle w:val="Hyperlink"/>
            <w:noProof/>
          </w:rPr>
          <w:t>2.2 Industry Analysis: Porter’s Five Forces</w:t>
        </w:r>
        <w:r>
          <w:rPr>
            <w:noProof/>
            <w:webHidden/>
          </w:rPr>
          <w:tab/>
        </w:r>
        <w:r>
          <w:rPr>
            <w:noProof/>
            <w:webHidden/>
          </w:rPr>
          <w:fldChar w:fldCharType="begin"/>
        </w:r>
        <w:r>
          <w:rPr>
            <w:noProof/>
            <w:webHidden/>
          </w:rPr>
          <w:instrText xml:space="preserve"> PAGEREF _Toc234631330 \h </w:instrText>
        </w:r>
        <w:r>
          <w:rPr>
            <w:noProof/>
            <w:webHidden/>
          </w:rPr>
        </w:r>
        <w:r>
          <w:rPr>
            <w:noProof/>
            <w:webHidden/>
          </w:rPr>
          <w:fldChar w:fldCharType="separate"/>
        </w:r>
        <w:r>
          <w:rPr>
            <w:noProof/>
            <w:webHidden/>
          </w:rPr>
          <w:t>7</w:t>
        </w:r>
        <w:r>
          <w:rPr>
            <w:noProof/>
            <w:webHidden/>
          </w:rPr>
          <w:fldChar w:fldCharType="end"/>
        </w:r>
      </w:hyperlink>
    </w:p>
    <w:p w14:paraId="7ACA53EB" w14:textId="600FA066" w:rsidR="00DA0C25" w:rsidRDefault="00DA0C25">
      <w:pPr>
        <w:pStyle w:val="TOC2"/>
        <w:tabs>
          <w:tab w:val="right" w:leader="dot" w:pos="9016"/>
        </w:tabs>
        <w:rPr>
          <w:rFonts w:asciiTheme="minorHAnsi" w:hAnsiTheme="minorHAnsi"/>
          <w:noProof/>
          <w:kern w:val="2"/>
          <w:szCs w:val="24"/>
          <w14:ligatures w14:val="standardContextual"/>
        </w:rPr>
      </w:pPr>
      <w:hyperlink w:anchor="_Toc234631331" w:history="1">
        <w:r w:rsidRPr="00A0619B">
          <w:rPr>
            <w:rStyle w:val="Hyperlink"/>
            <w:noProof/>
          </w:rPr>
          <w:t>2.3 Internal Analysis: VRIO</w:t>
        </w:r>
        <w:r>
          <w:rPr>
            <w:noProof/>
            <w:webHidden/>
          </w:rPr>
          <w:tab/>
        </w:r>
        <w:r>
          <w:rPr>
            <w:noProof/>
            <w:webHidden/>
          </w:rPr>
          <w:fldChar w:fldCharType="begin"/>
        </w:r>
        <w:r>
          <w:rPr>
            <w:noProof/>
            <w:webHidden/>
          </w:rPr>
          <w:instrText xml:space="preserve"> PAGEREF _Toc234631331 \h </w:instrText>
        </w:r>
        <w:r>
          <w:rPr>
            <w:noProof/>
            <w:webHidden/>
          </w:rPr>
        </w:r>
        <w:r>
          <w:rPr>
            <w:noProof/>
            <w:webHidden/>
          </w:rPr>
          <w:fldChar w:fldCharType="separate"/>
        </w:r>
        <w:r>
          <w:rPr>
            <w:noProof/>
            <w:webHidden/>
          </w:rPr>
          <w:t>9</w:t>
        </w:r>
        <w:r>
          <w:rPr>
            <w:noProof/>
            <w:webHidden/>
          </w:rPr>
          <w:fldChar w:fldCharType="end"/>
        </w:r>
      </w:hyperlink>
    </w:p>
    <w:p w14:paraId="3F026491" w14:textId="7B7B4773" w:rsidR="00DA0C25" w:rsidRDefault="00DA0C25">
      <w:pPr>
        <w:pStyle w:val="TOC2"/>
        <w:tabs>
          <w:tab w:val="right" w:leader="dot" w:pos="9016"/>
        </w:tabs>
        <w:rPr>
          <w:rFonts w:asciiTheme="minorHAnsi" w:hAnsiTheme="minorHAnsi"/>
          <w:noProof/>
          <w:kern w:val="2"/>
          <w:szCs w:val="24"/>
          <w14:ligatures w14:val="standardContextual"/>
        </w:rPr>
      </w:pPr>
      <w:hyperlink w:anchor="_Toc234631332" w:history="1">
        <w:r w:rsidRPr="00A0619B">
          <w:rPr>
            <w:rStyle w:val="Hyperlink"/>
            <w:noProof/>
          </w:rPr>
          <w:t>2.4 SWOT Synthesis</w:t>
        </w:r>
        <w:r>
          <w:rPr>
            <w:noProof/>
            <w:webHidden/>
          </w:rPr>
          <w:tab/>
        </w:r>
        <w:r>
          <w:rPr>
            <w:noProof/>
            <w:webHidden/>
          </w:rPr>
          <w:fldChar w:fldCharType="begin"/>
        </w:r>
        <w:r>
          <w:rPr>
            <w:noProof/>
            <w:webHidden/>
          </w:rPr>
          <w:instrText xml:space="preserve"> PAGEREF _Toc234631332 \h </w:instrText>
        </w:r>
        <w:r>
          <w:rPr>
            <w:noProof/>
            <w:webHidden/>
          </w:rPr>
        </w:r>
        <w:r>
          <w:rPr>
            <w:noProof/>
            <w:webHidden/>
          </w:rPr>
          <w:fldChar w:fldCharType="separate"/>
        </w:r>
        <w:r>
          <w:rPr>
            <w:noProof/>
            <w:webHidden/>
          </w:rPr>
          <w:t>10</w:t>
        </w:r>
        <w:r>
          <w:rPr>
            <w:noProof/>
            <w:webHidden/>
          </w:rPr>
          <w:fldChar w:fldCharType="end"/>
        </w:r>
      </w:hyperlink>
    </w:p>
    <w:p w14:paraId="59D8F4CD" w14:textId="5FFAD5F7" w:rsidR="00DA0C25" w:rsidRDefault="00DA0C25">
      <w:pPr>
        <w:pStyle w:val="TOC2"/>
        <w:tabs>
          <w:tab w:val="right" w:leader="dot" w:pos="9016"/>
        </w:tabs>
        <w:rPr>
          <w:rFonts w:asciiTheme="minorHAnsi" w:hAnsiTheme="minorHAnsi"/>
          <w:noProof/>
          <w:kern w:val="2"/>
          <w:szCs w:val="24"/>
          <w14:ligatures w14:val="standardContextual"/>
        </w:rPr>
      </w:pPr>
      <w:hyperlink w:anchor="_Toc234631333" w:history="1">
        <w:r w:rsidRPr="00A0619B">
          <w:rPr>
            <w:rStyle w:val="Hyperlink"/>
            <w:noProof/>
          </w:rPr>
          <w:t>2.5 Suitability of the Existing Strategy</w:t>
        </w:r>
        <w:r>
          <w:rPr>
            <w:noProof/>
            <w:webHidden/>
          </w:rPr>
          <w:tab/>
        </w:r>
        <w:r>
          <w:rPr>
            <w:noProof/>
            <w:webHidden/>
          </w:rPr>
          <w:fldChar w:fldCharType="begin"/>
        </w:r>
        <w:r>
          <w:rPr>
            <w:noProof/>
            <w:webHidden/>
          </w:rPr>
          <w:instrText xml:space="preserve"> PAGEREF _Toc234631333 \h </w:instrText>
        </w:r>
        <w:r>
          <w:rPr>
            <w:noProof/>
            <w:webHidden/>
          </w:rPr>
        </w:r>
        <w:r>
          <w:rPr>
            <w:noProof/>
            <w:webHidden/>
          </w:rPr>
          <w:fldChar w:fldCharType="separate"/>
        </w:r>
        <w:r>
          <w:rPr>
            <w:noProof/>
            <w:webHidden/>
          </w:rPr>
          <w:t>12</w:t>
        </w:r>
        <w:r>
          <w:rPr>
            <w:noProof/>
            <w:webHidden/>
          </w:rPr>
          <w:fldChar w:fldCharType="end"/>
        </w:r>
      </w:hyperlink>
    </w:p>
    <w:p w14:paraId="73344C6A" w14:textId="59BBD326" w:rsidR="00DA0C25" w:rsidRDefault="00DA0C25">
      <w:pPr>
        <w:pStyle w:val="TOC1"/>
        <w:tabs>
          <w:tab w:val="right" w:leader="dot" w:pos="9016"/>
        </w:tabs>
        <w:rPr>
          <w:rFonts w:asciiTheme="minorHAnsi" w:hAnsiTheme="minorHAnsi"/>
          <w:noProof/>
          <w:kern w:val="2"/>
          <w:szCs w:val="24"/>
          <w14:ligatures w14:val="standardContextual"/>
        </w:rPr>
      </w:pPr>
      <w:hyperlink w:anchor="_Toc234631334" w:history="1">
        <w:r w:rsidRPr="00A0619B">
          <w:rPr>
            <w:rStyle w:val="Hyperlink"/>
            <w:noProof/>
          </w:rPr>
          <w:t>3. Comprehensive and Holistic View</w:t>
        </w:r>
        <w:r>
          <w:rPr>
            <w:noProof/>
            <w:webHidden/>
          </w:rPr>
          <w:tab/>
        </w:r>
        <w:r>
          <w:rPr>
            <w:noProof/>
            <w:webHidden/>
          </w:rPr>
          <w:fldChar w:fldCharType="begin"/>
        </w:r>
        <w:r>
          <w:rPr>
            <w:noProof/>
            <w:webHidden/>
          </w:rPr>
          <w:instrText xml:space="preserve"> PAGEREF _Toc234631334 \h </w:instrText>
        </w:r>
        <w:r>
          <w:rPr>
            <w:noProof/>
            <w:webHidden/>
          </w:rPr>
        </w:r>
        <w:r>
          <w:rPr>
            <w:noProof/>
            <w:webHidden/>
          </w:rPr>
          <w:fldChar w:fldCharType="separate"/>
        </w:r>
        <w:r>
          <w:rPr>
            <w:noProof/>
            <w:webHidden/>
          </w:rPr>
          <w:t>13</w:t>
        </w:r>
        <w:r>
          <w:rPr>
            <w:noProof/>
            <w:webHidden/>
          </w:rPr>
          <w:fldChar w:fldCharType="end"/>
        </w:r>
      </w:hyperlink>
    </w:p>
    <w:p w14:paraId="38646696" w14:textId="3FE2FD2C" w:rsidR="00DA0C25" w:rsidRDefault="00DA0C25">
      <w:pPr>
        <w:pStyle w:val="TOC2"/>
        <w:tabs>
          <w:tab w:val="right" w:leader="dot" w:pos="9016"/>
        </w:tabs>
        <w:rPr>
          <w:rFonts w:asciiTheme="minorHAnsi" w:hAnsiTheme="minorHAnsi"/>
          <w:noProof/>
          <w:kern w:val="2"/>
          <w:szCs w:val="24"/>
          <w14:ligatures w14:val="standardContextual"/>
        </w:rPr>
      </w:pPr>
      <w:hyperlink w:anchor="_Toc234631335" w:history="1">
        <w:r w:rsidRPr="00A0619B">
          <w:rPr>
            <w:rStyle w:val="Hyperlink"/>
            <w:noProof/>
          </w:rPr>
          <w:t>3.1 Corporate Social Responsibility</w:t>
        </w:r>
        <w:r>
          <w:rPr>
            <w:noProof/>
            <w:webHidden/>
          </w:rPr>
          <w:tab/>
        </w:r>
        <w:r>
          <w:rPr>
            <w:noProof/>
            <w:webHidden/>
          </w:rPr>
          <w:fldChar w:fldCharType="begin"/>
        </w:r>
        <w:r>
          <w:rPr>
            <w:noProof/>
            <w:webHidden/>
          </w:rPr>
          <w:instrText xml:space="preserve"> PAGEREF _Toc234631335 \h </w:instrText>
        </w:r>
        <w:r>
          <w:rPr>
            <w:noProof/>
            <w:webHidden/>
          </w:rPr>
        </w:r>
        <w:r>
          <w:rPr>
            <w:noProof/>
            <w:webHidden/>
          </w:rPr>
          <w:fldChar w:fldCharType="separate"/>
        </w:r>
        <w:r>
          <w:rPr>
            <w:noProof/>
            <w:webHidden/>
          </w:rPr>
          <w:t>13</w:t>
        </w:r>
        <w:r>
          <w:rPr>
            <w:noProof/>
            <w:webHidden/>
          </w:rPr>
          <w:fldChar w:fldCharType="end"/>
        </w:r>
      </w:hyperlink>
    </w:p>
    <w:p w14:paraId="7EC04781" w14:textId="53355725" w:rsidR="00DA0C25" w:rsidRDefault="00DA0C25">
      <w:pPr>
        <w:pStyle w:val="TOC2"/>
        <w:tabs>
          <w:tab w:val="right" w:leader="dot" w:pos="9016"/>
        </w:tabs>
        <w:rPr>
          <w:rFonts w:asciiTheme="minorHAnsi" w:hAnsiTheme="minorHAnsi"/>
          <w:noProof/>
          <w:kern w:val="2"/>
          <w:szCs w:val="24"/>
          <w14:ligatures w14:val="standardContextual"/>
        </w:rPr>
      </w:pPr>
      <w:hyperlink w:anchor="_Toc234631336" w:history="1">
        <w:r w:rsidRPr="00A0619B">
          <w:rPr>
            <w:rStyle w:val="Hyperlink"/>
            <w:noProof/>
          </w:rPr>
          <w:t>3.2 Balanced Scorecard</w:t>
        </w:r>
        <w:r>
          <w:rPr>
            <w:noProof/>
            <w:webHidden/>
          </w:rPr>
          <w:tab/>
        </w:r>
        <w:r>
          <w:rPr>
            <w:noProof/>
            <w:webHidden/>
          </w:rPr>
          <w:fldChar w:fldCharType="begin"/>
        </w:r>
        <w:r>
          <w:rPr>
            <w:noProof/>
            <w:webHidden/>
          </w:rPr>
          <w:instrText xml:space="preserve"> PAGEREF _Toc234631336 \h </w:instrText>
        </w:r>
        <w:r>
          <w:rPr>
            <w:noProof/>
            <w:webHidden/>
          </w:rPr>
        </w:r>
        <w:r>
          <w:rPr>
            <w:noProof/>
            <w:webHidden/>
          </w:rPr>
          <w:fldChar w:fldCharType="separate"/>
        </w:r>
        <w:r>
          <w:rPr>
            <w:noProof/>
            <w:webHidden/>
          </w:rPr>
          <w:t>14</w:t>
        </w:r>
        <w:r>
          <w:rPr>
            <w:noProof/>
            <w:webHidden/>
          </w:rPr>
          <w:fldChar w:fldCharType="end"/>
        </w:r>
      </w:hyperlink>
    </w:p>
    <w:p w14:paraId="318416DA" w14:textId="4C818014" w:rsidR="00DA0C25" w:rsidRDefault="00DA0C25">
      <w:pPr>
        <w:pStyle w:val="TOC1"/>
        <w:tabs>
          <w:tab w:val="right" w:leader="dot" w:pos="9016"/>
        </w:tabs>
        <w:rPr>
          <w:rFonts w:asciiTheme="minorHAnsi" w:hAnsiTheme="minorHAnsi"/>
          <w:noProof/>
          <w:kern w:val="2"/>
          <w:szCs w:val="24"/>
          <w14:ligatures w14:val="standardContextual"/>
        </w:rPr>
      </w:pPr>
      <w:hyperlink w:anchor="_Toc234631337" w:history="1">
        <w:r w:rsidRPr="00A0619B">
          <w:rPr>
            <w:rStyle w:val="Hyperlink"/>
            <w:noProof/>
          </w:rPr>
          <w:t>4. Strategic Choices and Implementation</w:t>
        </w:r>
        <w:r>
          <w:rPr>
            <w:noProof/>
            <w:webHidden/>
          </w:rPr>
          <w:tab/>
        </w:r>
        <w:r>
          <w:rPr>
            <w:noProof/>
            <w:webHidden/>
          </w:rPr>
          <w:fldChar w:fldCharType="begin"/>
        </w:r>
        <w:r>
          <w:rPr>
            <w:noProof/>
            <w:webHidden/>
          </w:rPr>
          <w:instrText xml:space="preserve"> PAGEREF _Toc234631337 \h </w:instrText>
        </w:r>
        <w:r>
          <w:rPr>
            <w:noProof/>
            <w:webHidden/>
          </w:rPr>
        </w:r>
        <w:r>
          <w:rPr>
            <w:noProof/>
            <w:webHidden/>
          </w:rPr>
          <w:fldChar w:fldCharType="separate"/>
        </w:r>
        <w:r>
          <w:rPr>
            <w:noProof/>
            <w:webHidden/>
          </w:rPr>
          <w:t>16</w:t>
        </w:r>
        <w:r>
          <w:rPr>
            <w:noProof/>
            <w:webHidden/>
          </w:rPr>
          <w:fldChar w:fldCharType="end"/>
        </w:r>
      </w:hyperlink>
    </w:p>
    <w:p w14:paraId="336D6DC1" w14:textId="7838E6D7" w:rsidR="00DA0C25" w:rsidRDefault="00DA0C25">
      <w:pPr>
        <w:pStyle w:val="TOC2"/>
        <w:tabs>
          <w:tab w:val="right" w:leader="dot" w:pos="9016"/>
        </w:tabs>
        <w:rPr>
          <w:rFonts w:asciiTheme="minorHAnsi" w:hAnsiTheme="minorHAnsi"/>
          <w:noProof/>
          <w:kern w:val="2"/>
          <w:szCs w:val="24"/>
          <w14:ligatures w14:val="standardContextual"/>
        </w:rPr>
      </w:pPr>
      <w:hyperlink w:anchor="_Toc234631338" w:history="1">
        <w:r w:rsidRPr="00A0619B">
          <w:rPr>
            <w:rStyle w:val="Hyperlink"/>
            <w:noProof/>
          </w:rPr>
          <w:t>4.1 Strategic Options</w:t>
        </w:r>
        <w:r>
          <w:rPr>
            <w:noProof/>
            <w:webHidden/>
          </w:rPr>
          <w:tab/>
        </w:r>
        <w:r>
          <w:rPr>
            <w:noProof/>
            <w:webHidden/>
          </w:rPr>
          <w:fldChar w:fldCharType="begin"/>
        </w:r>
        <w:r>
          <w:rPr>
            <w:noProof/>
            <w:webHidden/>
          </w:rPr>
          <w:instrText xml:space="preserve"> PAGEREF _Toc234631338 \h </w:instrText>
        </w:r>
        <w:r>
          <w:rPr>
            <w:noProof/>
            <w:webHidden/>
          </w:rPr>
        </w:r>
        <w:r>
          <w:rPr>
            <w:noProof/>
            <w:webHidden/>
          </w:rPr>
          <w:fldChar w:fldCharType="separate"/>
        </w:r>
        <w:r>
          <w:rPr>
            <w:noProof/>
            <w:webHidden/>
          </w:rPr>
          <w:t>16</w:t>
        </w:r>
        <w:r>
          <w:rPr>
            <w:noProof/>
            <w:webHidden/>
          </w:rPr>
          <w:fldChar w:fldCharType="end"/>
        </w:r>
      </w:hyperlink>
    </w:p>
    <w:p w14:paraId="081866AC" w14:textId="2D684374" w:rsidR="00DA0C25" w:rsidRDefault="00DA0C25">
      <w:pPr>
        <w:pStyle w:val="TOC2"/>
        <w:tabs>
          <w:tab w:val="right" w:leader="dot" w:pos="9016"/>
        </w:tabs>
        <w:rPr>
          <w:rFonts w:asciiTheme="minorHAnsi" w:hAnsiTheme="minorHAnsi"/>
          <w:noProof/>
          <w:kern w:val="2"/>
          <w:szCs w:val="24"/>
          <w14:ligatures w14:val="standardContextual"/>
        </w:rPr>
      </w:pPr>
      <w:hyperlink w:anchor="_Toc234631339" w:history="1">
        <w:r w:rsidRPr="00A0619B">
          <w:rPr>
            <w:rStyle w:val="Hyperlink"/>
            <w:noProof/>
          </w:rPr>
          <w:t>4.2 SAFe Evaluation</w:t>
        </w:r>
        <w:r>
          <w:rPr>
            <w:noProof/>
            <w:webHidden/>
          </w:rPr>
          <w:tab/>
        </w:r>
        <w:r>
          <w:rPr>
            <w:noProof/>
            <w:webHidden/>
          </w:rPr>
          <w:fldChar w:fldCharType="begin"/>
        </w:r>
        <w:r>
          <w:rPr>
            <w:noProof/>
            <w:webHidden/>
          </w:rPr>
          <w:instrText xml:space="preserve"> PAGEREF _Toc234631339 \h </w:instrText>
        </w:r>
        <w:r>
          <w:rPr>
            <w:noProof/>
            <w:webHidden/>
          </w:rPr>
        </w:r>
        <w:r>
          <w:rPr>
            <w:noProof/>
            <w:webHidden/>
          </w:rPr>
          <w:fldChar w:fldCharType="separate"/>
        </w:r>
        <w:r>
          <w:rPr>
            <w:noProof/>
            <w:webHidden/>
          </w:rPr>
          <w:t>17</w:t>
        </w:r>
        <w:r>
          <w:rPr>
            <w:noProof/>
            <w:webHidden/>
          </w:rPr>
          <w:fldChar w:fldCharType="end"/>
        </w:r>
      </w:hyperlink>
    </w:p>
    <w:p w14:paraId="2B279AFE" w14:textId="0CB13679" w:rsidR="00DA0C25" w:rsidRDefault="00DA0C25">
      <w:pPr>
        <w:pStyle w:val="TOC2"/>
        <w:tabs>
          <w:tab w:val="right" w:leader="dot" w:pos="9016"/>
        </w:tabs>
        <w:rPr>
          <w:rFonts w:asciiTheme="minorHAnsi" w:hAnsiTheme="minorHAnsi"/>
          <w:noProof/>
          <w:kern w:val="2"/>
          <w:szCs w:val="24"/>
          <w14:ligatures w14:val="standardContextual"/>
        </w:rPr>
      </w:pPr>
      <w:hyperlink w:anchor="_Toc234631340" w:history="1">
        <w:r w:rsidRPr="00A0619B">
          <w:rPr>
            <w:rStyle w:val="Hyperlink"/>
            <w:noProof/>
          </w:rPr>
          <w:t>4.3 Recommended Strategy</w:t>
        </w:r>
        <w:r>
          <w:rPr>
            <w:noProof/>
            <w:webHidden/>
          </w:rPr>
          <w:tab/>
        </w:r>
        <w:r>
          <w:rPr>
            <w:noProof/>
            <w:webHidden/>
          </w:rPr>
          <w:fldChar w:fldCharType="begin"/>
        </w:r>
        <w:r>
          <w:rPr>
            <w:noProof/>
            <w:webHidden/>
          </w:rPr>
          <w:instrText xml:space="preserve"> PAGEREF _Toc234631340 \h </w:instrText>
        </w:r>
        <w:r>
          <w:rPr>
            <w:noProof/>
            <w:webHidden/>
          </w:rPr>
        </w:r>
        <w:r>
          <w:rPr>
            <w:noProof/>
            <w:webHidden/>
          </w:rPr>
          <w:fldChar w:fldCharType="separate"/>
        </w:r>
        <w:r>
          <w:rPr>
            <w:noProof/>
            <w:webHidden/>
          </w:rPr>
          <w:t>18</w:t>
        </w:r>
        <w:r>
          <w:rPr>
            <w:noProof/>
            <w:webHidden/>
          </w:rPr>
          <w:fldChar w:fldCharType="end"/>
        </w:r>
      </w:hyperlink>
    </w:p>
    <w:p w14:paraId="2971D931" w14:textId="22517412" w:rsidR="00DA0C25" w:rsidRDefault="00DA0C25">
      <w:pPr>
        <w:pStyle w:val="TOC2"/>
        <w:tabs>
          <w:tab w:val="right" w:leader="dot" w:pos="9016"/>
        </w:tabs>
        <w:rPr>
          <w:rFonts w:asciiTheme="minorHAnsi" w:hAnsiTheme="minorHAnsi"/>
          <w:noProof/>
          <w:kern w:val="2"/>
          <w:szCs w:val="24"/>
          <w14:ligatures w14:val="standardContextual"/>
        </w:rPr>
      </w:pPr>
      <w:hyperlink w:anchor="_Toc234631341" w:history="1">
        <w:r w:rsidRPr="00A0619B">
          <w:rPr>
            <w:rStyle w:val="Hyperlink"/>
            <w:noProof/>
          </w:rPr>
          <w:t>4.4 Implementation</w:t>
        </w:r>
        <w:r>
          <w:rPr>
            <w:noProof/>
            <w:webHidden/>
          </w:rPr>
          <w:tab/>
        </w:r>
        <w:r>
          <w:rPr>
            <w:noProof/>
            <w:webHidden/>
          </w:rPr>
          <w:fldChar w:fldCharType="begin"/>
        </w:r>
        <w:r>
          <w:rPr>
            <w:noProof/>
            <w:webHidden/>
          </w:rPr>
          <w:instrText xml:space="preserve"> PAGEREF _Toc234631341 \h </w:instrText>
        </w:r>
        <w:r>
          <w:rPr>
            <w:noProof/>
            <w:webHidden/>
          </w:rPr>
        </w:r>
        <w:r>
          <w:rPr>
            <w:noProof/>
            <w:webHidden/>
          </w:rPr>
          <w:fldChar w:fldCharType="separate"/>
        </w:r>
        <w:r>
          <w:rPr>
            <w:noProof/>
            <w:webHidden/>
          </w:rPr>
          <w:t>19</w:t>
        </w:r>
        <w:r>
          <w:rPr>
            <w:noProof/>
            <w:webHidden/>
          </w:rPr>
          <w:fldChar w:fldCharType="end"/>
        </w:r>
      </w:hyperlink>
    </w:p>
    <w:p w14:paraId="0FA5FB41" w14:textId="5D2481CD" w:rsidR="00DA0C25" w:rsidRDefault="00DA0C25">
      <w:pPr>
        <w:pStyle w:val="TOC1"/>
        <w:tabs>
          <w:tab w:val="right" w:leader="dot" w:pos="9016"/>
        </w:tabs>
        <w:rPr>
          <w:rFonts w:asciiTheme="minorHAnsi" w:hAnsiTheme="minorHAnsi"/>
          <w:noProof/>
          <w:kern w:val="2"/>
          <w:szCs w:val="24"/>
          <w14:ligatures w14:val="standardContextual"/>
        </w:rPr>
      </w:pPr>
      <w:hyperlink w:anchor="_Toc234631342" w:history="1">
        <w:r w:rsidRPr="00A0619B">
          <w:rPr>
            <w:rStyle w:val="Hyperlink"/>
            <w:noProof/>
          </w:rPr>
          <w:t>5. Conclusion</w:t>
        </w:r>
        <w:r>
          <w:rPr>
            <w:noProof/>
            <w:webHidden/>
          </w:rPr>
          <w:tab/>
        </w:r>
        <w:r>
          <w:rPr>
            <w:noProof/>
            <w:webHidden/>
          </w:rPr>
          <w:fldChar w:fldCharType="begin"/>
        </w:r>
        <w:r>
          <w:rPr>
            <w:noProof/>
            <w:webHidden/>
          </w:rPr>
          <w:instrText xml:space="preserve"> PAGEREF _Toc234631342 \h </w:instrText>
        </w:r>
        <w:r>
          <w:rPr>
            <w:noProof/>
            <w:webHidden/>
          </w:rPr>
        </w:r>
        <w:r>
          <w:rPr>
            <w:noProof/>
            <w:webHidden/>
          </w:rPr>
          <w:fldChar w:fldCharType="separate"/>
        </w:r>
        <w:r>
          <w:rPr>
            <w:noProof/>
            <w:webHidden/>
          </w:rPr>
          <w:t>21</w:t>
        </w:r>
        <w:r>
          <w:rPr>
            <w:noProof/>
            <w:webHidden/>
          </w:rPr>
          <w:fldChar w:fldCharType="end"/>
        </w:r>
      </w:hyperlink>
    </w:p>
    <w:p w14:paraId="6DA4A6E8" w14:textId="4582019B" w:rsidR="00DA0C25" w:rsidRDefault="00DA0C25">
      <w:pPr>
        <w:pStyle w:val="TOC1"/>
        <w:tabs>
          <w:tab w:val="right" w:leader="dot" w:pos="9016"/>
        </w:tabs>
        <w:rPr>
          <w:rFonts w:asciiTheme="minorHAnsi" w:hAnsiTheme="minorHAnsi"/>
          <w:noProof/>
          <w:kern w:val="2"/>
          <w:szCs w:val="24"/>
          <w14:ligatures w14:val="standardContextual"/>
        </w:rPr>
      </w:pPr>
      <w:hyperlink w:anchor="_Toc234631343" w:history="1">
        <w:r w:rsidRPr="00A0619B">
          <w:rPr>
            <w:rStyle w:val="Hyperlink"/>
            <w:noProof/>
          </w:rPr>
          <w:t>6. Reflective Account</w:t>
        </w:r>
        <w:r>
          <w:rPr>
            <w:noProof/>
            <w:webHidden/>
          </w:rPr>
          <w:tab/>
        </w:r>
        <w:r>
          <w:rPr>
            <w:noProof/>
            <w:webHidden/>
          </w:rPr>
          <w:fldChar w:fldCharType="begin"/>
        </w:r>
        <w:r>
          <w:rPr>
            <w:noProof/>
            <w:webHidden/>
          </w:rPr>
          <w:instrText xml:space="preserve"> PAGEREF _Toc234631343 \h </w:instrText>
        </w:r>
        <w:r>
          <w:rPr>
            <w:noProof/>
            <w:webHidden/>
          </w:rPr>
        </w:r>
        <w:r>
          <w:rPr>
            <w:noProof/>
            <w:webHidden/>
          </w:rPr>
          <w:fldChar w:fldCharType="separate"/>
        </w:r>
        <w:r>
          <w:rPr>
            <w:noProof/>
            <w:webHidden/>
          </w:rPr>
          <w:t>22</w:t>
        </w:r>
        <w:r>
          <w:rPr>
            <w:noProof/>
            <w:webHidden/>
          </w:rPr>
          <w:fldChar w:fldCharType="end"/>
        </w:r>
      </w:hyperlink>
    </w:p>
    <w:p w14:paraId="60A3F842" w14:textId="1E46385E" w:rsidR="00DA0C25" w:rsidRDefault="00DA0C25">
      <w:pPr>
        <w:pStyle w:val="TOC1"/>
        <w:tabs>
          <w:tab w:val="right" w:leader="dot" w:pos="9016"/>
        </w:tabs>
        <w:rPr>
          <w:rFonts w:asciiTheme="minorHAnsi" w:hAnsiTheme="minorHAnsi"/>
          <w:noProof/>
          <w:kern w:val="2"/>
          <w:szCs w:val="24"/>
          <w14:ligatures w14:val="standardContextual"/>
        </w:rPr>
      </w:pPr>
      <w:hyperlink w:anchor="_Toc234631344" w:history="1">
        <w:r w:rsidRPr="00A0619B">
          <w:rPr>
            <w:rStyle w:val="Hyperlink"/>
            <w:noProof/>
          </w:rPr>
          <w:t>References</w:t>
        </w:r>
        <w:r>
          <w:rPr>
            <w:noProof/>
            <w:webHidden/>
          </w:rPr>
          <w:tab/>
        </w:r>
        <w:r>
          <w:rPr>
            <w:noProof/>
            <w:webHidden/>
          </w:rPr>
          <w:fldChar w:fldCharType="begin"/>
        </w:r>
        <w:r>
          <w:rPr>
            <w:noProof/>
            <w:webHidden/>
          </w:rPr>
          <w:instrText xml:space="preserve"> PAGEREF _Toc234631344 \h </w:instrText>
        </w:r>
        <w:r>
          <w:rPr>
            <w:noProof/>
            <w:webHidden/>
          </w:rPr>
        </w:r>
        <w:r>
          <w:rPr>
            <w:noProof/>
            <w:webHidden/>
          </w:rPr>
          <w:fldChar w:fldCharType="separate"/>
        </w:r>
        <w:r>
          <w:rPr>
            <w:noProof/>
            <w:webHidden/>
          </w:rPr>
          <w:t>24</w:t>
        </w:r>
        <w:r>
          <w:rPr>
            <w:noProof/>
            <w:webHidden/>
          </w:rPr>
          <w:fldChar w:fldCharType="end"/>
        </w:r>
      </w:hyperlink>
    </w:p>
    <w:p w14:paraId="1DD2FDB0" w14:textId="0D77DE10" w:rsidR="00BA5BCD" w:rsidRDefault="00000000">
      <w:pPr>
        <w:tabs>
          <w:tab w:val="right" w:leader="dot" w:pos="9072"/>
        </w:tabs>
        <w:spacing w:after="100" w:line="252" w:lineRule="auto"/>
      </w:pPr>
      <w:r>
        <w:rPr>
          <w:b/>
          <w:color w:val="17324D"/>
          <w:sz w:val="22"/>
        </w:rPr>
        <w:fldChar w:fldCharType="end"/>
      </w:r>
    </w:p>
    <w:p w14:paraId="425B1D28" w14:textId="77777777" w:rsidR="00BA5BCD" w:rsidRDefault="00000000">
      <w:r>
        <w:br w:type="page"/>
      </w:r>
    </w:p>
    <w:p w14:paraId="3C7A67AA" w14:textId="77777777" w:rsidR="00BA5BCD" w:rsidRDefault="00000000">
      <w:pPr>
        <w:pStyle w:val="Heading1"/>
      </w:pPr>
      <w:bookmarkStart w:id="0" w:name="_Toc234631326"/>
      <w:r>
        <w:lastRenderedPageBreak/>
        <w:t>Executive Summary</w:t>
      </w:r>
      <w:bookmarkEnd w:id="0"/>
    </w:p>
    <w:p w14:paraId="7ACB711E" w14:textId="77777777" w:rsidR="006E3F74" w:rsidRDefault="006E3F74" w:rsidP="006E3F74">
      <w:r>
        <w:t>J Sainsbury plc is the second largest grocery store in the United Kingdom that have cemented its value with a credible value together with fresh-food quality, Nectar loyalty and expanding omnichannel network. Grocery sales grew by 5.2 per cent in 2025/26 with a market share of 15.6 per cent in March 2026. But retail underlying operating profit decreased 1.1 per cent due to increased wage, regulatory and supply costs. The sheer volume of Tesco's business, as well as the growth of discounters and its high-end food rivals, also means there is little scope for wrong strategy. The current Next Level strategy is thus directionally appropriate, but needs to be more basis of advantage. This report calls on: Good Food, Smart Value: the broad differentiation and the affordable healthy ranges; Privacy-safe Nectar personalisation; Resilient farming partnerships; More profitable store-based fulfilment. The proposal is designed to prevent entering into what is almost certain to be a cost war which Sainsbury's is unlikely to win and to utilise resources which cannot be replicated by a competitor as a single system. The staged rollout, managed via a Balanced Scorecard, should lead to a cash protected cash generation, higher loyalty and less waste. High priorities are related to data trust, supplier economics, delivery profitability and transparent sustainability targets and must be addressed by board oversight.</w:t>
      </w:r>
    </w:p>
    <w:p w14:paraId="69BF8B33" w14:textId="77777777" w:rsidR="006E3F74" w:rsidRDefault="006E3F74" w:rsidP="006E3F74">
      <w:pPr>
        <w:pStyle w:val="Heading1"/>
      </w:pPr>
      <w:bookmarkStart w:id="1" w:name="_Toc234631327"/>
      <w:r>
        <w:t>1. Organisational Context and Overview</w:t>
      </w:r>
      <w:bookmarkEnd w:id="1"/>
    </w:p>
    <w:p w14:paraId="744C14BE" w14:textId="77777777" w:rsidR="006E3F74" w:rsidRDefault="006E3F74" w:rsidP="006E3F74">
      <w:r>
        <w:t>In 1869, John James and Mary Ann Sainsbury embarked on an idea to combine product quality with fair pricing and set up their first dairy store in London. The group now sells to its customers via the internet and 609 supermarkets and 885 convenience stores. This report concentrates on the core UK grocery business as food is the central theme of Next Level Sainsbury's strategy, the grocery business offers the most transparent competitive arena at business level and Argos, clothing, fuel and discontinued banking operations are excluded unless they have an impact on food retail, such as Nectar. The goal is for good food to be fun, accessible and affordable, and the retail operations model to generate retail margin through high volume sales in stores and online, own label mix, supplier terms, productivity of property and data informed retail media (J Sainsbury plc, 2026a).</w:t>
      </w:r>
    </w:p>
    <w:p w14:paraId="25C4A879" w14:textId="77777777" w:rsidR="006E3F74" w:rsidRDefault="006E3F74" w:rsidP="006E3F74">
      <w:r>
        <w:lastRenderedPageBreak/>
        <w:t>Low price is not the only value proposition of Sainsbury's. Aldi Price Match is about maintaining the credibility of the visible staples, Nectar Prices and personalised offers are about targeted savings and fresh food, Taste the Difference, availability and service are about quality differentiation. Grocery sales increased by 5.2 per cent in 2025/26, Groceries Online grew by 13 per cent and Taste the Difference grew its sales to over £2 billion. On a group basis, retail sales – excluding fuel – were £29,992 million with retail underlying operating profit of £1,025 million. This means that small fluctuations in waste, labour and fulfilment or price investment can bring about real impacts.</w:t>
      </w:r>
    </w:p>
    <w:p w14:paraId="4949D22B" w14:textId="3B1C1D71" w:rsidR="00BA5BCD" w:rsidRDefault="006E3F74" w:rsidP="006E3F74">
      <w:r>
        <w:t>The main challenges come from the large Tesco, which has the benefit of scale and can offer low prices and loyalty; limited ranges Aldi and Lidl, which put pressure on prices; large estates Asda and Morrisons, despite their poor performances in recent years; and quality-led Waitrose and M&amp;S Food. Tesco, Sainsbury's and Asda accounted for 28.0 per cent, 15.6 per cent and 11.6 per cent, respectively, of sales for the 12 weeks to 22 March 2026, according to Worldpanel data. While Sainsbury's increased by 0.3 per cent year on year, May 2026 sales growth and the move ahead of Morrisons by Lidl's 9.6 per cent sales growth demonstrates that the strategic group boundaries are still in flux (Davey, 2026).</w:t>
      </w:r>
    </w:p>
    <w:p w14:paraId="3010A75F" w14:textId="77777777" w:rsidR="00BA5BCD" w:rsidRDefault="00000000">
      <w:pPr>
        <w:keepNext/>
        <w:jc w:val="center"/>
      </w:pPr>
      <w:r>
        <w:rPr>
          <w:noProof/>
        </w:rPr>
        <w:drawing>
          <wp:inline distT="0" distB="0" distL="0" distR="0" wp14:anchorId="27E38953" wp14:editId="5F18088C">
            <wp:extent cx="5897880" cy="29182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t_share_2026.png"/>
                    <pic:cNvPicPr/>
                  </pic:nvPicPr>
                  <pic:blipFill>
                    <a:blip r:embed="rId9"/>
                    <a:stretch>
                      <a:fillRect/>
                    </a:stretch>
                  </pic:blipFill>
                  <pic:spPr>
                    <a:xfrm>
                      <a:off x="0" y="0"/>
                      <a:ext cx="5897880" cy="2918222"/>
                    </a:xfrm>
                    <a:prstGeom prst="rect">
                      <a:avLst/>
                    </a:prstGeom>
                  </pic:spPr>
                </pic:pic>
              </a:graphicData>
            </a:graphic>
          </wp:inline>
        </w:drawing>
      </w:r>
    </w:p>
    <w:p w14:paraId="09F1A2A2" w14:textId="77777777" w:rsidR="00BA5BCD" w:rsidRPr="006E3F74" w:rsidRDefault="00000000" w:rsidP="006E3F74">
      <w:pPr>
        <w:spacing w:after="0"/>
        <w:jc w:val="center"/>
        <w:rPr>
          <w:i/>
          <w:iCs/>
          <w:sz w:val="22"/>
        </w:rPr>
      </w:pPr>
      <w:r w:rsidRPr="006E3F74">
        <w:rPr>
          <w:i/>
          <w:iCs/>
          <w:sz w:val="22"/>
        </w:rPr>
        <w:t>Figure 1. Great Britain grocery market share, March 2026</w:t>
      </w:r>
    </w:p>
    <w:p w14:paraId="15F8E065" w14:textId="77777777" w:rsidR="00BA5BCD" w:rsidRPr="006E3F74" w:rsidRDefault="00000000" w:rsidP="006E3F74">
      <w:pPr>
        <w:spacing w:after="0"/>
        <w:jc w:val="center"/>
        <w:rPr>
          <w:i/>
          <w:iCs/>
          <w:sz w:val="22"/>
        </w:rPr>
      </w:pPr>
      <w:r w:rsidRPr="006E3F74">
        <w:rPr>
          <w:i/>
          <w:iCs/>
          <w:sz w:val="22"/>
        </w:rPr>
        <w:t>Source: Author's chart using Worldpanel by Numerator data reported by Davey (2026).</w:t>
      </w:r>
    </w:p>
    <w:p w14:paraId="07C5375F" w14:textId="77777777" w:rsidR="00BA5BCD" w:rsidRDefault="00000000">
      <w:pPr>
        <w:pStyle w:val="Heading1"/>
      </w:pPr>
      <w:bookmarkStart w:id="2" w:name="_Toc234631328"/>
      <w:r>
        <w:lastRenderedPageBreak/>
        <w:t>2. External and Internal Analysis</w:t>
      </w:r>
      <w:bookmarkEnd w:id="2"/>
    </w:p>
    <w:p w14:paraId="33E9DF3A" w14:textId="77777777" w:rsidR="00BA5BCD" w:rsidRDefault="00000000">
      <w:pPr>
        <w:pStyle w:val="Heading2"/>
      </w:pPr>
      <w:bookmarkStart w:id="3" w:name="_Toc234631329"/>
      <w:r>
        <w:t>2.1 PESTEL Analysis</w:t>
      </w:r>
      <w:bookmarkEnd w:id="3"/>
    </w:p>
    <w:p w14:paraId="2E2571E3" w14:textId="77777777" w:rsidR="00BA5BCD" w:rsidRDefault="00000000" w:rsidP="006E3F74">
      <w:r w:rsidRPr="006E3F74">
        <w:rPr>
          <w:b/>
          <w:bCs/>
        </w:rPr>
        <w:t>Table 1.</w:t>
      </w:r>
      <w:r>
        <w:t xml:space="preserve"> Prioritised PESTEL analysis</w:t>
      </w:r>
    </w:p>
    <w:tbl>
      <w:tblPr>
        <w:tblStyle w:val="TableGrid"/>
        <w:tblW w:w="0" w:type="auto"/>
        <w:tblLayout w:type="fixed"/>
        <w:tblLook w:val="04A0" w:firstRow="1" w:lastRow="0" w:firstColumn="1" w:lastColumn="0" w:noHBand="0" w:noVBand="1"/>
      </w:tblPr>
      <w:tblGrid>
        <w:gridCol w:w="1152"/>
        <w:gridCol w:w="3096"/>
        <w:gridCol w:w="1512"/>
        <w:gridCol w:w="3744"/>
      </w:tblGrid>
      <w:tr w:rsidR="00BA5BCD" w:rsidRPr="006E3F74" w14:paraId="70961C97" w14:textId="77777777" w:rsidTr="006E3F74">
        <w:trPr>
          <w:tblHeader/>
        </w:trPr>
        <w:tc>
          <w:tcPr>
            <w:tcW w:w="1152" w:type="dxa"/>
            <w:shd w:val="clear" w:color="auto" w:fill="17324D"/>
            <w:tcMar>
              <w:top w:w="90" w:type="dxa"/>
              <w:left w:w="110" w:type="dxa"/>
              <w:bottom w:w="90" w:type="dxa"/>
              <w:right w:w="110" w:type="dxa"/>
            </w:tcMar>
            <w:vAlign w:val="center"/>
          </w:tcPr>
          <w:p w14:paraId="6D8EE5AF" w14:textId="77777777" w:rsidR="00BA5BCD" w:rsidRPr="006E3F74" w:rsidRDefault="00000000" w:rsidP="006E3F74">
            <w:pPr>
              <w:spacing w:after="0"/>
              <w:jc w:val="center"/>
              <w:rPr>
                <w:szCs w:val="24"/>
              </w:rPr>
            </w:pPr>
            <w:r w:rsidRPr="006E3F74">
              <w:rPr>
                <w:b/>
                <w:color w:val="FFFFFF"/>
                <w:szCs w:val="24"/>
              </w:rPr>
              <w:t>Factor</w:t>
            </w:r>
          </w:p>
        </w:tc>
        <w:tc>
          <w:tcPr>
            <w:tcW w:w="3096" w:type="dxa"/>
            <w:shd w:val="clear" w:color="auto" w:fill="17324D"/>
            <w:tcMar>
              <w:top w:w="90" w:type="dxa"/>
              <w:left w:w="110" w:type="dxa"/>
              <w:bottom w:w="90" w:type="dxa"/>
              <w:right w:w="110" w:type="dxa"/>
            </w:tcMar>
            <w:vAlign w:val="center"/>
          </w:tcPr>
          <w:p w14:paraId="1E0E4AB6" w14:textId="77777777" w:rsidR="00BA5BCD" w:rsidRPr="006E3F74" w:rsidRDefault="00000000" w:rsidP="006E3F74">
            <w:pPr>
              <w:spacing w:after="0"/>
              <w:jc w:val="center"/>
              <w:rPr>
                <w:szCs w:val="24"/>
              </w:rPr>
            </w:pPr>
            <w:r w:rsidRPr="006E3F74">
              <w:rPr>
                <w:b/>
                <w:color w:val="FFFFFF"/>
                <w:szCs w:val="24"/>
              </w:rPr>
              <w:t>Current evidence</w:t>
            </w:r>
          </w:p>
        </w:tc>
        <w:tc>
          <w:tcPr>
            <w:tcW w:w="1512" w:type="dxa"/>
            <w:shd w:val="clear" w:color="auto" w:fill="17324D"/>
            <w:tcMar>
              <w:top w:w="90" w:type="dxa"/>
              <w:left w:w="110" w:type="dxa"/>
              <w:bottom w:w="90" w:type="dxa"/>
              <w:right w:w="110" w:type="dxa"/>
            </w:tcMar>
            <w:vAlign w:val="center"/>
          </w:tcPr>
          <w:p w14:paraId="2554DD65" w14:textId="77777777" w:rsidR="00BA5BCD" w:rsidRPr="006E3F74" w:rsidRDefault="00000000" w:rsidP="006E3F74">
            <w:pPr>
              <w:spacing w:after="0"/>
              <w:jc w:val="center"/>
              <w:rPr>
                <w:szCs w:val="24"/>
              </w:rPr>
            </w:pPr>
            <w:r w:rsidRPr="006E3F74">
              <w:rPr>
                <w:b/>
                <w:color w:val="FFFFFF"/>
                <w:szCs w:val="24"/>
              </w:rPr>
              <w:t>Assessment</w:t>
            </w:r>
          </w:p>
        </w:tc>
        <w:tc>
          <w:tcPr>
            <w:tcW w:w="3744" w:type="dxa"/>
            <w:shd w:val="clear" w:color="auto" w:fill="17324D"/>
            <w:tcMar>
              <w:top w:w="90" w:type="dxa"/>
              <w:left w:w="110" w:type="dxa"/>
              <w:bottom w:w="90" w:type="dxa"/>
              <w:right w:w="110" w:type="dxa"/>
            </w:tcMar>
            <w:vAlign w:val="center"/>
          </w:tcPr>
          <w:p w14:paraId="43BE24C9" w14:textId="77777777" w:rsidR="00BA5BCD" w:rsidRPr="006E3F74" w:rsidRDefault="00000000" w:rsidP="006E3F74">
            <w:pPr>
              <w:spacing w:after="0"/>
              <w:jc w:val="center"/>
              <w:rPr>
                <w:szCs w:val="24"/>
              </w:rPr>
            </w:pPr>
            <w:r w:rsidRPr="006E3F74">
              <w:rPr>
                <w:b/>
                <w:color w:val="FFFFFF"/>
                <w:szCs w:val="24"/>
              </w:rPr>
              <w:t>Strategic implication</w:t>
            </w:r>
          </w:p>
        </w:tc>
      </w:tr>
      <w:tr w:rsidR="00BA5BCD" w:rsidRPr="006E3F74" w14:paraId="47224F07" w14:textId="77777777" w:rsidTr="006E3F74">
        <w:trPr>
          <w:cantSplit/>
        </w:trPr>
        <w:tc>
          <w:tcPr>
            <w:tcW w:w="1152" w:type="dxa"/>
            <w:shd w:val="clear" w:color="auto" w:fill="FFFFFF"/>
            <w:tcMar>
              <w:top w:w="90" w:type="dxa"/>
              <w:left w:w="110" w:type="dxa"/>
              <w:bottom w:w="90" w:type="dxa"/>
              <w:right w:w="110" w:type="dxa"/>
            </w:tcMar>
          </w:tcPr>
          <w:p w14:paraId="49D3CA6F" w14:textId="77777777" w:rsidR="00BA5BCD" w:rsidRPr="006E3F74" w:rsidRDefault="00000000" w:rsidP="006E3F74">
            <w:pPr>
              <w:spacing w:after="0"/>
              <w:rPr>
                <w:szCs w:val="24"/>
              </w:rPr>
            </w:pPr>
            <w:r w:rsidRPr="006E3F74">
              <w:rPr>
                <w:b/>
                <w:szCs w:val="24"/>
              </w:rPr>
              <w:t>Political</w:t>
            </w:r>
          </w:p>
        </w:tc>
        <w:tc>
          <w:tcPr>
            <w:tcW w:w="3096" w:type="dxa"/>
            <w:shd w:val="clear" w:color="auto" w:fill="FFFFFF"/>
            <w:tcMar>
              <w:top w:w="90" w:type="dxa"/>
              <w:left w:w="110" w:type="dxa"/>
              <w:bottom w:w="90" w:type="dxa"/>
              <w:right w:w="110" w:type="dxa"/>
            </w:tcMar>
          </w:tcPr>
          <w:p w14:paraId="5D09EEA5" w14:textId="77777777" w:rsidR="00BA5BCD" w:rsidRPr="006E3F74" w:rsidRDefault="00000000" w:rsidP="006E3F74">
            <w:pPr>
              <w:spacing w:after="0"/>
              <w:rPr>
                <w:szCs w:val="24"/>
              </w:rPr>
            </w:pPr>
            <w:r w:rsidRPr="006E3F74">
              <w:rPr>
                <w:szCs w:val="24"/>
              </w:rPr>
              <w:t>Food security policy increasingly stresses domestic resilience. Sainsbury's has committed more than £5 billion to British and Irish farming and plans long-term agreements with over 2,500 farms.</w:t>
            </w:r>
          </w:p>
        </w:tc>
        <w:tc>
          <w:tcPr>
            <w:tcW w:w="1512" w:type="dxa"/>
            <w:shd w:val="clear" w:color="auto" w:fill="FFFFFF"/>
            <w:tcMar>
              <w:top w:w="90" w:type="dxa"/>
              <w:left w:w="110" w:type="dxa"/>
              <w:bottom w:w="90" w:type="dxa"/>
              <w:right w:w="110" w:type="dxa"/>
            </w:tcMar>
          </w:tcPr>
          <w:p w14:paraId="6115267A" w14:textId="77777777" w:rsidR="00BA5BCD" w:rsidRPr="006E3F74" w:rsidRDefault="00000000" w:rsidP="006E3F74">
            <w:pPr>
              <w:spacing w:after="0"/>
              <w:rPr>
                <w:szCs w:val="24"/>
              </w:rPr>
            </w:pPr>
            <w:r w:rsidRPr="006E3F74">
              <w:rPr>
                <w:szCs w:val="24"/>
              </w:rPr>
              <w:t>Opportunity and threat</w:t>
            </w:r>
          </w:p>
        </w:tc>
        <w:tc>
          <w:tcPr>
            <w:tcW w:w="3744" w:type="dxa"/>
            <w:shd w:val="clear" w:color="auto" w:fill="FFFFFF"/>
            <w:tcMar>
              <w:top w:w="90" w:type="dxa"/>
              <w:left w:w="110" w:type="dxa"/>
              <w:bottom w:w="90" w:type="dxa"/>
              <w:right w:w="110" w:type="dxa"/>
            </w:tcMar>
          </w:tcPr>
          <w:p w14:paraId="0371FDCD" w14:textId="77777777" w:rsidR="00BA5BCD" w:rsidRPr="006E3F74" w:rsidRDefault="00000000" w:rsidP="006E3F74">
            <w:pPr>
              <w:spacing w:after="0"/>
              <w:rPr>
                <w:szCs w:val="24"/>
              </w:rPr>
            </w:pPr>
            <w:r w:rsidRPr="006E3F74">
              <w:rPr>
                <w:szCs w:val="24"/>
              </w:rPr>
              <w:t>Use contracts and co-investment to secure priority supply, but avoid transferring transition costs to farmers. Geopolitical disruption still raises energy, fertiliser and imported-input exposure (Department for Environment, Food &amp; Rural Affairs, 2024).</w:t>
            </w:r>
          </w:p>
        </w:tc>
      </w:tr>
      <w:tr w:rsidR="00BA5BCD" w:rsidRPr="006E3F74" w14:paraId="0722685D" w14:textId="77777777" w:rsidTr="006E3F74">
        <w:trPr>
          <w:cantSplit/>
        </w:trPr>
        <w:tc>
          <w:tcPr>
            <w:tcW w:w="1152" w:type="dxa"/>
            <w:shd w:val="clear" w:color="auto" w:fill="F2F4F5"/>
            <w:tcMar>
              <w:top w:w="90" w:type="dxa"/>
              <w:left w:w="110" w:type="dxa"/>
              <w:bottom w:w="90" w:type="dxa"/>
              <w:right w:w="110" w:type="dxa"/>
            </w:tcMar>
          </w:tcPr>
          <w:p w14:paraId="0A3EAA2B" w14:textId="77777777" w:rsidR="00BA5BCD" w:rsidRPr="006E3F74" w:rsidRDefault="00000000" w:rsidP="006E3F74">
            <w:pPr>
              <w:spacing w:after="0"/>
              <w:rPr>
                <w:szCs w:val="24"/>
              </w:rPr>
            </w:pPr>
            <w:r w:rsidRPr="006E3F74">
              <w:rPr>
                <w:b/>
                <w:szCs w:val="24"/>
              </w:rPr>
              <w:t>Economic</w:t>
            </w:r>
          </w:p>
        </w:tc>
        <w:tc>
          <w:tcPr>
            <w:tcW w:w="3096" w:type="dxa"/>
            <w:shd w:val="clear" w:color="auto" w:fill="F2F4F5"/>
            <w:tcMar>
              <w:top w:w="90" w:type="dxa"/>
              <w:left w:w="110" w:type="dxa"/>
              <w:bottom w:w="90" w:type="dxa"/>
              <w:right w:w="110" w:type="dxa"/>
            </w:tcMar>
          </w:tcPr>
          <w:p w14:paraId="2112F94E" w14:textId="77777777" w:rsidR="00BA5BCD" w:rsidRPr="006E3F74" w:rsidRDefault="00000000" w:rsidP="006E3F74">
            <w:pPr>
              <w:spacing w:after="0"/>
              <w:rPr>
                <w:szCs w:val="24"/>
              </w:rPr>
            </w:pPr>
            <w:r w:rsidRPr="006E3F74">
              <w:rPr>
                <w:szCs w:val="24"/>
              </w:rPr>
              <w:t>Food inflation eased to 2.2% in May 2026, yet fuel and labour costs remained volatile. The National Living Wage increased 4.1% to £12.71 from April 2026.</w:t>
            </w:r>
          </w:p>
        </w:tc>
        <w:tc>
          <w:tcPr>
            <w:tcW w:w="1512" w:type="dxa"/>
            <w:shd w:val="clear" w:color="auto" w:fill="F2F4F5"/>
            <w:tcMar>
              <w:top w:w="90" w:type="dxa"/>
              <w:left w:w="110" w:type="dxa"/>
              <w:bottom w:w="90" w:type="dxa"/>
              <w:right w:w="110" w:type="dxa"/>
            </w:tcMar>
          </w:tcPr>
          <w:p w14:paraId="6FF2FC53" w14:textId="77777777" w:rsidR="00BA5BCD" w:rsidRPr="006E3F74" w:rsidRDefault="00000000" w:rsidP="006E3F74">
            <w:pPr>
              <w:spacing w:after="0"/>
              <w:rPr>
                <w:szCs w:val="24"/>
              </w:rPr>
            </w:pPr>
            <w:r w:rsidRPr="006E3F74">
              <w:rPr>
                <w:szCs w:val="24"/>
              </w:rPr>
              <w:t>High threat</w:t>
            </w:r>
          </w:p>
        </w:tc>
        <w:tc>
          <w:tcPr>
            <w:tcW w:w="3744" w:type="dxa"/>
            <w:shd w:val="clear" w:color="auto" w:fill="F2F4F5"/>
            <w:tcMar>
              <w:top w:w="90" w:type="dxa"/>
              <w:left w:w="110" w:type="dxa"/>
              <w:bottom w:w="90" w:type="dxa"/>
              <w:right w:w="110" w:type="dxa"/>
            </w:tcMar>
          </w:tcPr>
          <w:p w14:paraId="57C6F7EF" w14:textId="77777777" w:rsidR="00BA5BCD" w:rsidRPr="006E3F74" w:rsidRDefault="00000000" w:rsidP="006E3F74">
            <w:pPr>
              <w:spacing w:after="0"/>
              <w:rPr>
                <w:szCs w:val="24"/>
              </w:rPr>
            </w:pPr>
            <w:r w:rsidRPr="006E3F74">
              <w:rPr>
                <w:szCs w:val="24"/>
              </w:rPr>
              <w:t>Value investment protects volume but compresses margin. Structural savings must come from forecasting, energy, range and process design rather than weaker service (Office for National Statistics, 2026; Department for Business and Trade, 2026).</w:t>
            </w:r>
          </w:p>
        </w:tc>
      </w:tr>
      <w:tr w:rsidR="00BA5BCD" w:rsidRPr="006E3F74" w14:paraId="2CCA6B06" w14:textId="77777777" w:rsidTr="006E3F74">
        <w:trPr>
          <w:cantSplit/>
        </w:trPr>
        <w:tc>
          <w:tcPr>
            <w:tcW w:w="1152" w:type="dxa"/>
            <w:shd w:val="clear" w:color="auto" w:fill="FFFFFF"/>
            <w:tcMar>
              <w:top w:w="90" w:type="dxa"/>
              <w:left w:w="110" w:type="dxa"/>
              <w:bottom w:w="90" w:type="dxa"/>
              <w:right w:w="110" w:type="dxa"/>
            </w:tcMar>
          </w:tcPr>
          <w:p w14:paraId="4E0A77C6" w14:textId="77777777" w:rsidR="00BA5BCD" w:rsidRPr="006E3F74" w:rsidRDefault="00000000" w:rsidP="006E3F74">
            <w:pPr>
              <w:spacing w:after="0"/>
              <w:rPr>
                <w:szCs w:val="24"/>
              </w:rPr>
            </w:pPr>
            <w:r w:rsidRPr="006E3F74">
              <w:rPr>
                <w:b/>
                <w:szCs w:val="24"/>
              </w:rPr>
              <w:lastRenderedPageBreak/>
              <w:t>Social</w:t>
            </w:r>
          </w:p>
        </w:tc>
        <w:tc>
          <w:tcPr>
            <w:tcW w:w="3096" w:type="dxa"/>
            <w:shd w:val="clear" w:color="auto" w:fill="FFFFFF"/>
            <w:tcMar>
              <w:top w:w="90" w:type="dxa"/>
              <w:left w:w="110" w:type="dxa"/>
              <w:bottom w:w="90" w:type="dxa"/>
              <w:right w:w="110" w:type="dxa"/>
            </w:tcMar>
          </w:tcPr>
          <w:p w14:paraId="02A1C56B" w14:textId="77777777" w:rsidR="00BA5BCD" w:rsidRPr="006E3F74" w:rsidRDefault="00000000" w:rsidP="006E3F74">
            <w:pPr>
              <w:spacing w:after="0"/>
              <w:rPr>
                <w:szCs w:val="24"/>
              </w:rPr>
            </w:pPr>
            <w:r w:rsidRPr="006E3F74">
              <w:rPr>
                <w:szCs w:val="24"/>
              </w:rPr>
              <w:t>Customers want value while interest in health, convenience and provenance grows. Large weekly shops coexist with rapid top-up and delivery missions.</w:t>
            </w:r>
          </w:p>
        </w:tc>
        <w:tc>
          <w:tcPr>
            <w:tcW w:w="1512" w:type="dxa"/>
            <w:shd w:val="clear" w:color="auto" w:fill="FFFFFF"/>
            <w:tcMar>
              <w:top w:w="90" w:type="dxa"/>
              <w:left w:w="110" w:type="dxa"/>
              <w:bottom w:w="90" w:type="dxa"/>
              <w:right w:w="110" w:type="dxa"/>
            </w:tcMar>
          </w:tcPr>
          <w:p w14:paraId="131F4F39" w14:textId="77777777" w:rsidR="00BA5BCD" w:rsidRPr="006E3F74" w:rsidRDefault="00000000" w:rsidP="006E3F74">
            <w:pPr>
              <w:spacing w:after="0"/>
              <w:rPr>
                <w:szCs w:val="24"/>
              </w:rPr>
            </w:pPr>
            <w:r w:rsidRPr="006E3F74">
              <w:rPr>
                <w:szCs w:val="24"/>
              </w:rPr>
              <w:t>High opportunity</w:t>
            </w:r>
          </w:p>
        </w:tc>
        <w:tc>
          <w:tcPr>
            <w:tcW w:w="3744" w:type="dxa"/>
            <w:shd w:val="clear" w:color="auto" w:fill="FFFFFF"/>
            <w:tcMar>
              <w:top w:w="90" w:type="dxa"/>
              <w:left w:w="110" w:type="dxa"/>
              <w:bottom w:w="90" w:type="dxa"/>
              <w:right w:w="110" w:type="dxa"/>
            </w:tcMar>
          </w:tcPr>
          <w:p w14:paraId="332EFDC6" w14:textId="77777777" w:rsidR="00BA5BCD" w:rsidRPr="006E3F74" w:rsidRDefault="00000000" w:rsidP="006E3F74">
            <w:pPr>
              <w:spacing w:after="0"/>
              <w:rPr>
                <w:szCs w:val="24"/>
              </w:rPr>
            </w:pPr>
            <w:r w:rsidRPr="006E3F74">
              <w:rPr>
                <w:szCs w:val="24"/>
              </w:rPr>
              <w:t>Combine affordable healthy meals, strong fresh ranges and convenience. Avoid making sustainability or health a premium-only proposition that conflicts with accessibility (J Sainsbury plc, 2026a; Cuesta-Valiño et al., 2023).</w:t>
            </w:r>
          </w:p>
        </w:tc>
      </w:tr>
      <w:tr w:rsidR="00BA5BCD" w:rsidRPr="006E3F74" w14:paraId="175085F4" w14:textId="77777777" w:rsidTr="006E3F74">
        <w:trPr>
          <w:cantSplit/>
        </w:trPr>
        <w:tc>
          <w:tcPr>
            <w:tcW w:w="1152" w:type="dxa"/>
            <w:shd w:val="clear" w:color="auto" w:fill="F2F4F5"/>
            <w:tcMar>
              <w:top w:w="90" w:type="dxa"/>
              <w:left w:w="110" w:type="dxa"/>
              <w:bottom w:w="90" w:type="dxa"/>
              <w:right w:w="110" w:type="dxa"/>
            </w:tcMar>
          </w:tcPr>
          <w:p w14:paraId="6C7893B4" w14:textId="77777777" w:rsidR="00BA5BCD" w:rsidRPr="006E3F74" w:rsidRDefault="00000000" w:rsidP="006E3F74">
            <w:pPr>
              <w:spacing w:after="0"/>
              <w:rPr>
                <w:szCs w:val="24"/>
              </w:rPr>
            </w:pPr>
            <w:r w:rsidRPr="006E3F74">
              <w:rPr>
                <w:b/>
                <w:szCs w:val="24"/>
              </w:rPr>
              <w:t>Technological</w:t>
            </w:r>
          </w:p>
        </w:tc>
        <w:tc>
          <w:tcPr>
            <w:tcW w:w="3096" w:type="dxa"/>
            <w:shd w:val="clear" w:color="auto" w:fill="F2F4F5"/>
            <w:tcMar>
              <w:top w:w="90" w:type="dxa"/>
              <w:left w:w="110" w:type="dxa"/>
              <w:bottom w:w="90" w:type="dxa"/>
              <w:right w:w="110" w:type="dxa"/>
            </w:tcMar>
          </w:tcPr>
          <w:p w14:paraId="68C74804" w14:textId="77777777" w:rsidR="00BA5BCD" w:rsidRPr="006E3F74" w:rsidRDefault="00000000" w:rsidP="006E3F74">
            <w:pPr>
              <w:spacing w:after="0"/>
              <w:rPr>
                <w:szCs w:val="24"/>
              </w:rPr>
            </w:pPr>
            <w:r w:rsidRPr="006E3F74">
              <w:rPr>
                <w:szCs w:val="24"/>
              </w:rPr>
              <w:t>Groceries Online grew 13% and OnDemand 69% in 2025/26. Sainsbury's is combining its apps and developing AI-led experiences and retail media.</w:t>
            </w:r>
          </w:p>
        </w:tc>
        <w:tc>
          <w:tcPr>
            <w:tcW w:w="1512" w:type="dxa"/>
            <w:shd w:val="clear" w:color="auto" w:fill="F2F4F5"/>
            <w:tcMar>
              <w:top w:w="90" w:type="dxa"/>
              <w:left w:w="110" w:type="dxa"/>
              <w:bottom w:w="90" w:type="dxa"/>
              <w:right w:w="110" w:type="dxa"/>
            </w:tcMar>
          </w:tcPr>
          <w:p w14:paraId="4022A362" w14:textId="77777777" w:rsidR="00BA5BCD" w:rsidRPr="006E3F74" w:rsidRDefault="00000000" w:rsidP="006E3F74">
            <w:pPr>
              <w:spacing w:after="0"/>
              <w:rPr>
                <w:szCs w:val="24"/>
              </w:rPr>
            </w:pPr>
            <w:r w:rsidRPr="006E3F74">
              <w:rPr>
                <w:szCs w:val="24"/>
              </w:rPr>
              <w:t>High opportunity and threat</w:t>
            </w:r>
          </w:p>
        </w:tc>
        <w:tc>
          <w:tcPr>
            <w:tcW w:w="3744" w:type="dxa"/>
            <w:shd w:val="clear" w:color="auto" w:fill="F2F4F5"/>
            <w:tcMar>
              <w:top w:w="90" w:type="dxa"/>
              <w:left w:w="110" w:type="dxa"/>
              <w:bottom w:w="90" w:type="dxa"/>
              <w:right w:w="110" w:type="dxa"/>
            </w:tcMar>
          </w:tcPr>
          <w:p w14:paraId="0BE2CFF4" w14:textId="77777777" w:rsidR="00BA5BCD" w:rsidRPr="006E3F74" w:rsidRDefault="00000000" w:rsidP="006E3F74">
            <w:pPr>
              <w:spacing w:after="0"/>
              <w:rPr>
                <w:szCs w:val="24"/>
              </w:rPr>
            </w:pPr>
            <w:r w:rsidRPr="006E3F74">
              <w:rPr>
                <w:szCs w:val="24"/>
              </w:rPr>
              <w:t>Personalisation, demand sensing and automated markdowns can raise loyalty and lower waste. Cyber resilience, algorithmic fairness and clear consent are conditions for trust (Canhoto, Keegan and Ryzhikh, 2024).</w:t>
            </w:r>
          </w:p>
        </w:tc>
      </w:tr>
      <w:tr w:rsidR="00BA5BCD" w:rsidRPr="006E3F74" w14:paraId="1DD00341" w14:textId="77777777" w:rsidTr="006E3F74">
        <w:trPr>
          <w:cantSplit/>
        </w:trPr>
        <w:tc>
          <w:tcPr>
            <w:tcW w:w="1152" w:type="dxa"/>
            <w:shd w:val="clear" w:color="auto" w:fill="FFFFFF"/>
            <w:tcMar>
              <w:top w:w="90" w:type="dxa"/>
              <w:left w:w="110" w:type="dxa"/>
              <w:bottom w:w="90" w:type="dxa"/>
              <w:right w:w="110" w:type="dxa"/>
            </w:tcMar>
          </w:tcPr>
          <w:p w14:paraId="072FB1F8" w14:textId="77777777" w:rsidR="00BA5BCD" w:rsidRPr="006E3F74" w:rsidRDefault="00000000" w:rsidP="006E3F74">
            <w:pPr>
              <w:spacing w:after="0"/>
              <w:rPr>
                <w:szCs w:val="24"/>
              </w:rPr>
            </w:pPr>
            <w:r w:rsidRPr="006E3F74">
              <w:rPr>
                <w:b/>
                <w:szCs w:val="24"/>
              </w:rPr>
              <w:t>Environmental</w:t>
            </w:r>
          </w:p>
        </w:tc>
        <w:tc>
          <w:tcPr>
            <w:tcW w:w="3096" w:type="dxa"/>
            <w:shd w:val="clear" w:color="auto" w:fill="FFFFFF"/>
            <w:tcMar>
              <w:top w:w="90" w:type="dxa"/>
              <w:left w:w="110" w:type="dxa"/>
              <w:bottom w:w="90" w:type="dxa"/>
              <w:right w:w="110" w:type="dxa"/>
            </w:tcMar>
          </w:tcPr>
          <w:p w14:paraId="4BCB1FC8" w14:textId="77777777" w:rsidR="00BA5BCD" w:rsidRPr="006E3F74" w:rsidRDefault="00000000" w:rsidP="006E3F74">
            <w:pPr>
              <w:spacing w:after="0"/>
              <w:rPr>
                <w:szCs w:val="24"/>
              </w:rPr>
            </w:pPr>
            <w:r w:rsidRPr="006E3F74">
              <w:rPr>
                <w:szCs w:val="24"/>
              </w:rPr>
              <w:t>Climate change threatens yields, water availability and sourcing regions. Scope 3 emissions dominate the value-chain footprint.</w:t>
            </w:r>
          </w:p>
        </w:tc>
        <w:tc>
          <w:tcPr>
            <w:tcW w:w="1512" w:type="dxa"/>
            <w:shd w:val="clear" w:color="auto" w:fill="FFFFFF"/>
            <w:tcMar>
              <w:top w:w="90" w:type="dxa"/>
              <w:left w:w="110" w:type="dxa"/>
              <w:bottom w:w="90" w:type="dxa"/>
              <w:right w:w="110" w:type="dxa"/>
            </w:tcMar>
          </w:tcPr>
          <w:p w14:paraId="4A8F0755" w14:textId="77777777" w:rsidR="00BA5BCD" w:rsidRPr="006E3F74" w:rsidRDefault="00000000" w:rsidP="006E3F74">
            <w:pPr>
              <w:spacing w:after="0"/>
              <w:rPr>
                <w:szCs w:val="24"/>
              </w:rPr>
            </w:pPr>
            <w:r w:rsidRPr="006E3F74">
              <w:rPr>
                <w:szCs w:val="24"/>
              </w:rPr>
              <w:t>High threat</w:t>
            </w:r>
          </w:p>
        </w:tc>
        <w:tc>
          <w:tcPr>
            <w:tcW w:w="3744" w:type="dxa"/>
            <w:shd w:val="clear" w:color="auto" w:fill="FFFFFF"/>
            <w:tcMar>
              <w:top w:w="90" w:type="dxa"/>
              <w:left w:w="110" w:type="dxa"/>
              <w:bottom w:w="90" w:type="dxa"/>
              <w:right w:w="110" w:type="dxa"/>
            </w:tcMar>
          </w:tcPr>
          <w:p w14:paraId="6C193340" w14:textId="77777777" w:rsidR="00BA5BCD" w:rsidRPr="006E3F74" w:rsidRDefault="00000000" w:rsidP="006E3F74">
            <w:pPr>
              <w:spacing w:after="0"/>
              <w:rPr>
                <w:szCs w:val="24"/>
              </w:rPr>
            </w:pPr>
            <w:r w:rsidRPr="006E3F74">
              <w:rPr>
                <w:szCs w:val="24"/>
              </w:rPr>
              <w:t>Long-term farm agreements, climate adaptation and diversified origins reduce disruption. Decisions must optimise carbon, waste, cost and availability together, not as separate programmes (Hasnain, 2024).</w:t>
            </w:r>
          </w:p>
        </w:tc>
      </w:tr>
      <w:tr w:rsidR="00BA5BCD" w:rsidRPr="006E3F74" w14:paraId="4B3C775B" w14:textId="77777777" w:rsidTr="006E3F74">
        <w:trPr>
          <w:cantSplit/>
        </w:trPr>
        <w:tc>
          <w:tcPr>
            <w:tcW w:w="1152" w:type="dxa"/>
            <w:shd w:val="clear" w:color="auto" w:fill="F2F4F5"/>
            <w:tcMar>
              <w:top w:w="90" w:type="dxa"/>
              <w:left w:w="110" w:type="dxa"/>
              <w:bottom w:w="90" w:type="dxa"/>
              <w:right w:w="110" w:type="dxa"/>
            </w:tcMar>
          </w:tcPr>
          <w:p w14:paraId="5019A8C2" w14:textId="77777777" w:rsidR="00BA5BCD" w:rsidRPr="006E3F74" w:rsidRDefault="00000000" w:rsidP="006E3F74">
            <w:pPr>
              <w:spacing w:after="0"/>
              <w:rPr>
                <w:szCs w:val="24"/>
              </w:rPr>
            </w:pPr>
            <w:r w:rsidRPr="006E3F74">
              <w:rPr>
                <w:b/>
                <w:szCs w:val="24"/>
              </w:rPr>
              <w:lastRenderedPageBreak/>
              <w:t>Legal</w:t>
            </w:r>
          </w:p>
        </w:tc>
        <w:tc>
          <w:tcPr>
            <w:tcW w:w="3096" w:type="dxa"/>
            <w:shd w:val="clear" w:color="auto" w:fill="F2F4F5"/>
            <w:tcMar>
              <w:top w:w="90" w:type="dxa"/>
              <w:left w:w="110" w:type="dxa"/>
              <w:bottom w:w="90" w:type="dxa"/>
              <w:right w:w="110" w:type="dxa"/>
            </w:tcMar>
          </w:tcPr>
          <w:p w14:paraId="036BF3A5" w14:textId="77777777" w:rsidR="00BA5BCD" w:rsidRPr="006E3F74" w:rsidRDefault="00000000" w:rsidP="006E3F74">
            <w:pPr>
              <w:spacing w:after="0"/>
              <w:rPr>
                <w:szCs w:val="24"/>
              </w:rPr>
            </w:pPr>
            <w:r w:rsidRPr="006E3F74">
              <w:rPr>
                <w:szCs w:val="24"/>
              </w:rPr>
              <w:t>HFSS promotion and advertising restrictions, packaging EPR fees, privacy duties and grocery supply rules shape range, marketing and supplier relationships.</w:t>
            </w:r>
          </w:p>
        </w:tc>
        <w:tc>
          <w:tcPr>
            <w:tcW w:w="1512" w:type="dxa"/>
            <w:shd w:val="clear" w:color="auto" w:fill="F2F4F5"/>
            <w:tcMar>
              <w:top w:w="90" w:type="dxa"/>
              <w:left w:w="110" w:type="dxa"/>
              <w:bottom w:w="90" w:type="dxa"/>
              <w:right w:w="110" w:type="dxa"/>
            </w:tcMar>
          </w:tcPr>
          <w:p w14:paraId="5F6EBA43" w14:textId="77777777" w:rsidR="00BA5BCD" w:rsidRPr="006E3F74" w:rsidRDefault="00000000" w:rsidP="006E3F74">
            <w:pPr>
              <w:spacing w:after="0"/>
              <w:rPr>
                <w:szCs w:val="24"/>
              </w:rPr>
            </w:pPr>
            <w:r w:rsidRPr="006E3F74">
              <w:rPr>
                <w:szCs w:val="24"/>
              </w:rPr>
              <w:t>Threat with innovation upside</w:t>
            </w:r>
          </w:p>
        </w:tc>
        <w:tc>
          <w:tcPr>
            <w:tcW w:w="3744" w:type="dxa"/>
            <w:shd w:val="clear" w:color="auto" w:fill="F2F4F5"/>
            <w:tcMar>
              <w:top w:w="90" w:type="dxa"/>
              <w:left w:w="110" w:type="dxa"/>
              <w:bottom w:w="90" w:type="dxa"/>
              <w:right w:w="110" w:type="dxa"/>
            </w:tcMar>
          </w:tcPr>
          <w:p w14:paraId="35EC7475" w14:textId="77777777" w:rsidR="00BA5BCD" w:rsidRPr="006E3F74" w:rsidRDefault="00000000" w:rsidP="006E3F74">
            <w:pPr>
              <w:spacing w:after="0"/>
              <w:rPr>
                <w:szCs w:val="24"/>
              </w:rPr>
            </w:pPr>
            <w:r w:rsidRPr="006E3F74">
              <w:rPr>
                <w:szCs w:val="24"/>
              </w:rPr>
              <w:t>Reformulate products, redesign packaging and use privacy-by-design. Regulation can reward Sainsbury's healthy-range capability, while poor data governance or hard-to-recycle materials create cost and reputation risk (Department of Health and Social Care, 2025; Competition and Markets Authority, 2024; Department for Environment, Food &amp; Rural Affairs and Environment Agency, 2026).</w:t>
            </w:r>
          </w:p>
        </w:tc>
      </w:tr>
    </w:tbl>
    <w:p w14:paraId="642E45D5" w14:textId="77777777" w:rsidR="00BA5BCD" w:rsidRDefault="00000000">
      <w:pPr>
        <w:spacing w:line="240" w:lineRule="auto"/>
      </w:pPr>
      <w:r>
        <w:rPr>
          <w:b/>
          <w:i/>
          <w:color w:val="66727D"/>
          <w:sz w:val="19"/>
        </w:rPr>
        <w:t xml:space="preserve">Source: </w:t>
      </w:r>
      <w:r>
        <w:rPr>
          <w:i/>
          <w:color w:val="66727D"/>
          <w:sz w:val="19"/>
        </w:rPr>
        <w:t>Author's analysis based on the cited sources and J Sainsbury plc (2026a, 2026c).</w:t>
      </w:r>
    </w:p>
    <w:p w14:paraId="429FF42E" w14:textId="13FDF0E8" w:rsidR="006E3F74" w:rsidRDefault="006E3F74" w:rsidP="006E3F74">
      <w:r>
        <w:t>The PESTEL evidence does not present six separate trends, but rather one of them which is related. Wage and packaging regulation increases costs while household sensitivity cap is price recovery. The climate, geopolitical and supply chain dynamics also introduce risk, as does the convenience and increased cost-to-serve of digital growth. The strategic opportunity is to apply technology and supplier relationships as a way of eliminating waste and invest some of the value and quality gained in doing so. PESTEL is a snapshot and no causal relationship is established, instead, issues are prioritised based on their possible impact on volume, margin and resilience as opposed to the number of headlines generated (Johnson et al., 2020).</w:t>
      </w:r>
    </w:p>
    <w:p w14:paraId="0D6755F7" w14:textId="77777777" w:rsidR="006E3F74" w:rsidRDefault="006E3F74" w:rsidP="006E3F74">
      <w:pPr>
        <w:pStyle w:val="Heading2"/>
      </w:pPr>
      <w:bookmarkStart w:id="4" w:name="_Toc234631330"/>
      <w:r>
        <w:t>2.2 Industry Analysis: Porter’s Five Forces</w:t>
      </w:r>
      <w:bookmarkEnd w:id="4"/>
    </w:p>
    <w:p w14:paraId="5059A29F" w14:textId="77777777" w:rsidR="006E3F74" w:rsidRDefault="006E3F74" w:rsidP="006E3F74">
      <w:r>
        <w:t xml:space="preserve">There is a great amount of rivalry. Tesco is growing its market share as well as Sainsbury's, Lidl has surpassed Morrisons while M&amp;S Food is doing well at the high end and Asda is trying to revive. It is easy to compare prices and promotions will be evident, allowing competitors to react swiftly to a price change. However, Sainsbury's drive of price matching, a perceived high quality own label and fresh food diminishes </w:t>
      </w:r>
      <w:r>
        <w:lastRenderedPageBreak/>
        <w:t>the need for one dimension. The problem is it is a middle ground, and if customers perceive Aldi as being lower quality than M&amp;S, or lower quality than what they can buy for less, then it's a risk. What is needed is to not lose the trust in price, but to make Sainsbury's quality and personal relevance more unique (Butler, 2026).</w:t>
      </w:r>
    </w:p>
    <w:p w14:paraId="19C088F4" w14:textId="77777777" w:rsidR="006E3F74" w:rsidRDefault="006E3F74" w:rsidP="006E3F74">
      <w:r>
        <w:t>Household buying power is strong as households can undertake missions anywhere, and have multiple loyalty memberships. The Competition and Markets Authority (CMA) discovered that 94 per cent of consumers belonged to a supermarket loyalty scheme and had an average of 3.4 schemes, meaning that Nectar is not a huge lock-in effect for consumers. So, it's based on better decisions and experiences and not membership only. Overall, the power is moderate given the size of Sainsbury's, but is higher for products that are in short supply, as well as branded products or those that are climate sensitive such as fresh products. Long contracts can help to minimise risk, but can also limit flexibility if volumes and/or specifications are not well designed (Competition and Markets Authority, 2024).</w:t>
      </w:r>
    </w:p>
    <w:p w14:paraId="0A52AE4B" w14:textId="77777777" w:rsidR="006E3F74" w:rsidRDefault="006E3F74" w:rsidP="006E3F74">
      <w:r>
        <w:t>The barriers to entry are moderate to high at the national level due to the capital involved in the stores, distribution, suppliers and data/brand trust. Easier to enter in particular missions: Ocado's online strategy, delivery platform's bringing in local supply, premium or specialist operators can focus on lucrative areas. Substitutes also are potent. Embarking on a meal or food expenditure, a restaurant, meal kits, takeaways, wholesale clubs or direct-to-consumer brands all vie for that food dollar. This would consequently result in a response within the store only. Sainsbury's will have to fight for food and time on a variety of platforms – in-store, planned online and quick delivery.</w:t>
      </w:r>
    </w:p>
    <w:p w14:paraId="0106CE23" w14:textId="782BD541" w:rsidR="00BA5BCD" w:rsidRDefault="006E3F74" w:rsidP="006E3F74">
      <w:r>
        <w:t>The Five Forces suggest in general, that the profitability of the industry is structurally low. Any value can indeed be achieved with lower costs, but the most defensible value is the differentiated value with scale efficiency. Porter's has the merit of unmasking bargaining and substitution, but in platform-enabled retail industry boundaries are more fluid and are less revealing of collaboration with farmers, technology partner and communities. Hence the analysis is done together with the VRIO analysis and the evidences from the stakeholders and then a strategy is proposed (Porter, 1980).</w:t>
      </w:r>
    </w:p>
    <w:p w14:paraId="7D1ECEB5" w14:textId="77777777" w:rsidR="00BA5BCD" w:rsidRDefault="00000000">
      <w:pPr>
        <w:pStyle w:val="Heading2"/>
      </w:pPr>
      <w:bookmarkStart w:id="5" w:name="_Toc234631331"/>
      <w:r>
        <w:lastRenderedPageBreak/>
        <w:t>2.3 Internal Analysis: VRIO</w:t>
      </w:r>
      <w:bookmarkEnd w:id="5"/>
    </w:p>
    <w:p w14:paraId="21ECE63A" w14:textId="77777777" w:rsidR="00BA5BCD" w:rsidRDefault="00000000" w:rsidP="006E3F74">
      <w:r w:rsidRPr="006E3F74">
        <w:rPr>
          <w:b/>
          <w:bCs/>
        </w:rPr>
        <w:t>Table 2.</w:t>
      </w:r>
      <w:r>
        <w:t xml:space="preserve"> VRIO assessment of strategic resources and capabilities</w:t>
      </w:r>
    </w:p>
    <w:tbl>
      <w:tblPr>
        <w:tblStyle w:val="TableGrid"/>
        <w:tblW w:w="8909" w:type="dxa"/>
        <w:tblLayout w:type="fixed"/>
        <w:tblLook w:val="04A0" w:firstRow="1" w:lastRow="0" w:firstColumn="1" w:lastColumn="0" w:noHBand="0" w:noVBand="1"/>
      </w:tblPr>
      <w:tblGrid>
        <w:gridCol w:w="1640"/>
        <w:gridCol w:w="810"/>
        <w:gridCol w:w="990"/>
        <w:gridCol w:w="1080"/>
        <w:gridCol w:w="900"/>
        <w:gridCol w:w="1530"/>
        <w:gridCol w:w="1959"/>
      </w:tblGrid>
      <w:tr w:rsidR="00BA5BCD" w:rsidRPr="006E3F74" w14:paraId="570E5D0B" w14:textId="77777777" w:rsidTr="006E3F74">
        <w:trPr>
          <w:trHeight w:val="823"/>
          <w:tblHeader/>
        </w:trPr>
        <w:tc>
          <w:tcPr>
            <w:tcW w:w="1640" w:type="dxa"/>
            <w:shd w:val="clear" w:color="auto" w:fill="17324D"/>
            <w:tcMar>
              <w:top w:w="90" w:type="dxa"/>
              <w:left w:w="110" w:type="dxa"/>
              <w:bottom w:w="90" w:type="dxa"/>
              <w:right w:w="110" w:type="dxa"/>
            </w:tcMar>
            <w:vAlign w:val="center"/>
          </w:tcPr>
          <w:p w14:paraId="1848F073" w14:textId="77777777" w:rsidR="00BA5BCD" w:rsidRPr="006E3F74" w:rsidRDefault="00000000" w:rsidP="006E3F74">
            <w:pPr>
              <w:spacing w:after="0"/>
              <w:jc w:val="center"/>
              <w:rPr>
                <w:szCs w:val="24"/>
              </w:rPr>
            </w:pPr>
            <w:r w:rsidRPr="006E3F74">
              <w:rPr>
                <w:b/>
                <w:color w:val="FFFFFF"/>
                <w:szCs w:val="24"/>
              </w:rPr>
              <w:t>Resource or capability</w:t>
            </w:r>
          </w:p>
        </w:tc>
        <w:tc>
          <w:tcPr>
            <w:tcW w:w="810" w:type="dxa"/>
            <w:shd w:val="clear" w:color="auto" w:fill="17324D"/>
            <w:tcMar>
              <w:top w:w="90" w:type="dxa"/>
              <w:left w:w="110" w:type="dxa"/>
              <w:bottom w:w="90" w:type="dxa"/>
              <w:right w:w="110" w:type="dxa"/>
            </w:tcMar>
            <w:vAlign w:val="center"/>
          </w:tcPr>
          <w:p w14:paraId="413D3A27" w14:textId="77777777" w:rsidR="00BA5BCD" w:rsidRPr="006E3F74" w:rsidRDefault="00000000" w:rsidP="006E3F74">
            <w:pPr>
              <w:spacing w:after="0"/>
              <w:jc w:val="center"/>
              <w:rPr>
                <w:szCs w:val="24"/>
              </w:rPr>
            </w:pPr>
            <w:r w:rsidRPr="006E3F74">
              <w:rPr>
                <w:b/>
                <w:color w:val="FFFFFF"/>
                <w:szCs w:val="24"/>
              </w:rPr>
              <w:t>V</w:t>
            </w:r>
          </w:p>
        </w:tc>
        <w:tc>
          <w:tcPr>
            <w:tcW w:w="990" w:type="dxa"/>
            <w:shd w:val="clear" w:color="auto" w:fill="17324D"/>
            <w:tcMar>
              <w:top w:w="90" w:type="dxa"/>
              <w:left w:w="110" w:type="dxa"/>
              <w:bottom w:w="90" w:type="dxa"/>
              <w:right w:w="110" w:type="dxa"/>
            </w:tcMar>
            <w:vAlign w:val="center"/>
          </w:tcPr>
          <w:p w14:paraId="64ECC3DB" w14:textId="77777777" w:rsidR="00BA5BCD" w:rsidRPr="006E3F74" w:rsidRDefault="00000000" w:rsidP="006E3F74">
            <w:pPr>
              <w:spacing w:after="0"/>
              <w:jc w:val="center"/>
              <w:rPr>
                <w:szCs w:val="24"/>
              </w:rPr>
            </w:pPr>
            <w:r w:rsidRPr="006E3F74">
              <w:rPr>
                <w:b/>
                <w:color w:val="FFFFFF"/>
                <w:szCs w:val="24"/>
              </w:rPr>
              <w:t>R</w:t>
            </w:r>
          </w:p>
        </w:tc>
        <w:tc>
          <w:tcPr>
            <w:tcW w:w="1080" w:type="dxa"/>
            <w:shd w:val="clear" w:color="auto" w:fill="17324D"/>
            <w:tcMar>
              <w:top w:w="90" w:type="dxa"/>
              <w:left w:w="110" w:type="dxa"/>
              <w:bottom w:w="90" w:type="dxa"/>
              <w:right w:w="110" w:type="dxa"/>
            </w:tcMar>
            <w:vAlign w:val="center"/>
          </w:tcPr>
          <w:p w14:paraId="6A2292A8" w14:textId="77777777" w:rsidR="00BA5BCD" w:rsidRPr="006E3F74" w:rsidRDefault="00000000" w:rsidP="006E3F74">
            <w:pPr>
              <w:spacing w:after="0"/>
              <w:jc w:val="center"/>
              <w:rPr>
                <w:szCs w:val="24"/>
              </w:rPr>
            </w:pPr>
            <w:r w:rsidRPr="006E3F74">
              <w:rPr>
                <w:b/>
                <w:color w:val="FFFFFF"/>
                <w:szCs w:val="24"/>
              </w:rPr>
              <w:t>I</w:t>
            </w:r>
          </w:p>
        </w:tc>
        <w:tc>
          <w:tcPr>
            <w:tcW w:w="900" w:type="dxa"/>
            <w:shd w:val="clear" w:color="auto" w:fill="17324D"/>
            <w:tcMar>
              <w:top w:w="90" w:type="dxa"/>
              <w:left w:w="110" w:type="dxa"/>
              <w:bottom w:w="90" w:type="dxa"/>
              <w:right w:w="110" w:type="dxa"/>
            </w:tcMar>
            <w:vAlign w:val="center"/>
          </w:tcPr>
          <w:p w14:paraId="4B6118AA" w14:textId="77777777" w:rsidR="00BA5BCD" w:rsidRPr="006E3F74" w:rsidRDefault="00000000" w:rsidP="006E3F74">
            <w:pPr>
              <w:spacing w:after="0"/>
              <w:jc w:val="center"/>
              <w:rPr>
                <w:szCs w:val="24"/>
              </w:rPr>
            </w:pPr>
            <w:r w:rsidRPr="006E3F74">
              <w:rPr>
                <w:b/>
                <w:color w:val="FFFFFF"/>
                <w:szCs w:val="24"/>
              </w:rPr>
              <w:t>O</w:t>
            </w:r>
          </w:p>
        </w:tc>
        <w:tc>
          <w:tcPr>
            <w:tcW w:w="1530" w:type="dxa"/>
            <w:shd w:val="clear" w:color="auto" w:fill="17324D"/>
            <w:tcMar>
              <w:top w:w="90" w:type="dxa"/>
              <w:left w:w="110" w:type="dxa"/>
              <w:bottom w:w="90" w:type="dxa"/>
              <w:right w:w="110" w:type="dxa"/>
            </w:tcMar>
            <w:vAlign w:val="center"/>
          </w:tcPr>
          <w:p w14:paraId="66FBFF3B" w14:textId="77777777" w:rsidR="00BA5BCD" w:rsidRPr="006E3F74" w:rsidRDefault="00000000" w:rsidP="006E3F74">
            <w:pPr>
              <w:spacing w:after="0"/>
              <w:jc w:val="center"/>
              <w:rPr>
                <w:szCs w:val="24"/>
              </w:rPr>
            </w:pPr>
            <w:r w:rsidRPr="006E3F74">
              <w:rPr>
                <w:b/>
                <w:color w:val="FFFFFF"/>
                <w:szCs w:val="24"/>
              </w:rPr>
              <w:t>Implication</w:t>
            </w:r>
          </w:p>
        </w:tc>
        <w:tc>
          <w:tcPr>
            <w:tcW w:w="1959" w:type="dxa"/>
            <w:shd w:val="clear" w:color="auto" w:fill="17324D"/>
            <w:tcMar>
              <w:top w:w="90" w:type="dxa"/>
              <w:left w:w="110" w:type="dxa"/>
              <w:bottom w:w="90" w:type="dxa"/>
              <w:right w:w="110" w:type="dxa"/>
            </w:tcMar>
            <w:vAlign w:val="center"/>
          </w:tcPr>
          <w:p w14:paraId="6C7B7397" w14:textId="77777777" w:rsidR="00BA5BCD" w:rsidRPr="006E3F74" w:rsidRDefault="00000000" w:rsidP="006E3F74">
            <w:pPr>
              <w:spacing w:after="0"/>
              <w:jc w:val="center"/>
              <w:rPr>
                <w:szCs w:val="24"/>
              </w:rPr>
            </w:pPr>
            <w:r w:rsidRPr="006E3F74">
              <w:rPr>
                <w:b/>
                <w:color w:val="FFFFFF"/>
                <w:szCs w:val="24"/>
              </w:rPr>
              <w:t>Management priority</w:t>
            </w:r>
          </w:p>
        </w:tc>
      </w:tr>
      <w:tr w:rsidR="00BA5BCD" w:rsidRPr="006E3F74" w14:paraId="5D66CC72" w14:textId="77777777" w:rsidTr="006E3F74">
        <w:trPr>
          <w:cantSplit/>
          <w:trHeight w:val="1647"/>
        </w:trPr>
        <w:tc>
          <w:tcPr>
            <w:tcW w:w="1640" w:type="dxa"/>
            <w:shd w:val="clear" w:color="auto" w:fill="FFFFFF"/>
            <w:tcMar>
              <w:top w:w="90" w:type="dxa"/>
              <w:left w:w="110" w:type="dxa"/>
              <w:bottom w:w="90" w:type="dxa"/>
              <w:right w:w="110" w:type="dxa"/>
            </w:tcMar>
          </w:tcPr>
          <w:p w14:paraId="5D144C21" w14:textId="77777777" w:rsidR="00BA5BCD" w:rsidRPr="006E3F74" w:rsidRDefault="00000000" w:rsidP="006E3F74">
            <w:pPr>
              <w:spacing w:after="0"/>
              <w:rPr>
                <w:szCs w:val="24"/>
              </w:rPr>
            </w:pPr>
            <w:r w:rsidRPr="006E3F74">
              <w:rPr>
                <w:b/>
                <w:szCs w:val="24"/>
              </w:rPr>
              <w:t>Trusted food brand and fresh-quality reputation</w:t>
            </w:r>
          </w:p>
        </w:tc>
        <w:tc>
          <w:tcPr>
            <w:tcW w:w="810" w:type="dxa"/>
            <w:shd w:val="clear" w:color="auto" w:fill="FFFFFF"/>
            <w:tcMar>
              <w:top w:w="90" w:type="dxa"/>
              <w:left w:w="110" w:type="dxa"/>
              <w:bottom w:w="90" w:type="dxa"/>
              <w:right w:w="110" w:type="dxa"/>
            </w:tcMar>
          </w:tcPr>
          <w:p w14:paraId="6EB985B9" w14:textId="77777777" w:rsidR="00BA5BCD" w:rsidRPr="006E3F74" w:rsidRDefault="00000000" w:rsidP="006E3F74">
            <w:pPr>
              <w:spacing w:after="0"/>
              <w:rPr>
                <w:szCs w:val="24"/>
              </w:rPr>
            </w:pPr>
            <w:r w:rsidRPr="006E3F74">
              <w:rPr>
                <w:szCs w:val="24"/>
              </w:rPr>
              <w:t>Yes</w:t>
            </w:r>
          </w:p>
        </w:tc>
        <w:tc>
          <w:tcPr>
            <w:tcW w:w="990" w:type="dxa"/>
            <w:shd w:val="clear" w:color="auto" w:fill="FFFFFF"/>
            <w:tcMar>
              <w:top w:w="90" w:type="dxa"/>
              <w:left w:w="110" w:type="dxa"/>
              <w:bottom w:w="90" w:type="dxa"/>
              <w:right w:w="110" w:type="dxa"/>
            </w:tcMar>
          </w:tcPr>
          <w:p w14:paraId="5E4BEE16" w14:textId="77777777" w:rsidR="00BA5BCD" w:rsidRPr="006E3F74" w:rsidRDefault="00000000" w:rsidP="006E3F74">
            <w:pPr>
              <w:spacing w:after="0"/>
              <w:rPr>
                <w:szCs w:val="24"/>
              </w:rPr>
            </w:pPr>
            <w:r w:rsidRPr="006E3F74">
              <w:rPr>
                <w:szCs w:val="24"/>
              </w:rPr>
              <w:t>Moderately</w:t>
            </w:r>
          </w:p>
        </w:tc>
        <w:tc>
          <w:tcPr>
            <w:tcW w:w="1080" w:type="dxa"/>
            <w:shd w:val="clear" w:color="auto" w:fill="FFFFFF"/>
            <w:tcMar>
              <w:top w:w="90" w:type="dxa"/>
              <w:left w:w="110" w:type="dxa"/>
              <w:bottom w:w="90" w:type="dxa"/>
              <w:right w:w="110" w:type="dxa"/>
            </w:tcMar>
          </w:tcPr>
          <w:p w14:paraId="21F9A0C7" w14:textId="77777777" w:rsidR="00BA5BCD" w:rsidRPr="006E3F74" w:rsidRDefault="00000000" w:rsidP="006E3F74">
            <w:pPr>
              <w:spacing w:after="0"/>
              <w:rPr>
                <w:szCs w:val="24"/>
              </w:rPr>
            </w:pPr>
            <w:r w:rsidRPr="006E3F74">
              <w:rPr>
                <w:szCs w:val="24"/>
              </w:rPr>
              <w:t>Costly over time</w:t>
            </w:r>
          </w:p>
        </w:tc>
        <w:tc>
          <w:tcPr>
            <w:tcW w:w="900" w:type="dxa"/>
            <w:shd w:val="clear" w:color="auto" w:fill="FFFFFF"/>
            <w:tcMar>
              <w:top w:w="90" w:type="dxa"/>
              <w:left w:w="110" w:type="dxa"/>
              <w:bottom w:w="90" w:type="dxa"/>
              <w:right w:w="110" w:type="dxa"/>
            </w:tcMar>
          </w:tcPr>
          <w:p w14:paraId="0099C385" w14:textId="77777777" w:rsidR="00BA5BCD" w:rsidRPr="006E3F74" w:rsidRDefault="00000000" w:rsidP="006E3F74">
            <w:pPr>
              <w:spacing w:after="0"/>
              <w:rPr>
                <w:szCs w:val="24"/>
              </w:rPr>
            </w:pPr>
            <w:r w:rsidRPr="006E3F74">
              <w:rPr>
                <w:szCs w:val="24"/>
              </w:rPr>
              <w:t>Yes</w:t>
            </w:r>
          </w:p>
        </w:tc>
        <w:tc>
          <w:tcPr>
            <w:tcW w:w="1530" w:type="dxa"/>
            <w:shd w:val="clear" w:color="auto" w:fill="FFFFFF"/>
            <w:tcMar>
              <w:top w:w="90" w:type="dxa"/>
              <w:left w:w="110" w:type="dxa"/>
              <w:bottom w:w="90" w:type="dxa"/>
              <w:right w:w="110" w:type="dxa"/>
            </w:tcMar>
          </w:tcPr>
          <w:p w14:paraId="25EE74E6" w14:textId="77777777" w:rsidR="00BA5BCD" w:rsidRPr="006E3F74" w:rsidRDefault="00000000" w:rsidP="006E3F74">
            <w:pPr>
              <w:spacing w:after="0"/>
              <w:rPr>
                <w:szCs w:val="24"/>
              </w:rPr>
            </w:pPr>
            <w:r w:rsidRPr="006E3F74">
              <w:rPr>
                <w:szCs w:val="24"/>
              </w:rPr>
              <w:t>Potential sustained advantage</w:t>
            </w:r>
          </w:p>
        </w:tc>
        <w:tc>
          <w:tcPr>
            <w:tcW w:w="1959" w:type="dxa"/>
            <w:shd w:val="clear" w:color="auto" w:fill="FFFFFF"/>
            <w:tcMar>
              <w:top w:w="90" w:type="dxa"/>
              <w:left w:w="110" w:type="dxa"/>
              <w:bottom w:w="90" w:type="dxa"/>
              <w:right w:w="110" w:type="dxa"/>
            </w:tcMar>
          </w:tcPr>
          <w:p w14:paraId="48075C25" w14:textId="77777777" w:rsidR="00BA5BCD" w:rsidRPr="006E3F74" w:rsidRDefault="00000000" w:rsidP="006E3F74">
            <w:pPr>
              <w:spacing w:after="0"/>
              <w:rPr>
                <w:szCs w:val="24"/>
              </w:rPr>
            </w:pPr>
            <w:r w:rsidRPr="006E3F74">
              <w:rPr>
                <w:szCs w:val="24"/>
              </w:rPr>
              <w:t>Protect quality during cost saving; make health and provenance visible.</w:t>
            </w:r>
          </w:p>
        </w:tc>
      </w:tr>
      <w:tr w:rsidR="00BA5BCD" w:rsidRPr="006E3F74" w14:paraId="2BBD6369" w14:textId="77777777" w:rsidTr="006E3F74">
        <w:trPr>
          <w:cantSplit/>
          <w:trHeight w:val="2067"/>
        </w:trPr>
        <w:tc>
          <w:tcPr>
            <w:tcW w:w="1640" w:type="dxa"/>
            <w:shd w:val="clear" w:color="auto" w:fill="F2F4F5"/>
            <w:tcMar>
              <w:top w:w="90" w:type="dxa"/>
              <w:left w:w="110" w:type="dxa"/>
              <w:bottom w:w="90" w:type="dxa"/>
              <w:right w:w="110" w:type="dxa"/>
            </w:tcMar>
          </w:tcPr>
          <w:p w14:paraId="4BBE2135" w14:textId="77777777" w:rsidR="00BA5BCD" w:rsidRPr="006E3F74" w:rsidRDefault="00000000" w:rsidP="006E3F74">
            <w:pPr>
              <w:spacing w:after="0"/>
              <w:rPr>
                <w:szCs w:val="24"/>
              </w:rPr>
            </w:pPr>
            <w:r w:rsidRPr="006E3F74">
              <w:rPr>
                <w:b/>
                <w:szCs w:val="24"/>
              </w:rPr>
              <w:t>Nectar, Nectar360 and first-party insight</w:t>
            </w:r>
          </w:p>
        </w:tc>
        <w:tc>
          <w:tcPr>
            <w:tcW w:w="810" w:type="dxa"/>
            <w:shd w:val="clear" w:color="auto" w:fill="F2F4F5"/>
            <w:tcMar>
              <w:top w:w="90" w:type="dxa"/>
              <w:left w:w="110" w:type="dxa"/>
              <w:bottom w:w="90" w:type="dxa"/>
              <w:right w:w="110" w:type="dxa"/>
            </w:tcMar>
          </w:tcPr>
          <w:p w14:paraId="580CC864" w14:textId="77777777" w:rsidR="00BA5BCD" w:rsidRPr="006E3F74" w:rsidRDefault="00000000" w:rsidP="006E3F74">
            <w:pPr>
              <w:spacing w:after="0"/>
              <w:rPr>
                <w:szCs w:val="24"/>
              </w:rPr>
            </w:pPr>
            <w:r w:rsidRPr="006E3F74">
              <w:rPr>
                <w:szCs w:val="24"/>
              </w:rPr>
              <w:t>Yes</w:t>
            </w:r>
          </w:p>
        </w:tc>
        <w:tc>
          <w:tcPr>
            <w:tcW w:w="990" w:type="dxa"/>
            <w:shd w:val="clear" w:color="auto" w:fill="F2F4F5"/>
            <w:tcMar>
              <w:top w:w="90" w:type="dxa"/>
              <w:left w:w="110" w:type="dxa"/>
              <w:bottom w:w="90" w:type="dxa"/>
              <w:right w:w="110" w:type="dxa"/>
            </w:tcMar>
          </w:tcPr>
          <w:p w14:paraId="7D7091DF" w14:textId="0F1F92C2" w:rsidR="00BA5BCD" w:rsidRPr="006E3F74" w:rsidRDefault="006E3F74" w:rsidP="006E3F74">
            <w:pPr>
              <w:spacing w:after="0"/>
              <w:rPr>
                <w:szCs w:val="24"/>
              </w:rPr>
            </w:pPr>
            <w:r w:rsidRPr="006E3F74">
              <w:rPr>
                <w:szCs w:val="24"/>
              </w:rPr>
              <w:t>Yes, at scale</w:t>
            </w:r>
          </w:p>
        </w:tc>
        <w:tc>
          <w:tcPr>
            <w:tcW w:w="1080" w:type="dxa"/>
            <w:shd w:val="clear" w:color="auto" w:fill="F2F4F5"/>
            <w:tcMar>
              <w:top w:w="90" w:type="dxa"/>
              <w:left w:w="110" w:type="dxa"/>
              <w:bottom w:w="90" w:type="dxa"/>
              <w:right w:w="110" w:type="dxa"/>
            </w:tcMar>
          </w:tcPr>
          <w:p w14:paraId="62990747" w14:textId="77777777" w:rsidR="00BA5BCD" w:rsidRPr="006E3F74" w:rsidRDefault="00000000" w:rsidP="006E3F74">
            <w:pPr>
              <w:spacing w:after="0"/>
              <w:rPr>
                <w:szCs w:val="24"/>
              </w:rPr>
            </w:pPr>
            <w:r w:rsidRPr="006E3F74">
              <w:rPr>
                <w:szCs w:val="24"/>
              </w:rPr>
              <w:t>Costly and path-dependent</w:t>
            </w:r>
          </w:p>
        </w:tc>
        <w:tc>
          <w:tcPr>
            <w:tcW w:w="900" w:type="dxa"/>
            <w:shd w:val="clear" w:color="auto" w:fill="F2F4F5"/>
            <w:tcMar>
              <w:top w:w="90" w:type="dxa"/>
              <w:left w:w="110" w:type="dxa"/>
              <w:bottom w:w="90" w:type="dxa"/>
              <w:right w:w="110" w:type="dxa"/>
            </w:tcMar>
          </w:tcPr>
          <w:p w14:paraId="23B924F5" w14:textId="77777777" w:rsidR="00BA5BCD" w:rsidRPr="006E3F74" w:rsidRDefault="00000000" w:rsidP="006E3F74">
            <w:pPr>
              <w:spacing w:after="0"/>
              <w:rPr>
                <w:szCs w:val="24"/>
              </w:rPr>
            </w:pPr>
            <w:r w:rsidRPr="006E3F74">
              <w:rPr>
                <w:szCs w:val="24"/>
              </w:rPr>
              <w:t>Increasingly</w:t>
            </w:r>
          </w:p>
        </w:tc>
        <w:tc>
          <w:tcPr>
            <w:tcW w:w="1530" w:type="dxa"/>
            <w:shd w:val="clear" w:color="auto" w:fill="F2F4F5"/>
            <w:tcMar>
              <w:top w:w="90" w:type="dxa"/>
              <w:left w:w="110" w:type="dxa"/>
              <w:bottom w:w="90" w:type="dxa"/>
              <w:right w:w="110" w:type="dxa"/>
            </w:tcMar>
          </w:tcPr>
          <w:p w14:paraId="10CB8FA4" w14:textId="77777777" w:rsidR="00BA5BCD" w:rsidRPr="006E3F74" w:rsidRDefault="00000000" w:rsidP="006E3F74">
            <w:pPr>
              <w:spacing w:after="0"/>
              <w:rPr>
                <w:szCs w:val="24"/>
              </w:rPr>
            </w:pPr>
            <w:r w:rsidRPr="006E3F74">
              <w:rPr>
                <w:szCs w:val="24"/>
              </w:rPr>
              <w:t>Strong potential advantage</w:t>
            </w:r>
          </w:p>
        </w:tc>
        <w:tc>
          <w:tcPr>
            <w:tcW w:w="1959" w:type="dxa"/>
            <w:shd w:val="clear" w:color="auto" w:fill="F2F4F5"/>
            <w:tcMar>
              <w:top w:w="90" w:type="dxa"/>
              <w:left w:w="110" w:type="dxa"/>
              <w:bottom w:w="90" w:type="dxa"/>
              <w:right w:w="110" w:type="dxa"/>
            </w:tcMar>
          </w:tcPr>
          <w:p w14:paraId="6C5248BD" w14:textId="77777777" w:rsidR="00BA5BCD" w:rsidRPr="006E3F74" w:rsidRDefault="00000000" w:rsidP="006E3F74">
            <w:pPr>
              <w:spacing w:after="0"/>
              <w:rPr>
                <w:szCs w:val="24"/>
              </w:rPr>
            </w:pPr>
            <w:r w:rsidRPr="006E3F74">
              <w:rPr>
                <w:szCs w:val="24"/>
              </w:rPr>
              <w:t>Join savings, meal planning, retail media and measurement, with strict privacy controls.</w:t>
            </w:r>
          </w:p>
        </w:tc>
      </w:tr>
      <w:tr w:rsidR="00BA5BCD" w:rsidRPr="006E3F74" w14:paraId="17F820BA" w14:textId="77777777" w:rsidTr="006E3F74">
        <w:trPr>
          <w:cantSplit/>
          <w:trHeight w:val="2052"/>
        </w:trPr>
        <w:tc>
          <w:tcPr>
            <w:tcW w:w="1640" w:type="dxa"/>
            <w:shd w:val="clear" w:color="auto" w:fill="FFFFFF"/>
            <w:tcMar>
              <w:top w:w="90" w:type="dxa"/>
              <w:left w:w="110" w:type="dxa"/>
              <w:bottom w:w="90" w:type="dxa"/>
              <w:right w:w="110" w:type="dxa"/>
            </w:tcMar>
          </w:tcPr>
          <w:p w14:paraId="1B9B8A97" w14:textId="77777777" w:rsidR="00BA5BCD" w:rsidRPr="006E3F74" w:rsidRDefault="00000000" w:rsidP="006E3F74">
            <w:pPr>
              <w:spacing w:after="0"/>
              <w:rPr>
                <w:szCs w:val="24"/>
              </w:rPr>
            </w:pPr>
            <w:r w:rsidRPr="006E3F74">
              <w:rPr>
                <w:b/>
                <w:szCs w:val="24"/>
              </w:rPr>
              <w:t>National store, convenience and online network</w:t>
            </w:r>
          </w:p>
        </w:tc>
        <w:tc>
          <w:tcPr>
            <w:tcW w:w="810" w:type="dxa"/>
            <w:shd w:val="clear" w:color="auto" w:fill="FFFFFF"/>
            <w:tcMar>
              <w:top w:w="90" w:type="dxa"/>
              <w:left w:w="110" w:type="dxa"/>
              <w:bottom w:w="90" w:type="dxa"/>
              <w:right w:w="110" w:type="dxa"/>
            </w:tcMar>
          </w:tcPr>
          <w:p w14:paraId="3920755C" w14:textId="77777777" w:rsidR="00BA5BCD" w:rsidRPr="006E3F74" w:rsidRDefault="00000000" w:rsidP="006E3F74">
            <w:pPr>
              <w:spacing w:after="0"/>
              <w:rPr>
                <w:szCs w:val="24"/>
              </w:rPr>
            </w:pPr>
            <w:r w:rsidRPr="006E3F74">
              <w:rPr>
                <w:szCs w:val="24"/>
              </w:rPr>
              <w:t>Yes</w:t>
            </w:r>
          </w:p>
        </w:tc>
        <w:tc>
          <w:tcPr>
            <w:tcW w:w="990" w:type="dxa"/>
            <w:shd w:val="clear" w:color="auto" w:fill="FFFFFF"/>
            <w:tcMar>
              <w:top w:w="90" w:type="dxa"/>
              <w:left w:w="110" w:type="dxa"/>
              <w:bottom w:w="90" w:type="dxa"/>
              <w:right w:w="110" w:type="dxa"/>
            </w:tcMar>
          </w:tcPr>
          <w:p w14:paraId="2D430E3C" w14:textId="77777777" w:rsidR="00BA5BCD" w:rsidRPr="006E3F74" w:rsidRDefault="00000000" w:rsidP="006E3F74">
            <w:pPr>
              <w:spacing w:after="0"/>
              <w:rPr>
                <w:szCs w:val="24"/>
              </w:rPr>
            </w:pPr>
            <w:r w:rsidRPr="006E3F74">
              <w:rPr>
                <w:szCs w:val="24"/>
              </w:rPr>
              <w:t>No</w:t>
            </w:r>
          </w:p>
        </w:tc>
        <w:tc>
          <w:tcPr>
            <w:tcW w:w="1080" w:type="dxa"/>
            <w:shd w:val="clear" w:color="auto" w:fill="FFFFFF"/>
            <w:tcMar>
              <w:top w:w="90" w:type="dxa"/>
              <w:left w:w="110" w:type="dxa"/>
              <w:bottom w:w="90" w:type="dxa"/>
              <w:right w:w="110" w:type="dxa"/>
            </w:tcMar>
          </w:tcPr>
          <w:p w14:paraId="0085D60A" w14:textId="77777777" w:rsidR="00BA5BCD" w:rsidRPr="006E3F74" w:rsidRDefault="00000000" w:rsidP="006E3F74">
            <w:pPr>
              <w:spacing w:after="0"/>
              <w:rPr>
                <w:szCs w:val="24"/>
              </w:rPr>
            </w:pPr>
            <w:r w:rsidRPr="006E3F74">
              <w:rPr>
                <w:szCs w:val="24"/>
              </w:rPr>
              <w:t>Capital intensive</w:t>
            </w:r>
          </w:p>
        </w:tc>
        <w:tc>
          <w:tcPr>
            <w:tcW w:w="900" w:type="dxa"/>
            <w:shd w:val="clear" w:color="auto" w:fill="FFFFFF"/>
            <w:tcMar>
              <w:top w:w="90" w:type="dxa"/>
              <w:left w:w="110" w:type="dxa"/>
              <w:bottom w:w="90" w:type="dxa"/>
              <w:right w:w="110" w:type="dxa"/>
            </w:tcMar>
          </w:tcPr>
          <w:p w14:paraId="2970E0A0" w14:textId="77777777" w:rsidR="00BA5BCD" w:rsidRPr="006E3F74" w:rsidRDefault="00000000" w:rsidP="006E3F74">
            <w:pPr>
              <w:spacing w:after="0"/>
              <w:rPr>
                <w:szCs w:val="24"/>
              </w:rPr>
            </w:pPr>
            <w:r w:rsidRPr="006E3F74">
              <w:rPr>
                <w:szCs w:val="24"/>
              </w:rPr>
              <w:t>Yes</w:t>
            </w:r>
          </w:p>
        </w:tc>
        <w:tc>
          <w:tcPr>
            <w:tcW w:w="1530" w:type="dxa"/>
            <w:shd w:val="clear" w:color="auto" w:fill="FFFFFF"/>
            <w:tcMar>
              <w:top w:w="90" w:type="dxa"/>
              <w:left w:w="110" w:type="dxa"/>
              <w:bottom w:w="90" w:type="dxa"/>
              <w:right w:w="110" w:type="dxa"/>
            </w:tcMar>
          </w:tcPr>
          <w:p w14:paraId="6A662D4B" w14:textId="77777777" w:rsidR="00BA5BCD" w:rsidRPr="006E3F74" w:rsidRDefault="00000000" w:rsidP="006E3F74">
            <w:pPr>
              <w:spacing w:after="0"/>
              <w:rPr>
                <w:szCs w:val="24"/>
              </w:rPr>
            </w:pPr>
            <w:r w:rsidRPr="006E3F74">
              <w:rPr>
                <w:szCs w:val="24"/>
              </w:rPr>
              <w:t>Temporary advantage</w:t>
            </w:r>
          </w:p>
        </w:tc>
        <w:tc>
          <w:tcPr>
            <w:tcW w:w="1959" w:type="dxa"/>
            <w:shd w:val="clear" w:color="auto" w:fill="FFFFFF"/>
            <w:tcMar>
              <w:top w:w="90" w:type="dxa"/>
              <w:left w:w="110" w:type="dxa"/>
              <w:bottom w:w="90" w:type="dxa"/>
              <w:right w:w="110" w:type="dxa"/>
            </w:tcMar>
          </w:tcPr>
          <w:p w14:paraId="6CE49369" w14:textId="77777777" w:rsidR="00BA5BCD" w:rsidRPr="006E3F74" w:rsidRDefault="00000000" w:rsidP="006E3F74">
            <w:pPr>
              <w:spacing w:after="0"/>
              <w:rPr>
                <w:szCs w:val="24"/>
              </w:rPr>
            </w:pPr>
            <w:r w:rsidRPr="006E3F74">
              <w:rPr>
                <w:szCs w:val="24"/>
              </w:rPr>
              <w:t>Treat stores as customer, fulfilment and media assets; track channel economics.</w:t>
            </w:r>
          </w:p>
        </w:tc>
      </w:tr>
      <w:tr w:rsidR="00BA5BCD" w:rsidRPr="006E3F74" w14:paraId="1B29B7FA" w14:textId="77777777" w:rsidTr="006E3F74">
        <w:trPr>
          <w:cantSplit/>
          <w:trHeight w:val="2067"/>
        </w:trPr>
        <w:tc>
          <w:tcPr>
            <w:tcW w:w="1640" w:type="dxa"/>
            <w:shd w:val="clear" w:color="auto" w:fill="F2F4F5"/>
            <w:tcMar>
              <w:top w:w="90" w:type="dxa"/>
              <w:left w:w="110" w:type="dxa"/>
              <w:bottom w:w="90" w:type="dxa"/>
              <w:right w:w="110" w:type="dxa"/>
            </w:tcMar>
          </w:tcPr>
          <w:p w14:paraId="250C4388" w14:textId="77777777" w:rsidR="00BA5BCD" w:rsidRPr="006E3F74" w:rsidRDefault="00000000" w:rsidP="006E3F74">
            <w:pPr>
              <w:spacing w:after="0"/>
              <w:rPr>
                <w:szCs w:val="24"/>
              </w:rPr>
            </w:pPr>
            <w:r w:rsidRPr="006E3F74">
              <w:rPr>
                <w:b/>
                <w:szCs w:val="24"/>
              </w:rPr>
              <w:t>Long-term farmer and supplier partnerships</w:t>
            </w:r>
          </w:p>
        </w:tc>
        <w:tc>
          <w:tcPr>
            <w:tcW w:w="810" w:type="dxa"/>
            <w:shd w:val="clear" w:color="auto" w:fill="F2F4F5"/>
            <w:tcMar>
              <w:top w:w="90" w:type="dxa"/>
              <w:left w:w="110" w:type="dxa"/>
              <w:bottom w:w="90" w:type="dxa"/>
              <w:right w:w="110" w:type="dxa"/>
            </w:tcMar>
          </w:tcPr>
          <w:p w14:paraId="62878894" w14:textId="77777777" w:rsidR="00BA5BCD" w:rsidRPr="006E3F74" w:rsidRDefault="00000000" w:rsidP="006E3F74">
            <w:pPr>
              <w:spacing w:after="0"/>
              <w:rPr>
                <w:szCs w:val="24"/>
              </w:rPr>
            </w:pPr>
            <w:r w:rsidRPr="006E3F74">
              <w:rPr>
                <w:szCs w:val="24"/>
              </w:rPr>
              <w:t>Yes</w:t>
            </w:r>
          </w:p>
        </w:tc>
        <w:tc>
          <w:tcPr>
            <w:tcW w:w="990" w:type="dxa"/>
            <w:shd w:val="clear" w:color="auto" w:fill="F2F4F5"/>
            <w:tcMar>
              <w:top w:w="90" w:type="dxa"/>
              <w:left w:w="110" w:type="dxa"/>
              <w:bottom w:w="90" w:type="dxa"/>
              <w:right w:w="110" w:type="dxa"/>
            </w:tcMar>
          </w:tcPr>
          <w:p w14:paraId="048F7D3F" w14:textId="77777777" w:rsidR="00BA5BCD" w:rsidRPr="006E3F74" w:rsidRDefault="00000000" w:rsidP="006E3F74">
            <w:pPr>
              <w:spacing w:after="0"/>
              <w:rPr>
                <w:szCs w:val="24"/>
              </w:rPr>
            </w:pPr>
            <w:r w:rsidRPr="006E3F74">
              <w:rPr>
                <w:szCs w:val="24"/>
              </w:rPr>
              <w:t>Moderately</w:t>
            </w:r>
          </w:p>
        </w:tc>
        <w:tc>
          <w:tcPr>
            <w:tcW w:w="1080" w:type="dxa"/>
            <w:shd w:val="clear" w:color="auto" w:fill="F2F4F5"/>
            <w:tcMar>
              <w:top w:w="90" w:type="dxa"/>
              <w:left w:w="110" w:type="dxa"/>
              <w:bottom w:w="90" w:type="dxa"/>
              <w:right w:w="110" w:type="dxa"/>
            </w:tcMar>
          </w:tcPr>
          <w:p w14:paraId="0FC48772" w14:textId="77777777" w:rsidR="00BA5BCD" w:rsidRPr="006E3F74" w:rsidRDefault="00000000" w:rsidP="006E3F74">
            <w:pPr>
              <w:spacing w:after="0"/>
              <w:rPr>
                <w:szCs w:val="24"/>
              </w:rPr>
            </w:pPr>
            <w:r w:rsidRPr="006E3F74">
              <w:rPr>
                <w:szCs w:val="24"/>
              </w:rPr>
              <w:t>Relationship-specific</w:t>
            </w:r>
          </w:p>
        </w:tc>
        <w:tc>
          <w:tcPr>
            <w:tcW w:w="900" w:type="dxa"/>
            <w:shd w:val="clear" w:color="auto" w:fill="F2F4F5"/>
            <w:tcMar>
              <w:top w:w="90" w:type="dxa"/>
              <w:left w:w="110" w:type="dxa"/>
              <w:bottom w:w="90" w:type="dxa"/>
              <w:right w:w="110" w:type="dxa"/>
            </w:tcMar>
          </w:tcPr>
          <w:p w14:paraId="018CE4AE" w14:textId="77777777" w:rsidR="00BA5BCD" w:rsidRPr="006E3F74" w:rsidRDefault="00000000" w:rsidP="006E3F74">
            <w:pPr>
              <w:spacing w:after="0"/>
              <w:rPr>
                <w:szCs w:val="24"/>
              </w:rPr>
            </w:pPr>
            <w:r w:rsidRPr="006E3F74">
              <w:rPr>
                <w:szCs w:val="24"/>
              </w:rPr>
              <w:t>Developing</w:t>
            </w:r>
          </w:p>
        </w:tc>
        <w:tc>
          <w:tcPr>
            <w:tcW w:w="1530" w:type="dxa"/>
            <w:shd w:val="clear" w:color="auto" w:fill="F2F4F5"/>
            <w:tcMar>
              <w:top w:w="90" w:type="dxa"/>
              <w:left w:w="110" w:type="dxa"/>
              <w:bottom w:w="90" w:type="dxa"/>
              <w:right w:w="110" w:type="dxa"/>
            </w:tcMar>
          </w:tcPr>
          <w:p w14:paraId="152D8689" w14:textId="77777777" w:rsidR="00BA5BCD" w:rsidRPr="006E3F74" w:rsidRDefault="00000000" w:rsidP="006E3F74">
            <w:pPr>
              <w:spacing w:after="0"/>
              <w:rPr>
                <w:szCs w:val="24"/>
              </w:rPr>
            </w:pPr>
            <w:r w:rsidRPr="006E3F74">
              <w:rPr>
                <w:szCs w:val="24"/>
              </w:rPr>
              <w:t>Potential sustained advantage</w:t>
            </w:r>
          </w:p>
        </w:tc>
        <w:tc>
          <w:tcPr>
            <w:tcW w:w="1959" w:type="dxa"/>
            <w:shd w:val="clear" w:color="auto" w:fill="F2F4F5"/>
            <w:tcMar>
              <w:top w:w="90" w:type="dxa"/>
              <w:left w:w="110" w:type="dxa"/>
              <w:bottom w:w="90" w:type="dxa"/>
              <w:right w:w="110" w:type="dxa"/>
            </w:tcMar>
          </w:tcPr>
          <w:p w14:paraId="0E8EE667" w14:textId="77777777" w:rsidR="00BA5BCD" w:rsidRPr="006E3F74" w:rsidRDefault="00000000" w:rsidP="006E3F74">
            <w:pPr>
              <w:spacing w:after="0"/>
              <w:rPr>
                <w:szCs w:val="24"/>
              </w:rPr>
            </w:pPr>
            <w:r w:rsidRPr="006E3F74">
              <w:rPr>
                <w:szCs w:val="24"/>
              </w:rPr>
              <w:t>Co-invest in resilience, traceability and forecasting instead of relying on purchasing power.</w:t>
            </w:r>
          </w:p>
        </w:tc>
      </w:tr>
      <w:tr w:rsidR="00BA5BCD" w:rsidRPr="006E3F74" w14:paraId="2B123871" w14:textId="77777777" w:rsidTr="006E3F74">
        <w:trPr>
          <w:cantSplit/>
          <w:trHeight w:val="2052"/>
        </w:trPr>
        <w:tc>
          <w:tcPr>
            <w:tcW w:w="1640" w:type="dxa"/>
            <w:shd w:val="clear" w:color="auto" w:fill="FFFFFF"/>
            <w:tcMar>
              <w:top w:w="90" w:type="dxa"/>
              <w:left w:w="110" w:type="dxa"/>
              <w:bottom w:w="90" w:type="dxa"/>
              <w:right w:w="110" w:type="dxa"/>
            </w:tcMar>
          </w:tcPr>
          <w:p w14:paraId="2A83B6A5" w14:textId="77777777" w:rsidR="00BA5BCD" w:rsidRPr="006E3F74" w:rsidRDefault="00000000" w:rsidP="006E3F74">
            <w:pPr>
              <w:spacing w:after="0"/>
              <w:rPr>
                <w:szCs w:val="24"/>
              </w:rPr>
            </w:pPr>
            <w:r w:rsidRPr="006E3F74">
              <w:rPr>
                <w:b/>
                <w:szCs w:val="24"/>
              </w:rPr>
              <w:lastRenderedPageBreak/>
              <w:t>Scale, own-label development and operating data</w:t>
            </w:r>
          </w:p>
        </w:tc>
        <w:tc>
          <w:tcPr>
            <w:tcW w:w="810" w:type="dxa"/>
            <w:shd w:val="clear" w:color="auto" w:fill="FFFFFF"/>
            <w:tcMar>
              <w:top w:w="90" w:type="dxa"/>
              <w:left w:w="110" w:type="dxa"/>
              <w:bottom w:w="90" w:type="dxa"/>
              <w:right w:w="110" w:type="dxa"/>
            </w:tcMar>
          </w:tcPr>
          <w:p w14:paraId="1A029858" w14:textId="77777777" w:rsidR="00BA5BCD" w:rsidRPr="006E3F74" w:rsidRDefault="00000000" w:rsidP="006E3F74">
            <w:pPr>
              <w:spacing w:after="0"/>
              <w:rPr>
                <w:szCs w:val="24"/>
              </w:rPr>
            </w:pPr>
            <w:r w:rsidRPr="006E3F74">
              <w:rPr>
                <w:szCs w:val="24"/>
              </w:rPr>
              <w:t>Yes</w:t>
            </w:r>
          </w:p>
        </w:tc>
        <w:tc>
          <w:tcPr>
            <w:tcW w:w="990" w:type="dxa"/>
            <w:shd w:val="clear" w:color="auto" w:fill="FFFFFF"/>
            <w:tcMar>
              <w:top w:w="90" w:type="dxa"/>
              <w:left w:w="110" w:type="dxa"/>
              <w:bottom w:w="90" w:type="dxa"/>
              <w:right w:w="110" w:type="dxa"/>
            </w:tcMar>
          </w:tcPr>
          <w:p w14:paraId="709B333B" w14:textId="77777777" w:rsidR="00BA5BCD" w:rsidRPr="006E3F74" w:rsidRDefault="00000000" w:rsidP="006E3F74">
            <w:pPr>
              <w:spacing w:after="0"/>
              <w:rPr>
                <w:szCs w:val="24"/>
              </w:rPr>
            </w:pPr>
            <w:r w:rsidRPr="006E3F74">
              <w:rPr>
                <w:szCs w:val="24"/>
              </w:rPr>
              <w:t>No among leaders</w:t>
            </w:r>
          </w:p>
        </w:tc>
        <w:tc>
          <w:tcPr>
            <w:tcW w:w="1080" w:type="dxa"/>
            <w:shd w:val="clear" w:color="auto" w:fill="FFFFFF"/>
            <w:tcMar>
              <w:top w:w="90" w:type="dxa"/>
              <w:left w:w="110" w:type="dxa"/>
              <w:bottom w:w="90" w:type="dxa"/>
              <w:right w:w="110" w:type="dxa"/>
            </w:tcMar>
          </w:tcPr>
          <w:p w14:paraId="0D095D07" w14:textId="77777777" w:rsidR="00BA5BCD" w:rsidRPr="006E3F74" w:rsidRDefault="00000000" w:rsidP="006E3F74">
            <w:pPr>
              <w:spacing w:after="0"/>
              <w:rPr>
                <w:szCs w:val="24"/>
              </w:rPr>
            </w:pPr>
            <w:r w:rsidRPr="006E3F74">
              <w:rPr>
                <w:szCs w:val="24"/>
              </w:rPr>
              <w:t>Replicable with investment</w:t>
            </w:r>
          </w:p>
        </w:tc>
        <w:tc>
          <w:tcPr>
            <w:tcW w:w="900" w:type="dxa"/>
            <w:shd w:val="clear" w:color="auto" w:fill="FFFFFF"/>
            <w:tcMar>
              <w:top w:w="90" w:type="dxa"/>
              <w:left w:w="110" w:type="dxa"/>
              <w:bottom w:w="90" w:type="dxa"/>
              <w:right w:w="110" w:type="dxa"/>
            </w:tcMar>
          </w:tcPr>
          <w:p w14:paraId="3B4297B5" w14:textId="77777777" w:rsidR="00BA5BCD" w:rsidRPr="006E3F74" w:rsidRDefault="00000000" w:rsidP="006E3F74">
            <w:pPr>
              <w:spacing w:after="0"/>
              <w:rPr>
                <w:szCs w:val="24"/>
              </w:rPr>
            </w:pPr>
            <w:r w:rsidRPr="006E3F74">
              <w:rPr>
                <w:szCs w:val="24"/>
              </w:rPr>
              <w:t>Yes</w:t>
            </w:r>
          </w:p>
        </w:tc>
        <w:tc>
          <w:tcPr>
            <w:tcW w:w="1530" w:type="dxa"/>
            <w:shd w:val="clear" w:color="auto" w:fill="FFFFFF"/>
            <w:tcMar>
              <w:top w:w="90" w:type="dxa"/>
              <w:left w:w="110" w:type="dxa"/>
              <w:bottom w:w="90" w:type="dxa"/>
              <w:right w:w="110" w:type="dxa"/>
            </w:tcMar>
          </w:tcPr>
          <w:p w14:paraId="04C2BD25" w14:textId="77777777" w:rsidR="00BA5BCD" w:rsidRPr="006E3F74" w:rsidRDefault="00000000" w:rsidP="006E3F74">
            <w:pPr>
              <w:spacing w:after="0"/>
              <w:rPr>
                <w:szCs w:val="24"/>
              </w:rPr>
            </w:pPr>
            <w:r w:rsidRPr="006E3F74">
              <w:rPr>
                <w:szCs w:val="24"/>
              </w:rPr>
              <w:t>Competitive parity to temporary advantage</w:t>
            </w:r>
          </w:p>
        </w:tc>
        <w:tc>
          <w:tcPr>
            <w:tcW w:w="1959" w:type="dxa"/>
            <w:shd w:val="clear" w:color="auto" w:fill="FFFFFF"/>
            <w:tcMar>
              <w:top w:w="90" w:type="dxa"/>
              <w:left w:w="110" w:type="dxa"/>
              <w:bottom w:w="90" w:type="dxa"/>
              <w:right w:w="110" w:type="dxa"/>
            </w:tcMar>
          </w:tcPr>
          <w:p w14:paraId="3DDEE55F" w14:textId="77777777" w:rsidR="00BA5BCD" w:rsidRPr="006E3F74" w:rsidRDefault="00000000" w:rsidP="006E3F74">
            <w:pPr>
              <w:spacing w:after="0"/>
              <w:rPr>
                <w:szCs w:val="24"/>
              </w:rPr>
            </w:pPr>
            <w:r w:rsidRPr="006E3F74">
              <w:rPr>
                <w:szCs w:val="24"/>
              </w:rPr>
              <w:t>Use faster innovation and integrated data to turn ordinary scale into a capability system.</w:t>
            </w:r>
          </w:p>
        </w:tc>
      </w:tr>
    </w:tbl>
    <w:p w14:paraId="6B45B44B" w14:textId="77777777" w:rsidR="00BA5BCD" w:rsidRDefault="00000000">
      <w:pPr>
        <w:spacing w:line="240" w:lineRule="auto"/>
      </w:pPr>
      <w:r>
        <w:rPr>
          <w:b/>
          <w:i/>
          <w:color w:val="66727D"/>
          <w:sz w:val="19"/>
        </w:rPr>
        <w:t xml:space="preserve">Source: </w:t>
      </w:r>
      <w:r>
        <w:rPr>
          <w:i/>
          <w:color w:val="66727D"/>
          <w:sz w:val="19"/>
        </w:rPr>
        <w:t>Author's analysis using Barney (1991), Knott (2015) and J Sainsbury plc (2026a).</w:t>
      </w:r>
    </w:p>
    <w:p w14:paraId="6B9BA090" w14:textId="77777777" w:rsidR="006E3F74" w:rsidRDefault="006E3F74" w:rsidP="006E3F74">
      <w:r>
        <w:t>The difference between resources and outcomes tell VRIO. Sales growth is not a capability, it's simply the output of the use of brand, range, data, suppliers, stores and colleagues. Among the above, the Nectar and food ecosystem has the best prospects for long-term gains. Competitors have loyalty schemes, stores and own label, but few are able to offer a large customer base in grocery, retail media, personalised pricing, a promise of fresh food and 1494 food stores. Rarity is thus one that is systematic instead of residing in one asset. If, however, organisational silo mentality or culture hinders the ability of data, commercial, supply and store teams to work together the advantage will be lost (Barney, 1991).</w:t>
      </w:r>
    </w:p>
    <w:p w14:paraId="06341A90" w14:textId="59948DBC" w:rsidR="00BA5BCD" w:rsidRDefault="006E3F74" w:rsidP="006E3F74">
      <w:r>
        <w:t>While valuable, the network is not uncommon and the manpower and lease burden may be a liability on a mission shift. Sainsbury's announcement of its goal to align store, SCL and logistics leadership under a single umbrella in 2026 opens a fascinating view on the next steps in the company's transformation into an omnichannel grocery. Looking at the Groceries Online market for the first quarter of 2026/27, it has grown 12.5 per cent, indicating a demand, which needs to be assessed together with the revenue based on fulfilment contribution and substitution rates. VRIO can otherwise be overly introspective and be over-stating familiar assets (Eriksson, Norrman and Kembro, 2022; Knott, 2015).</w:t>
      </w:r>
    </w:p>
    <w:p w14:paraId="17EBCCAC" w14:textId="77777777" w:rsidR="00BA5BCD" w:rsidRDefault="00000000">
      <w:pPr>
        <w:pStyle w:val="Heading2"/>
      </w:pPr>
      <w:bookmarkStart w:id="6" w:name="_Toc234631332"/>
      <w:r>
        <w:t>2.4 SWOT Synthesis</w:t>
      </w:r>
      <w:bookmarkEnd w:id="6"/>
    </w:p>
    <w:p w14:paraId="4C17AB77" w14:textId="77777777" w:rsidR="00BA5BCD" w:rsidRDefault="00000000">
      <w:pPr>
        <w:pStyle w:val="CaptionCustom"/>
      </w:pPr>
      <w:r>
        <w:t>Table 3. Evidence-based SWOT synthesis</w:t>
      </w:r>
    </w:p>
    <w:tbl>
      <w:tblPr>
        <w:tblStyle w:val="TableGrid"/>
        <w:tblW w:w="0" w:type="auto"/>
        <w:jc w:val="center"/>
        <w:tblLayout w:type="fixed"/>
        <w:tblLook w:val="04A0" w:firstRow="1" w:lastRow="0" w:firstColumn="1" w:lastColumn="0" w:noHBand="0" w:noVBand="1"/>
      </w:tblPr>
      <w:tblGrid>
        <w:gridCol w:w="1589"/>
        <w:gridCol w:w="7395"/>
      </w:tblGrid>
      <w:tr w:rsidR="00BA5BCD" w:rsidRPr="006E3F74" w14:paraId="141B439A" w14:textId="77777777" w:rsidTr="006E3F74">
        <w:trPr>
          <w:trHeight w:val="406"/>
          <w:tblHeader/>
          <w:jc w:val="center"/>
        </w:trPr>
        <w:tc>
          <w:tcPr>
            <w:tcW w:w="1589" w:type="dxa"/>
            <w:shd w:val="clear" w:color="auto" w:fill="17324D"/>
            <w:tcMar>
              <w:top w:w="90" w:type="dxa"/>
              <w:left w:w="110" w:type="dxa"/>
              <w:bottom w:w="90" w:type="dxa"/>
              <w:right w:w="110" w:type="dxa"/>
            </w:tcMar>
            <w:vAlign w:val="center"/>
          </w:tcPr>
          <w:p w14:paraId="4319CAEC" w14:textId="77777777" w:rsidR="00BA5BCD" w:rsidRPr="006E3F74" w:rsidRDefault="00000000" w:rsidP="006E3F74">
            <w:pPr>
              <w:spacing w:after="0"/>
              <w:jc w:val="center"/>
              <w:rPr>
                <w:szCs w:val="24"/>
              </w:rPr>
            </w:pPr>
            <w:r w:rsidRPr="006E3F74">
              <w:rPr>
                <w:b/>
                <w:color w:val="FFFFFF"/>
                <w:szCs w:val="24"/>
              </w:rPr>
              <w:t>Dimension</w:t>
            </w:r>
          </w:p>
        </w:tc>
        <w:tc>
          <w:tcPr>
            <w:tcW w:w="7395" w:type="dxa"/>
            <w:shd w:val="clear" w:color="auto" w:fill="17324D"/>
            <w:tcMar>
              <w:top w:w="90" w:type="dxa"/>
              <w:left w:w="110" w:type="dxa"/>
              <w:bottom w:w="90" w:type="dxa"/>
              <w:right w:w="110" w:type="dxa"/>
            </w:tcMar>
            <w:vAlign w:val="center"/>
          </w:tcPr>
          <w:p w14:paraId="4F8A9FA4" w14:textId="77777777" w:rsidR="00BA5BCD" w:rsidRPr="006E3F74" w:rsidRDefault="00000000" w:rsidP="006E3F74">
            <w:pPr>
              <w:spacing w:after="0"/>
              <w:jc w:val="center"/>
              <w:rPr>
                <w:szCs w:val="24"/>
              </w:rPr>
            </w:pPr>
            <w:r w:rsidRPr="006E3F74">
              <w:rPr>
                <w:b/>
                <w:color w:val="FFFFFF"/>
                <w:szCs w:val="24"/>
              </w:rPr>
              <w:t>Prioritised findings</w:t>
            </w:r>
          </w:p>
        </w:tc>
      </w:tr>
      <w:tr w:rsidR="00BA5BCD" w:rsidRPr="006E3F74" w14:paraId="3109F9AD" w14:textId="77777777" w:rsidTr="006E3F74">
        <w:trPr>
          <w:cantSplit/>
          <w:trHeight w:val="1656"/>
          <w:jc w:val="center"/>
        </w:trPr>
        <w:tc>
          <w:tcPr>
            <w:tcW w:w="1589" w:type="dxa"/>
            <w:shd w:val="clear" w:color="auto" w:fill="FFFFFF"/>
            <w:tcMar>
              <w:top w:w="90" w:type="dxa"/>
              <w:left w:w="110" w:type="dxa"/>
              <w:bottom w:w="90" w:type="dxa"/>
              <w:right w:w="110" w:type="dxa"/>
            </w:tcMar>
          </w:tcPr>
          <w:p w14:paraId="74FD296F" w14:textId="77777777" w:rsidR="00BA5BCD" w:rsidRPr="006E3F74" w:rsidRDefault="00000000" w:rsidP="006E3F74">
            <w:pPr>
              <w:spacing w:after="0"/>
              <w:rPr>
                <w:szCs w:val="24"/>
              </w:rPr>
            </w:pPr>
            <w:r w:rsidRPr="006E3F74">
              <w:rPr>
                <w:b/>
                <w:szCs w:val="24"/>
              </w:rPr>
              <w:lastRenderedPageBreak/>
              <w:t>Strengths</w:t>
            </w:r>
          </w:p>
        </w:tc>
        <w:tc>
          <w:tcPr>
            <w:tcW w:w="7395" w:type="dxa"/>
            <w:shd w:val="clear" w:color="auto" w:fill="FFFFFF"/>
            <w:tcMar>
              <w:top w:w="90" w:type="dxa"/>
              <w:left w:w="110" w:type="dxa"/>
              <w:bottom w:w="90" w:type="dxa"/>
              <w:right w:w="110" w:type="dxa"/>
            </w:tcMar>
          </w:tcPr>
          <w:p w14:paraId="2F2B73E6" w14:textId="77777777" w:rsidR="00BA5BCD" w:rsidRPr="006E3F74" w:rsidRDefault="00000000" w:rsidP="006E3F74">
            <w:pPr>
              <w:spacing w:after="0"/>
              <w:rPr>
                <w:szCs w:val="24"/>
              </w:rPr>
            </w:pPr>
            <w:r w:rsidRPr="006E3F74">
              <w:rPr>
                <w:szCs w:val="24"/>
              </w:rPr>
              <w:t>Second-largest national grocery position; improving share; trusted fresh-food brand; Taste the Difference growth; Nectar and Nectar360 data; large store and online network; cash generation; developing farmer partnerships.</w:t>
            </w:r>
          </w:p>
        </w:tc>
      </w:tr>
      <w:tr w:rsidR="00BA5BCD" w:rsidRPr="006E3F74" w14:paraId="3D752A70" w14:textId="77777777" w:rsidTr="006E3F74">
        <w:trPr>
          <w:cantSplit/>
          <w:trHeight w:val="1656"/>
          <w:jc w:val="center"/>
        </w:trPr>
        <w:tc>
          <w:tcPr>
            <w:tcW w:w="1589" w:type="dxa"/>
            <w:shd w:val="clear" w:color="auto" w:fill="F2F4F5"/>
            <w:tcMar>
              <w:top w:w="90" w:type="dxa"/>
              <w:left w:w="110" w:type="dxa"/>
              <w:bottom w:w="90" w:type="dxa"/>
              <w:right w:w="110" w:type="dxa"/>
            </w:tcMar>
          </w:tcPr>
          <w:p w14:paraId="66BC2163" w14:textId="77777777" w:rsidR="00BA5BCD" w:rsidRPr="006E3F74" w:rsidRDefault="00000000" w:rsidP="006E3F74">
            <w:pPr>
              <w:spacing w:after="0"/>
              <w:rPr>
                <w:szCs w:val="24"/>
              </w:rPr>
            </w:pPr>
            <w:r w:rsidRPr="006E3F74">
              <w:rPr>
                <w:b/>
                <w:szCs w:val="24"/>
              </w:rPr>
              <w:t>Weaknesses</w:t>
            </w:r>
          </w:p>
        </w:tc>
        <w:tc>
          <w:tcPr>
            <w:tcW w:w="7395" w:type="dxa"/>
            <w:shd w:val="clear" w:color="auto" w:fill="F2F4F5"/>
            <w:tcMar>
              <w:top w:w="90" w:type="dxa"/>
              <w:left w:w="110" w:type="dxa"/>
              <w:bottom w:w="90" w:type="dxa"/>
              <w:right w:w="110" w:type="dxa"/>
            </w:tcMar>
          </w:tcPr>
          <w:p w14:paraId="5A59AE00" w14:textId="77777777" w:rsidR="00BA5BCD" w:rsidRPr="006E3F74" w:rsidRDefault="00000000" w:rsidP="006E3F74">
            <w:pPr>
              <w:spacing w:after="0"/>
              <w:rPr>
                <w:szCs w:val="24"/>
              </w:rPr>
            </w:pPr>
            <w:r w:rsidRPr="006E3F74">
              <w:rPr>
                <w:szCs w:val="24"/>
              </w:rPr>
              <w:t>Thin retail margin; lower scale than Tesco; price perception requires continuing investment; online fulfilment is operationally complex; sustainability targets have been missed or reset; large estate raises fixed costs.</w:t>
            </w:r>
          </w:p>
        </w:tc>
      </w:tr>
      <w:tr w:rsidR="00BA5BCD" w:rsidRPr="006E3F74" w14:paraId="32DEBAC8" w14:textId="77777777" w:rsidTr="006E3F74">
        <w:trPr>
          <w:cantSplit/>
          <w:trHeight w:val="1656"/>
          <w:jc w:val="center"/>
        </w:trPr>
        <w:tc>
          <w:tcPr>
            <w:tcW w:w="1589" w:type="dxa"/>
            <w:shd w:val="clear" w:color="auto" w:fill="FFFFFF"/>
            <w:tcMar>
              <w:top w:w="90" w:type="dxa"/>
              <w:left w:w="110" w:type="dxa"/>
              <w:bottom w:w="90" w:type="dxa"/>
              <w:right w:w="110" w:type="dxa"/>
            </w:tcMar>
          </w:tcPr>
          <w:p w14:paraId="52E9EEDE" w14:textId="77777777" w:rsidR="00BA5BCD" w:rsidRPr="006E3F74" w:rsidRDefault="00000000" w:rsidP="006E3F74">
            <w:pPr>
              <w:spacing w:after="0"/>
              <w:rPr>
                <w:szCs w:val="24"/>
              </w:rPr>
            </w:pPr>
            <w:r w:rsidRPr="006E3F74">
              <w:rPr>
                <w:b/>
                <w:szCs w:val="24"/>
              </w:rPr>
              <w:t>Opportunities</w:t>
            </w:r>
          </w:p>
        </w:tc>
        <w:tc>
          <w:tcPr>
            <w:tcW w:w="7395" w:type="dxa"/>
            <w:shd w:val="clear" w:color="auto" w:fill="FFFFFF"/>
            <w:tcMar>
              <w:top w:w="90" w:type="dxa"/>
              <w:left w:w="110" w:type="dxa"/>
              <w:bottom w:w="90" w:type="dxa"/>
              <w:right w:w="110" w:type="dxa"/>
            </w:tcMar>
          </w:tcPr>
          <w:p w14:paraId="737D8EDD" w14:textId="77777777" w:rsidR="00BA5BCD" w:rsidRPr="006E3F74" w:rsidRDefault="00000000" w:rsidP="006E3F74">
            <w:pPr>
              <w:spacing w:after="0"/>
              <w:rPr>
                <w:szCs w:val="24"/>
              </w:rPr>
            </w:pPr>
            <w:r w:rsidRPr="006E3F74">
              <w:rPr>
                <w:szCs w:val="24"/>
              </w:rPr>
              <w:t>Affordable health and fibre; privacy-safe personalisation; retail media; demand forecasting and dynamic markdowns; store-based rapid fulfilment; supplier climate adaptation; selective supermarket and convenience openings.</w:t>
            </w:r>
          </w:p>
        </w:tc>
      </w:tr>
      <w:tr w:rsidR="00BA5BCD" w:rsidRPr="006E3F74" w14:paraId="73E024F6" w14:textId="77777777" w:rsidTr="006E3F74">
        <w:trPr>
          <w:cantSplit/>
          <w:trHeight w:val="1656"/>
          <w:jc w:val="center"/>
        </w:trPr>
        <w:tc>
          <w:tcPr>
            <w:tcW w:w="1589" w:type="dxa"/>
            <w:shd w:val="clear" w:color="auto" w:fill="F2F4F5"/>
            <w:tcMar>
              <w:top w:w="90" w:type="dxa"/>
              <w:left w:w="110" w:type="dxa"/>
              <w:bottom w:w="90" w:type="dxa"/>
              <w:right w:w="110" w:type="dxa"/>
            </w:tcMar>
          </w:tcPr>
          <w:p w14:paraId="25B0664C" w14:textId="77777777" w:rsidR="00BA5BCD" w:rsidRPr="006E3F74" w:rsidRDefault="00000000" w:rsidP="006E3F74">
            <w:pPr>
              <w:spacing w:after="0"/>
              <w:rPr>
                <w:szCs w:val="24"/>
              </w:rPr>
            </w:pPr>
            <w:r w:rsidRPr="006E3F74">
              <w:rPr>
                <w:b/>
                <w:szCs w:val="24"/>
              </w:rPr>
              <w:t>Threats</w:t>
            </w:r>
          </w:p>
        </w:tc>
        <w:tc>
          <w:tcPr>
            <w:tcW w:w="7395" w:type="dxa"/>
            <w:shd w:val="clear" w:color="auto" w:fill="F2F4F5"/>
            <w:tcMar>
              <w:top w:w="90" w:type="dxa"/>
              <w:left w:w="110" w:type="dxa"/>
              <w:bottom w:w="90" w:type="dxa"/>
              <w:right w:w="110" w:type="dxa"/>
            </w:tcMar>
          </w:tcPr>
          <w:p w14:paraId="7B512AB4" w14:textId="77777777" w:rsidR="00BA5BCD" w:rsidRPr="006E3F74" w:rsidRDefault="00000000" w:rsidP="006E3F74">
            <w:pPr>
              <w:spacing w:after="0"/>
              <w:rPr>
                <w:szCs w:val="24"/>
              </w:rPr>
            </w:pPr>
            <w:r w:rsidRPr="006E3F74">
              <w:rPr>
                <w:szCs w:val="24"/>
              </w:rPr>
              <w:t>Tesco scale; Aldi and Lidl expansion; M&amp;S premium growth; wage and EPR costs; climate and geopolitical disruption; cyber incidents; customer resistance to intrusive data use; regulation of HFSS products and loyalty practices.</w:t>
            </w:r>
          </w:p>
        </w:tc>
      </w:tr>
    </w:tbl>
    <w:p w14:paraId="343C842F" w14:textId="77777777" w:rsidR="00BA5BCD" w:rsidRDefault="00000000">
      <w:pPr>
        <w:spacing w:line="240" w:lineRule="auto"/>
      </w:pPr>
      <w:r>
        <w:rPr>
          <w:b/>
          <w:i/>
          <w:color w:val="66727D"/>
          <w:sz w:val="19"/>
        </w:rPr>
        <w:t xml:space="preserve">Source: </w:t>
      </w:r>
      <w:r>
        <w:rPr>
          <w:i/>
          <w:color w:val="66727D"/>
          <w:sz w:val="19"/>
        </w:rPr>
        <w:t>Author's synthesis of the PESTEL, Five Forces and VRIO findings.</w:t>
      </w:r>
    </w:p>
    <w:p w14:paraId="0D26C789" w14:textId="6F1B08F6" w:rsidR="008A161B" w:rsidRDefault="008A161B" w:rsidP="008A161B">
      <w:r>
        <w:t>The SWOT synthesis uncovers the SWOT game-changers. First, the insight to build their own brand and label can move the demand for value and health to personalised and low-cost baskets for Nectar. Secondly, availability and waste reduction opportunities can be derived from omnichannel and resilience requirements, by leveraging stores and supplier relationships. The largest discrepancy is monetary involves investing these opportunities and at the same time waiting down the noose of price competition and labour costs that affect margin. A staged programme with benefits gates, is therefore better than a technology 'all at once' release.</w:t>
      </w:r>
    </w:p>
    <w:p w14:paraId="23C19C20" w14:textId="236D3AD0" w:rsidR="008A161B" w:rsidRDefault="008A161B" w:rsidP="008A161B">
      <w:r>
        <w:t xml:space="preserve">The other tension is related to trust. Whilst a personalised price can add value, the more that is profiled, the more customers may feel that they are being manipulated. Varying levels of ambition and delivery are true for sustainability performance as well. These issues are not peripheral reputation concerns, as they help build trust which enables acceptance of own label and long-term supplier relationships, as well </w:t>
      </w:r>
      <w:r>
        <w:lastRenderedPageBreak/>
        <w:t>as data permission. SWOT can only be used in situations where it results in changed choices, for which it is used, unranked lists foster confirmation bias. Thus, margin-safe differentiation and data trust and supply resilience (Helms and Nixon, 2010) are the priorities.</w:t>
      </w:r>
    </w:p>
    <w:p w14:paraId="558F4ACB" w14:textId="77777777" w:rsidR="008A161B" w:rsidRDefault="008A161B" w:rsidP="008A161B">
      <w:pPr>
        <w:pStyle w:val="Heading2"/>
      </w:pPr>
      <w:bookmarkStart w:id="7" w:name="_Toc234631333"/>
      <w:r>
        <w:t>2.5 Suitability of the Existing Strategy</w:t>
      </w:r>
      <w:bookmarkEnd w:id="7"/>
    </w:p>
    <w:p w14:paraId="75353F69" w14:textId="1E577CA2" w:rsidR="008A161B" w:rsidRDefault="008A161B" w:rsidP="008A161B">
      <w:r>
        <w:t>Generally, the direction of the existing Next Level Sainsbury's strategy is appropriate. It is characterised by four outcomes: First choice for food; Loyalty everyone loves; More Argos more often; Save and invest to win; which all relate to capability and cash with respect to customer growth. The following outcomes from the grocery are relevant to addressing the issues identified above: the first, second and fourth outcomes. This approach has helped achieve six years of outperformance in terms of food volume and the highest food volume share in 10 years. Growth in grocery sales in the first quarter of 2026/27 was also 3.6 per cent, with almost one million new regular Digital Nectar users and Groceries Online sales growth of 12.5 per cent. These indicators demonstrate that this relevance to customers isn't just happening for a short burst from the store's promotion (J Sainsbury plc, 2026b, 2026d).</w:t>
      </w:r>
    </w:p>
    <w:p w14:paraId="16CE8E0B" w14:textId="1537ACDA" w:rsidR="008A161B" w:rsidRDefault="008A161B" w:rsidP="008A161B">
      <w:r>
        <w:t>However, likelihood of suitability is a conditional. The strategy has the potential to unlock the value from sales growth, however, retail underlying operating profit declined in 2025/26 despite the growth in sales. Value investment and a much-higher-than-expected operating inflation offset the cost savings of £330m. This doesn't mean that price investment is not correct, volume and share ensure scale economics. It does indicate that the strategy should be more explicit in terms of channel contribution and waste prevention should be accelerated and capital sequencing should be more stringent. Similarly, bricks and mortar locations can increase access, but a bricks and mortar only open when returns and fulfilment value data indicates they need to.</w:t>
      </w:r>
    </w:p>
    <w:p w14:paraId="0D2BE8E2" w14:textId="0C2C63FE" w:rsidR="008A161B" w:rsidRDefault="008A161B" w:rsidP="008A161B">
      <w:r>
        <w:t xml:space="preserve">Sainsbury's strategy can be termed as differentiated value. It's not able to make a credible claim to the lowest total operating cost and pure premium positioning would be in conflict with accessibility. Its benefit lies with cutting the perceived gap in quality to M&amp;S, and Waitrose, and keeping the prices down to Tesco and Aldi that are credible. This position is coherent as long as fresh food ingredients, health, service and personal relevance are still in view as better and as savings do not </w:t>
      </w:r>
      <w:r>
        <w:lastRenderedPageBreak/>
        <w:t>endanger them but rather protect them. The recommended approach is thus far from a reversal of the current approach, but rather focuses it.</w:t>
      </w:r>
    </w:p>
    <w:p w14:paraId="6891D202" w14:textId="77777777" w:rsidR="008A161B" w:rsidRDefault="008A161B" w:rsidP="008A161B">
      <w:pPr>
        <w:pStyle w:val="Heading1"/>
      </w:pPr>
      <w:bookmarkStart w:id="8" w:name="_Toc234631334"/>
      <w:r>
        <w:t>3. Comprehensive and Holistic View</w:t>
      </w:r>
      <w:bookmarkEnd w:id="8"/>
    </w:p>
    <w:p w14:paraId="3D328180" w14:textId="77777777" w:rsidR="008A161B" w:rsidRDefault="008A161B" w:rsidP="008A161B">
      <w:pPr>
        <w:pStyle w:val="Heading2"/>
      </w:pPr>
      <w:bookmarkStart w:id="9" w:name="_Toc234631335"/>
      <w:r>
        <w:t>3.1 Corporate Social Responsibility</w:t>
      </w:r>
      <w:bookmarkEnd w:id="9"/>
    </w:p>
    <w:p w14:paraId="559EDF1E" w14:textId="77777777" w:rsidR="008A161B" w:rsidRDefault="008A161B" w:rsidP="008A161B">
      <w:r>
        <w:t>Plan for Better is in line with the business model, as the quality of food is subjected to climate, nature, farmers, labour standards and access of community. In 2025/26, Sainsbury's saw a 53.6 per cent absolute reduction in its Scope 1 and 2 emissions, compared to 2018/19, with suppliers that have an approved 1.5°C target covering 51.6 per cent of Scope 3 emissions. It saved 11,030 tonnes of surplus food from waste as well; and helped distribute 26.3 million meals. The results include a lower energy and waste cost, and help support their commitment to good food for all (J Sainsbury plc, 2026c) and improve supply chain legitimacy.</w:t>
      </w:r>
    </w:p>
    <w:p w14:paraId="4AE27703" w14:textId="3C69A058" w:rsidR="008A161B" w:rsidRDefault="008A161B" w:rsidP="008A161B">
      <w:r>
        <w:t>The delivery of the strategy is inadequate. Healthy and Better for Your products saw sales tonnages of 82.2 per cent in the direction of a 2025/26 target of 85 per cent. The previous commitment was to reduce own-brand plastic packaging by 50 per cent by 2025 and the relative goal was met as revealed by a 17.9 per cent reduction, and a new packaging approach. While the changes in the metrics may be in response to new rules for EPR, they also reduce the accountability if the shortfall in the original metric is not clearly accounted for and resolved. Acknowledging the missed target is good – the next plan will need to include baselines, material tonnes and other investment / time-bounded recovery targets (J Sainsbury plc, 2026c).</w:t>
      </w:r>
    </w:p>
    <w:p w14:paraId="4241FF67" w14:textId="1B227A95" w:rsidR="00BA5BCD" w:rsidRDefault="008A161B" w:rsidP="008A161B">
      <w:r>
        <w:t xml:space="preserve">A stakeholder approach illuminates the reasons for not defining CSR as philanthropy. The client must be able to access nutrition at an affordable price, suppliers must be provided with contracts to finance the transition, workers must get fair compensation, investors need to be disciplined in investing and community members need access to food. Trade-offs ought to be made clear. Sometimes, increased packaging can help to minimise food waste and longer farmer agreements can come at a short-term cost. These choices, combined with the strengthening of the offer to the farmers, are the ones that transvalue, creating shared value. Therefore, in Board remuneration and capital gates, the outcome measures </w:t>
      </w:r>
      <w:r>
        <w:lastRenderedPageBreak/>
        <w:t>(independently assured) used should not only be based on the number of activities carried out. (Freeman, 1984; Porter and Kramer, 2011).</w:t>
      </w:r>
    </w:p>
    <w:p w14:paraId="78EFDBEB" w14:textId="77777777" w:rsidR="00BA5BCD" w:rsidRDefault="00000000">
      <w:pPr>
        <w:pStyle w:val="Heading2"/>
      </w:pPr>
      <w:bookmarkStart w:id="10" w:name="_Toc234631336"/>
      <w:r>
        <w:t>3.2 Balanced Scorecard</w:t>
      </w:r>
      <w:bookmarkEnd w:id="10"/>
    </w:p>
    <w:p w14:paraId="24D4CDD8" w14:textId="77777777" w:rsidR="00BA5BCD" w:rsidRDefault="00000000" w:rsidP="008A161B">
      <w:r w:rsidRPr="008A161B">
        <w:rPr>
          <w:b/>
          <w:bCs/>
        </w:rPr>
        <w:t>Table 4.</w:t>
      </w:r>
      <w:r>
        <w:t xml:space="preserve"> Proposed Balanced Scorecard for the UK grocery strategy</w:t>
      </w:r>
    </w:p>
    <w:tbl>
      <w:tblPr>
        <w:tblStyle w:val="TableGrid"/>
        <w:tblW w:w="0" w:type="auto"/>
        <w:tblLayout w:type="fixed"/>
        <w:tblLook w:val="04A0" w:firstRow="1" w:lastRow="0" w:firstColumn="1" w:lastColumn="0" w:noHBand="0" w:noVBand="1"/>
      </w:tblPr>
      <w:tblGrid>
        <w:gridCol w:w="1152"/>
        <w:gridCol w:w="1800"/>
        <w:gridCol w:w="1944"/>
        <w:gridCol w:w="2232"/>
        <w:gridCol w:w="2376"/>
      </w:tblGrid>
      <w:tr w:rsidR="00BA5BCD" w:rsidRPr="008A161B" w14:paraId="172DAB96" w14:textId="77777777" w:rsidTr="008A161B">
        <w:trPr>
          <w:tblHeader/>
        </w:trPr>
        <w:tc>
          <w:tcPr>
            <w:tcW w:w="1152" w:type="dxa"/>
            <w:shd w:val="clear" w:color="auto" w:fill="17324D"/>
            <w:tcMar>
              <w:top w:w="90" w:type="dxa"/>
              <w:left w:w="110" w:type="dxa"/>
              <w:bottom w:w="90" w:type="dxa"/>
              <w:right w:w="110" w:type="dxa"/>
            </w:tcMar>
            <w:vAlign w:val="center"/>
          </w:tcPr>
          <w:p w14:paraId="12E99A88" w14:textId="77777777" w:rsidR="00BA5BCD" w:rsidRPr="008A161B" w:rsidRDefault="00000000" w:rsidP="008A161B">
            <w:pPr>
              <w:spacing w:after="0"/>
              <w:jc w:val="center"/>
              <w:rPr>
                <w:szCs w:val="24"/>
              </w:rPr>
            </w:pPr>
            <w:r w:rsidRPr="008A161B">
              <w:rPr>
                <w:b/>
                <w:color w:val="FFFFFF"/>
                <w:szCs w:val="24"/>
              </w:rPr>
              <w:t>Perspective</w:t>
            </w:r>
          </w:p>
        </w:tc>
        <w:tc>
          <w:tcPr>
            <w:tcW w:w="1800" w:type="dxa"/>
            <w:shd w:val="clear" w:color="auto" w:fill="17324D"/>
            <w:tcMar>
              <w:top w:w="90" w:type="dxa"/>
              <w:left w:w="110" w:type="dxa"/>
              <w:bottom w:w="90" w:type="dxa"/>
              <w:right w:w="110" w:type="dxa"/>
            </w:tcMar>
            <w:vAlign w:val="center"/>
          </w:tcPr>
          <w:p w14:paraId="26DA1CB0" w14:textId="77777777" w:rsidR="00BA5BCD" w:rsidRPr="008A161B" w:rsidRDefault="00000000" w:rsidP="008A161B">
            <w:pPr>
              <w:spacing w:after="0"/>
              <w:jc w:val="center"/>
              <w:rPr>
                <w:szCs w:val="24"/>
              </w:rPr>
            </w:pPr>
            <w:r w:rsidRPr="008A161B">
              <w:rPr>
                <w:b/>
                <w:color w:val="FFFFFF"/>
                <w:szCs w:val="24"/>
              </w:rPr>
              <w:t>Objective</w:t>
            </w:r>
          </w:p>
        </w:tc>
        <w:tc>
          <w:tcPr>
            <w:tcW w:w="1944" w:type="dxa"/>
            <w:shd w:val="clear" w:color="auto" w:fill="17324D"/>
            <w:tcMar>
              <w:top w:w="90" w:type="dxa"/>
              <w:left w:w="110" w:type="dxa"/>
              <w:bottom w:w="90" w:type="dxa"/>
              <w:right w:w="110" w:type="dxa"/>
            </w:tcMar>
            <w:vAlign w:val="center"/>
          </w:tcPr>
          <w:p w14:paraId="188B5824" w14:textId="77777777" w:rsidR="00BA5BCD" w:rsidRPr="008A161B" w:rsidRDefault="00000000" w:rsidP="008A161B">
            <w:pPr>
              <w:spacing w:after="0"/>
              <w:jc w:val="center"/>
              <w:rPr>
                <w:szCs w:val="24"/>
              </w:rPr>
            </w:pPr>
            <w:r w:rsidRPr="008A161B">
              <w:rPr>
                <w:b/>
                <w:color w:val="FFFFFF"/>
                <w:szCs w:val="24"/>
              </w:rPr>
              <w:t>KPIs</w:t>
            </w:r>
          </w:p>
        </w:tc>
        <w:tc>
          <w:tcPr>
            <w:tcW w:w="2232" w:type="dxa"/>
            <w:shd w:val="clear" w:color="auto" w:fill="17324D"/>
            <w:tcMar>
              <w:top w:w="90" w:type="dxa"/>
              <w:left w:w="110" w:type="dxa"/>
              <w:bottom w:w="90" w:type="dxa"/>
              <w:right w:w="110" w:type="dxa"/>
            </w:tcMar>
            <w:vAlign w:val="center"/>
          </w:tcPr>
          <w:p w14:paraId="34C12C81" w14:textId="77777777" w:rsidR="00BA5BCD" w:rsidRPr="008A161B" w:rsidRDefault="00000000" w:rsidP="008A161B">
            <w:pPr>
              <w:spacing w:after="0"/>
              <w:jc w:val="center"/>
              <w:rPr>
                <w:szCs w:val="24"/>
              </w:rPr>
            </w:pPr>
            <w:r w:rsidRPr="008A161B">
              <w:rPr>
                <w:b/>
                <w:color w:val="FFFFFF"/>
                <w:szCs w:val="24"/>
              </w:rPr>
              <w:t>Proposed FY2027/28 targets</w:t>
            </w:r>
          </w:p>
        </w:tc>
        <w:tc>
          <w:tcPr>
            <w:tcW w:w="2376" w:type="dxa"/>
            <w:shd w:val="clear" w:color="auto" w:fill="17324D"/>
            <w:tcMar>
              <w:top w:w="90" w:type="dxa"/>
              <w:left w:w="110" w:type="dxa"/>
              <w:bottom w:w="90" w:type="dxa"/>
              <w:right w:w="110" w:type="dxa"/>
            </w:tcMar>
            <w:vAlign w:val="center"/>
          </w:tcPr>
          <w:p w14:paraId="71D51904" w14:textId="77777777" w:rsidR="00BA5BCD" w:rsidRPr="008A161B" w:rsidRDefault="00000000" w:rsidP="008A161B">
            <w:pPr>
              <w:spacing w:after="0"/>
              <w:jc w:val="center"/>
              <w:rPr>
                <w:szCs w:val="24"/>
              </w:rPr>
            </w:pPr>
            <w:r w:rsidRPr="008A161B">
              <w:rPr>
                <w:b/>
                <w:color w:val="FFFFFF"/>
                <w:szCs w:val="24"/>
              </w:rPr>
              <w:t>Priority initiatives</w:t>
            </w:r>
          </w:p>
        </w:tc>
      </w:tr>
      <w:tr w:rsidR="00BA5BCD" w:rsidRPr="008A161B" w14:paraId="04F35623" w14:textId="77777777" w:rsidTr="008A161B">
        <w:trPr>
          <w:cantSplit/>
        </w:trPr>
        <w:tc>
          <w:tcPr>
            <w:tcW w:w="1152" w:type="dxa"/>
            <w:shd w:val="clear" w:color="auto" w:fill="FFFFFF"/>
            <w:tcMar>
              <w:top w:w="90" w:type="dxa"/>
              <w:left w:w="110" w:type="dxa"/>
              <w:bottom w:w="90" w:type="dxa"/>
              <w:right w:w="110" w:type="dxa"/>
            </w:tcMar>
          </w:tcPr>
          <w:p w14:paraId="4E1C5A28" w14:textId="77777777" w:rsidR="00BA5BCD" w:rsidRPr="008A161B" w:rsidRDefault="00000000" w:rsidP="008A161B">
            <w:pPr>
              <w:spacing w:after="0"/>
              <w:rPr>
                <w:szCs w:val="24"/>
              </w:rPr>
            </w:pPr>
            <w:r w:rsidRPr="008A161B">
              <w:rPr>
                <w:b/>
                <w:szCs w:val="24"/>
              </w:rPr>
              <w:t>Financial</w:t>
            </w:r>
          </w:p>
        </w:tc>
        <w:tc>
          <w:tcPr>
            <w:tcW w:w="1800" w:type="dxa"/>
            <w:shd w:val="clear" w:color="auto" w:fill="FFFFFF"/>
            <w:tcMar>
              <w:top w:w="90" w:type="dxa"/>
              <w:left w:w="110" w:type="dxa"/>
              <w:bottom w:w="90" w:type="dxa"/>
              <w:right w:w="110" w:type="dxa"/>
            </w:tcMar>
          </w:tcPr>
          <w:p w14:paraId="30BB8101" w14:textId="77777777" w:rsidR="00BA5BCD" w:rsidRPr="008A161B" w:rsidRDefault="00000000" w:rsidP="008A161B">
            <w:pPr>
              <w:spacing w:after="0"/>
              <w:rPr>
                <w:szCs w:val="24"/>
              </w:rPr>
            </w:pPr>
            <w:r w:rsidRPr="008A161B">
              <w:rPr>
                <w:szCs w:val="24"/>
              </w:rPr>
              <w:t>Restore profitable grocery growth</w:t>
            </w:r>
          </w:p>
        </w:tc>
        <w:tc>
          <w:tcPr>
            <w:tcW w:w="1944" w:type="dxa"/>
            <w:shd w:val="clear" w:color="auto" w:fill="FFFFFF"/>
            <w:tcMar>
              <w:top w:w="90" w:type="dxa"/>
              <w:left w:w="110" w:type="dxa"/>
              <w:bottom w:w="90" w:type="dxa"/>
              <w:right w:w="110" w:type="dxa"/>
            </w:tcMar>
          </w:tcPr>
          <w:p w14:paraId="2450E05A" w14:textId="77777777" w:rsidR="00BA5BCD" w:rsidRPr="008A161B" w:rsidRDefault="00000000" w:rsidP="008A161B">
            <w:pPr>
              <w:spacing w:after="0"/>
              <w:rPr>
                <w:szCs w:val="24"/>
              </w:rPr>
            </w:pPr>
            <w:r w:rsidRPr="008A161B">
              <w:rPr>
                <w:szCs w:val="24"/>
              </w:rPr>
              <w:t>Grocery volume growth versus market; retail underlying operating margin; retail free cash flow; ROCE</w:t>
            </w:r>
          </w:p>
        </w:tc>
        <w:tc>
          <w:tcPr>
            <w:tcW w:w="2232" w:type="dxa"/>
            <w:shd w:val="clear" w:color="auto" w:fill="FFFFFF"/>
            <w:tcMar>
              <w:top w:w="90" w:type="dxa"/>
              <w:left w:w="110" w:type="dxa"/>
              <w:bottom w:w="90" w:type="dxa"/>
              <w:right w:w="110" w:type="dxa"/>
            </w:tcMar>
          </w:tcPr>
          <w:p w14:paraId="4DBBA021" w14:textId="77777777" w:rsidR="00BA5BCD" w:rsidRPr="008A161B" w:rsidRDefault="00000000" w:rsidP="008A161B">
            <w:pPr>
              <w:spacing w:after="0"/>
              <w:rPr>
                <w:szCs w:val="24"/>
              </w:rPr>
            </w:pPr>
            <w:r w:rsidRPr="008A161B">
              <w:rPr>
                <w:szCs w:val="24"/>
              </w:rPr>
              <w:t>+1 percentage point volume outperformance; margin at least 3.5%; FCF above £550m; ROCE at least 9.3% by FY2027/28</w:t>
            </w:r>
          </w:p>
        </w:tc>
        <w:tc>
          <w:tcPr>
            <w:tcW w:w="2376" w:type="dxa"/>
            <w:shd w:val="clear" w:color="auto" w:fill="FFFFFF"/>
            <w:tcMar>
              <w:top w:w="90" w:type="dxa"/>
              <w:left w:w="110" w:type="dxa"/>
              <w:bottom w:w="90" w:type="dxa"/>
              <w:right w:w="110" w:type="dxa"/>
            </w:tcMar>
          </w:tcPr>
          <w:p w14:paraId="31FAFE1C" w14:textId="77777777" w:rsidR="00BA5BCD" w:rsidRPr="008A161B" w:rsidRDefault="00000000" w:rsidP="008A161B">
            <w:pPr>
              <w:spacing w:after="0"/>
              <w:rPr>
                <w:szCs w:val="24"/>
              </w:rPr>
            </w:pPr>
            <w:r w:rsidRPr="008A161B">
              <w:rPr>
                <w:szCs w:val="24"/>
              </w:rPr>
              <w:t>Benefits-led automation; range simplification; channel contribution reporting; stage-gated capital.</w:t>
            </w:r>
          </w:p>
        </w:tc>
      </w:tr>
      <w:tr w:rsidR="00BA5BCD" w:rsidRPr="008A161B" w14:paraId="4B4282C6" w14:textId="77777777" w:rsidTr="008A161B">
        <w:trPr>
          <w:cantSplit/>
        </w:trPr>
        <w:tc>
          <w:tcPr>
            <w:tcW w:w="1152" w:type="dxa"/>
            <w:shd w:val="clear" w:color="auto" w:fill="F2F4F5"/>
            <w:tcMar>
              <w:top w:w="90" w:type="dxa"/>
              <w:left w:w="110" w:type="dxa"/>
              <w:bottom w:w="90" w:type="dxa"/>
              <w:right w:w="110" w:type="dxa"/>
            </w:tcMar>
          </w:tcPr>
          <w:p w14:paraId="063C27A7" w14:textId="77777777" w:rsidR="00BA5BCD" w:rsidRPr="008A161B" w:rsidRDefault="00000000" w:rsidP="008A161B">
            <w:pPr>
              <w:spacing w:after="0"/>
              <w:rPr>
                <w:szCs w:val="24"/>
              </w:rPr>
            </w:pPr>
            <w:r w:rsidRPr="008A161B">
              <w:rPr>
                <w:b/>
                <w:szCs w:val="24"/>
              </w:rPr>
              <w:t>Customer</w:t>
            </w:r>
          </w:p>
        </w:tc>
        <w:tc>
          <w:tcPr>
            <w:tcW w:w="1800" w:type="dxa"/>
            <w:shd w:val="clear" w:color="auto" w:fill="F2F4F5"/>
            <w:tcMar>
              <w:top w:w="90" w:type="dxa"/>
              <w:left w:w="110" w:type="dxa"/>
              <w:bottom w:w="90" w:type="dxa"/>
              <w:right w:w="110" w:type="dxa"/>
            </w:tcMar>
          </w:tcPr>
          <w:p w14:paraId="4CC9E837" w14:textId="77777777" w:rsidR="00BA5BCD" w:rsidRPr="008A161B" w:rsidRDefault="00000000" w:rsidP="008A161B">
            <w:pPr>
              <w:spacing w:after="0"/>
              <w:rPr>
                <w:szCs w:val="24"/>
              </w:rPr>
            </w:pPr>
            <w:r w:rsidRPr="008A161B">
              <w:rPr>
                <w:szCs w:val="24"/>
              </w:rPr>
              <w:t>Be first choice for affordable healthy food</w:t>
            </w:r>
          </w:p>
        </w:tc>
        <w:tc>
          <w:tcPr>
            <w:tcW w:w="1944" w:type="dxa"/>
            <w:shd w:val="clear" w:color="auto" w:fill="F2F4F5"/>
            <w:tcMar>
              <w:top w:w="90" w:type="dxa"/>
              <w:left w:w="110" w:type="dxa"/>
              <w:bottom w:w="90" w:type="dxa"/>
              <w:right w:w="110" w:type="dxa"/>
            </w:tcMar>
          </w:tcPr>
          <w:p w14:paraId="78DE68CF" w14:textId="77777777" w:rsidR="00BA5BCD" w:rsidRPr="008A161B" w:rsidRDefault="00000000" w:rsidP="008A161B">
            <w:pPr>
              <w:spacing w:after="0"/>
              <w:rPr>
                <w:szCs w:val="24"/>
              </w:rPr>
            </w:pPr>
            <w:r w:rsidRPr="008A161B">
              <w:rPr>
                <w:szCs w:val="24"/>
              </w:rPr>
              <w:t>Big-trolley primary customers; CSAT for value, quality and availability; digital Nectar activity; healthy basket mix</w:t>
            </w:r>
          </w:p>
        </w:tc>
        <w:tc>
          <w:tcPr>
            <w:tcW w:w="2232" w:type="dxa"/>
            <w:shd w:val="clear" w:color="auto" w:fill="F2F4F5"/>
            <w:tcMar>
              <w:top w:w="90" w:type="dxa"/>
              <w:left w:w="110" w:type="dxa"/>
              <w:bottom w:w="90" w:type="dxa"/>
              <w:right w:w="110" w:type="dxa"/>
            </w:tcMar>
          </w:tcPr>
          <w:p w14:paraId="0767BD72" w14:textId="77777777" w:rsidR="00BA5BCD" w:rsidRPr="008A161B" w:rsidRDefault="00000000" w:rsidP="008A161B">
            <w:pPr>
              <w:spacing w:after="0"/>
              <w:rPr>
                <w:szCs w:val="24"/>
              </w:rPr>
            </w:pPr>
            <w:r w:rsidRPr="008A161B">
              <w:rPr>
                <w:szCs w:val="24"/>
              </w:rPr>
              <w:t>+300,000 primary shoppers; +2-point CSAT improvement; +10% active digital users; healthy sales tonnage at least 85% by FY2027/28</w:t>
            </w:r>
          </w:p>
        </w:tc>
        <w:tc>
          <w:tcPr>
            <w:tcW w:w="2376" w:type="dxa"/>
            <w:shd w:val="clear" w:color="auto" w:fill="F2F4F5"/>
            <w:tcMar>
              <w:top w:w="90" w:type="dxa"/>
              <w:left w:w="110" w:type="dxa"/>
              <w:bottom w:w="90" w:type="dxa"/>
              <w:right w:w="110" w:type="dxa"/>
            </w:tcMar>
          </w:tcPr>
          <w:p w14:paraId="31DB75CA" w14:textId="77777777" w:rsidR="00BA5BCD" w:rsidRPr="008A161B" w:rsidRDefault="00000000" w:rsidP="008A161B">
            <w:pPr>
              <w:spacing w:after="0"/>
              <w:rPr>
                <w:szCs w:val="24"/>
              </w:rPr>
            </w:pPr>
            <w:r w:rsidRPr="008A161B">
              <w:rPr>
                <w:szCs w:val="24"/>
              </w:rPr>
              <w:t>Good Food, Smart Value offers; transparent personalisation; fibre and fresh meal missions; quality guarantees.</w:t>
            </w:r>
          </w:p>
        </w:tc>
      </w:tr>
      <w:tr w:rsidR="00BA5BCD" w:rsidRPr="008A161B" w14:paraId="4C8B6B00" w14:textId="77777777" w:rsidTr="008A161B">
        <w:trPr>
          <w:cantSplit/>
        </w:trPr>
        <w:tc>
          <w:tcPr>
            <w:tcW w:w="1152" w:type="dxa"/>
            <w:shd w:val="clear" w:color="auto" w:fill="FFFFFF"/>
            <w:tcMar>
              <w:top w:w="90" w:type="dxa"/>
              <w:left w:w="110" w:type="dxa"/>
              <w:bottom w:w="90" w:type="dxa"/>
              <w:right w:w="110" w:type="dxa"/>
            </w:tcMar>
          </w:tcPr>
          <w:p w14:paraId="519FCF34" w14:textId="77777777" w:rsidR="00BA5BCD" w:rsidRPr="008A161B" w:rsidRDefault="00000000" w:rsidP="008A161B">
            <w:pPr>
              <w:spacing w:after="0"/>
              <w:rPr>
                <w:szCs w:val="24"/>
              </w:rPr>
            </w:pPr>
            <w:r w:rsidRPr="008A161B">
              <w:rPr>
                <w:b/>
                <w:szCs w:val="24"/>
              </w:rPr>
              <w:lastRenderedPageBreak/>
              <w:t>Internal processes</w:t>
            </w:r>
          </w:p>
        </w:tc>
        <w:tc>
          <w:tcPr>
            <w:tcW w:w="1800" w:type="dxa"/>
            <w:shd w:val="clear" w:color="auto" w:fill="FFFFFF"/>
            <w:tcMar>
              <w:top w:w="90" w:type="dxa"/>
              <w:left w:w="110" w:type="dxa"/>
              <w:bottom w:w="90" w:type="dxa"/>
              <w:right w:w="110" w:type="dxa"/>
            </w:tcMar>
          </w:tcPr>
          <w:p w14:paraId="7ADCDF98" w14:textId="77777777" w:rsidR="00BA5BCD" w:rsidRPr="008A161B" w:rsidRDefault="00000000" w:rsidP="008A161B">
            <w:pPr>
              <w:spacing w:after="0"/>
              <w:rPr>
                <w:szCs w:val="24"/>
              </w:rPr>
            </w:pPr>
            <w:r w:rsidRPr="008A161B">
              <w:rPr>
                <w:szCs w:val="24"/>
              </w:rPr>
              <w:t>Improve availability, fulfilment and resilience with less waste</w:t>
            </w:r>
          </w:p>
        </w:tc>
        <w:tc>
          <w:tcPr>
            <w:tcW w:w="1944" w:type="dxa"/>
            <w:shd w:val="clear" w:color="auto" w:fill="FFFFFF"/>
            <w:tcMar>
              <w:top w:w="90" w:type="dxa"/>
              <w:left w:w="110" w:type="dxa"/>
              <w:bottom w:w="90" w:type="dxa"/>
              <w:right w:w="110" w:type="dxa"/>
            </w:tcMar>
          </w:tcPr>
          <w:p w14:paraId="067AC508" w14:textId="77777777" w:rsidR="00BA5BCD" w:rsidRPr="008A161B" w:rsidRDefault="00000000" w:rsidP="008A161B">
            <w:pPr>
              <w:spacing w:after="0"/>
              <w:rPr>
                <w:szCs w:val="24"/>
              </w:rPr>
            </w:pPr>
            <w:r w:rsidRPr="008A161B">
              <w:rPr>
                <w:szCs w:val="24"/>
              </w:rPr>
              <w:t>Online order completeness; forecast error; fresh-food waste; planned miles per order; strategic suppliers with approved resilience plans</w:t>
            </w:r>
          </w:p>
        </w:tc>
        <w:tc>
          <w:tcPr>
            <w:tcW w:w="2232" w:type="dxa"/>
            <w:shd w:val="clear" w:color="auto" w:fill="FFFFFF"/>
            <w:tcMar>
              <w:top w:w="90" w:type="dxa"/>
              <w:left w:w="110" w:type="dxa"/>
              <w:bottom w:w="90" w:type="dxa"/>
              <w:right w:w="110" w:type="dxa"/>
            </w:tcMar>
          </w:tcPr>
          <w:p w14:paraId="2EE56C4B" w14:textId="77777777" w:rsidR="00BA5BCD" w:rsidRPr="008A161B" w:rsidRDefault="00000000" w:rsidP="008A161B">
            <w:pPr>
              <w:spacing w:after="0"/>
              <w:rPr>
                <w:szCs w:val="24"/>
              </w:rPr>
            </w:pPr>
            <w:r w:rsidRPr="008A161B">
              <w:rPr>
                <w:szCs w:val="24"/>
              </w:rPr>
              <w:t>Order completeness at least 98%; forecast error down 15%; fresh waste down 20%; miles per order down 10%; 80% high-impact suppliers covered by FY2027/28</w:t>
            </w:r>
          </w:p>
        </w:tc>
        <w:tc>
          <w:tcPr>
            <w:tcW w:w="2376" w:type="dxa"/>
            <w:shd w:val="clear" w:color="auto" w:fill="FFFFFF"/>
            <w:tcMar>
              <w:top w:w="90" w:type="dxa"/>
              <w:left w:w="110" w:type="dxa"/>
              <w:bottom w:w="90" w:type="dxa"/>
              <w:right w:w="110" w:type="dxa"/>
            </w:tcMar>
          </w:tcPr>
          <w:p w14:paraId="32784F6A" w14:textId="77777777" w:rsidR="00BA5BCD" w:rsidRPr="008A161B" w:rsidRDefault="00000000" w:rsidP="008A161B">
            <w:pPr>
              <w:spacing w:after="0"/>
              <w:rPr>
                <w:szCs w:val="24"/>
              </w:rPr>
            </w:pPr>
            <w:r w:rsidRPr="008A161B">
              <w:rPr>
                <w:szCs w:val="24"/>
              </w:rPr>
              <w:t>Integrated demand sensing; dynamic markdowns; store fulfilment cells; supplier control tower; dual-source critical lines.</w:t>
            </w:r>
          </w:p>
        </w:tc>
      </w:tr>
      <w:tr w:rsidR="00BA5BCD" w:rsidRPr="008A161B" w14:paraId="52758ED9" w14:textId="77777777" w:rsidTr="008A161B">
        <w:trPr>
          <w:cantSplit/>
        </w:trPr>
        <w:tc>
          <w:tcPr>
            <w:tcW w:w="1152" w:type="dxa"/>
            <w:shd w:val="clear" w:color="auto" w:fill="F2F4F5"/>
            <w:tcMar>
              <w:top w:w="90" w:type="dxa"/>
              <w:left w:w="110" w:type="dxa"/>
              <w:bottom w:w="90" w:type="dxa"/>
              <w:right w:w="110" w:type="dxa"/>
            </w:tcMar>
          </w:tcPr>
          <w:p w14:paraId="1B94C282" w14:textId="77777777" w:rsidR="00BA5BCD" w:rsidRPr="008A161B" w:rsidRDefault="00000000" w:rsidP="008A161B">
            <w:pPr>
              <w:spacing w:after="0"/>
              <w:rPr>
                <w:szCs w:val="24"/>
              </w:rPr>
            </w:pPr>
            <w:r w:rsidRPr="008A161B">
              <w:rPr>
                <w:b/>
                <w:szCs w:val="24"/>
              </w:rPr>
              <w:t>Learning and growth</w:t>
            </w:r>
          </w:p>
        </w:tc>
        <w:tc>
          <w:tcPr>
            <w:tcW w:w="1800" w:type="dxa"/>
            <w:shd w:val="clear" w:color="auto" w:fill="F2F4F5"/>
            <w:tcMar>
              <w:top w:w="90" w:type="dxa"/>
              <w:left w:w="110" w:type="dxa"/>
              <w:bottom w:w="90" w:type="dxa"/>
              <w:right w:w="110" w:type="dxa"/>
            </w:tcMar>
          </w:tcPr>
          <w:p w14:paraId="34F6B118" w14:textId="77777777" w:rsidR="00BA5BCD" w:rsidRPr="008A161B" w:rsidRDefault="00000000" w:rsidP="008A161B">
            <w:pPr>
              <w:spacing w:after="0"/>
              <w:rPr>
                <w:szCs w:val="24"/>
              </w:rPr>
            </w:pPr>
            <w:r w:rsidRPr="008A161B">
              <w:rPr>
                <w:szCs w:val="24"/>
              </w:rPr>
              <w:t>Build a trusted data and improvement culture</w:t>
            </w:r>
          </w:p>
        </w:tc>
        <w:tc>
          <w:tcPr>
            <w:tcW w:w="1944" w:type="dxa"/>
            <w:shd w:val="clear" w:color="auto" w:fill="F2F4F5"/>
            <w:tcMar>
              <w:top w:w="90" w:type="dxa"/>
              <w:left w:w="110" w:type="dxa"/>
              <w:bottom w:w="90" w:type="dxa"/>
              <w:right w:w="110" w:type="dxa"/>
            </w:tcMar>
          </w:tcPr>
          <w:p w14:paraId="76F4C493" w14:textId="77777777" w:rsidR="00BA5BCD" w:rsidRPr="008A161B" w:rsidRDefault="00000000" w:rsidP="008A161B">
            <w:pPr>
              <w:spacing w:after="0"/>
              <w:rPr>
                <w:szCs w:val="24"/>
              </w:rPr>
            </w:pPr>
            <w:r w:rsidRPr="008A161B">
              <w:rPr>
                <w:szCs w:val="24"/>
              </w:rPr>
              <w:t>Colleague engagement; digital and data accreditation; privacy incidents; cyber exercises; implemented frontline ideas</w:t>
            </w:r>
          </w:p>
        </w:tc>
        <w:tc>
          <w:tcPr>
            <w:tcW w:w="2232" w:type="dxa"/>
            <w:shd w:val="clear" w:color="auto" w:fill="F2F4F5"/>
            <w:tcMar>
              <w:top w:w="90" w:type="dxa"/>
              <w:left w:w="110" w:type="dxa"/>
              <w:bottom w:w="90" w:type="dxa"/>
              <w:right w:w="110" w:type="dxa"/>
            </w:tcMar>
          </w:tcPr>
          <w:p w14:paraId="272639F5" w14:textId="77777777" w:rsidR="00BA5BCD" w:rsidRPr="008A161B" w:rsidRDefault="00000000" w:rsidP="008A161B">
            <w:pPr>
              <w:spacing w:after="0"/>
              <w:rPr>
                <w:szCs w:val="24"/>
              </w:rPr>
            </w:pPr>
            <w:r w:rsidRPr="008A161B">
              <w:rPr>
                <w:szCs w:val="24"/>
              </w:rPr>
              <w:t>+3 engagement points; 90% of relevant roles accredited; zero material privacy breaches; two enterprise simulations yearly; 1,000 verified ideas</w:t>
            </w:r>
          </w:p>
        </w:tc>
        <w:tc>
          <w:tcPr>
            <w:tcW w:w="2376" w:type="dxa"/>
            <w:shd w:val="clear" w:color="auto" w:fill="F2F4F5"/>
            <w:tcMar>
              <w:top w:w="90" w:type="dxa"/>
              <w:left w:w="110" w:type="dxa"/>
              <w:bottom w:w="90" w:type="dxa"/>
              <w:right w:w="110" w:type="dxa"/>
            </w:tcMar>
          </w:tcPr>
          <w:p w14:paraId="008A3DE8" w14:textId="77777777" w:rsidR="00BA5BCD" w:rsidRPr="008A161B" w:rsidRDefault="00000000" w:rsidP="008A161B">
            <w:pPr>
              <w:spacing w:after="0"/>
              <w:rPr>
                <w:szCs w:val="24"/>
              </w:rPr>
            </w:pPr>
            <w:r w:rsidRPr="008A161B">
              <w:rPr>
                <w:szCs w:val="24"/>
              </w:rPr>
              <w:t>Cross-functional product teams; protected training time; model governance; incident rehearsals; colleague innovation fund.</w:t>
            </w:r>
          </w:p>
        </w:tc>
      </w:tr>
    </w:tbl>
    <w:p w14:paraId="32E02ECA" w14:textId="77777777" w:rsidR="00BA5BCD" w:rsidRDefault="00000000">
      <w:pPr>
        <w:spacing w:line="240" w:lineRule="auto"/>
      </w:pPr>
      <w:r>
        <w:rPr>
          <w:b/>
          <w:i/>
          <w:color w:val="66727D"/>
          <w:sz w:val="19"/>
        </w:rPr>
        <w:t xml:space="preserve">Source: </w:t>
      </w:r>
      <w:r>
        <w:rPr>
          <w:i/>
          <w:color w:val="66727D"/>
          <w:sz w:val="19"/>
        </w:rPr>
        <w:t>Author's proposals based on Kaplan and Norton (1992) and current performance reported by J Sainsbury plc (2026a, 2026d).</w:t>
      </w:r>
    </w:p>
    <w:p w14:paraId="596ADF4A" w14:textId="48A7C457" w:rsidR="008A161B" w:rsidRDefault="008A161B" w:rsidP="008A161B">
      <w:r>
        <w:t xml:space="preserve">The scorecard delves into how the purpose is managed as a cause-and-effect logic that is testable. Skills, trust and engagement should help to better forecast and service, better processes help to better customer preference, and better customer growth helps to margin and cash better. Targets are proposed and are specific but must be approved by the Board once baseline is validated. They shouldn't be wholly deviant goals that allow for gaming. Waste reduction, for instance, should not compromise availability and personalisation should not increase sales--by unfair </w:t>
      </w:r>
      <w:r>
        <w:lastRenderedPageBreak/>
        <w:t>exclusion. The model of Kaplan and Norton is therefore adopted here as a learning system that not only provides performance dashboard, but is used in pairs of measures and quarterly strategic review.</w:t>
      </w:r>
    </w:p>
    <w:p w14:paraId="7404F7EA" w14:textId="77777777" w:rsidR="008A161B" w:rsidRDefault="008A161B" w:rsidP="008A161B">
      <w:pPr>
        <w:pStyle w:val="Heading1"/>
      </w:pPr>
      <w:bookmarkStart w:id="11" w:name="_Toc234631337"/>
      <w:r>
        <w:t>4. Strategic Choices and Implementation</w:t>
      </w:r>
      <w:bookmarkEnd w:id="11"/>
    </w:p>
    <w:p w14:paraId="7DA7CAA2" w14:textId="77777777" w:rsidR="008A161B" w:rsidRDefault="008A161B" w:rsidP="008A161B">
      <w:pPr>
        <w:pStyle w:val="Heading2"/>
      </w:pPr>
      <w:bookmarkStart w:id="12" w:name="_Toc234631338"/>
      <w:r>
        <w:t>4.1 Strategic Options</w:t>
      </w:r>
      <w:bookmarkEnd w:id="12"/>
    </w:p>
    <w:p w14:paraId="2915A828" w14:textId="77777777" w:rsidR="008A161B" w:rsidRDefault="008A161B" w:rsidP="008A161B">
      <w:r>
        <w:t>There are three reasonable possibilities on the business level. With pure cost leadership, there would be an increase in price matching, heavy ranging and automation. It provides scope for the customer pressure but has at the same time strategic weaknesses: Tesco is significantly larger and Aldi and Lidl have much simpler business models. Broad differentiation on the other hand is obtained by fresh quality, healthy affordability, personalisation and service. They employ Sainsbury's most reliable elements and ensure value pricing with well-known products. The third possibility is the speedy market development of increased shops and quick delivery. Selective openings are appealing, and growth is imitating but growth prior to the proposition becoming more unique may be fixed cost (Porter, 1985).</w:t>
      </w:r>
    </w:p>
    <w:p w14:paraId="3EE0D163" w14:textId="77777777" w:rsidR="008A161B" w:rsidRDefault="008A161B" w:rsidP="008A161B">
      <w:r>
        <w:t>The first market growth direction is market penetration: getting more of the main-shop customers in the existing grocery market in the UK (as supported by Ansoff's Matrix). The secondary path of product development is via healthy own-label meals, higher fibre products and data driven services. Food strategy would be either geographically spread out or through unrelated expansion, which would dilute food strategy and take management focus. So, the recommendation is to go "deep" first, then "wide". The selective new stores is not the strategy, it is a facilitating channel (Ansoff, 1957).</w:t>
      </w:r>
    </w:p>
    <w:p w14:paraId="2EA92E2B" w14:textId="3A49D85E" w:rsidR="00BA5BCD" w:rsidRDefault="008A161B" w:rsidP="008A161B">
      <w:r>
        <w:t xml:space="preserve">BCG Matrix is not a portfolio tool and the scope defined in this report is one grocery business, therefore this matrix does not lend much value in making decisions. Marketing the UK grocery as a cash cow (based on market growth and share) would be to dismiss the ongoing investments required, the importance of changing marketing channels and the fact that Sainsbury's stock is significantly lower than Tesco's. So, BCG is only used as a caution to not use the funds allocated for groceries for another diversification. Instead, contribution, growth, customer role and </w:t>
      </w:r>
      <w:r>
        <w:lastRenderedPageBreak/>
        <w:t>strategic fit should be based on factors not publicly disclosed and used to make category-level portfolio decisions.</w:t>
      </w:r>
    </w:p>
    <w:p w14:paraId="2B5CEF72" w14:textId="77777777" w:rsidR="00BA5BCD" w:rsidRDefault="00000000">
      <w:pPr>
        <w:pStyle w:val="Heading2"/>
      </w:pPr>
      <w:bookmarkStart w:id="13" w:name="_Toc234631339"/>
      <w:r>
        <w:t>4.2 SAFe Evaluation</w:t>
      </w:r>
      <w:bookmarkEnd w:id="13"/>
    </w:p>
    <w:p w14:paraId="275AA3A6" w14:textId="77777777" w:rsidR="00BA5BCD" w:rsidRDefault="00000000" w:rsidP="008A161B">
      <w:r w:rsidRPr="008A161B">
        <w:rPr>
          <w:b/>
          <w:bCs/>
        </w:rPr>
        <w:t>Table 5</w:t>
      </w:r>
      <w:r>
        <w:t>. Weighted SAFe evaluation of strategic options</w:t>
      </w:r>
    </w:p>
    <w:tbl>
      <w:tblPr>
        <w:tblStyle w:val="TableGrid"/>
        <w:tblW w:w="9504" w:type="dxa"/>
        <w:tblLayout w:type="fixed"/>
        <w:tblLook w:val="04A0" w:firstRow="1" w:lastRow="0" w:firstColumn="1" w:lastColumn="0" w:noHBand="0" w:noVBand="1"/>
      </w:tblPr>
      <w:tblGrid>
        <w:gridCol w:w="1460"/>
        <w:gridCol w:w="1440"/>
        <w:gridCol w:w="1564"/>
        <w:gridCol w:w="1224"/>
        <w:gridCol w:w="1224"/>
        <w:gridCol w:w="2592"/>
      </w:tblGrid>
      <w:tr w:rsidR="00BA5BCD" w:rsidRPr="008A161B" w14:paraId="2339C8BE" w14:textId="77777777" w:rsidTr="008A161B">
        <w:trPr>
          <w:tblHeader/>
        </w:trPr>
        <w:tc>
          <w:tcPr>
            <w:tcW w:w="1460" w:type="dxa"/>
            <w:shd w:val="clear" w:color="auto" w:fill="17324D"/>
            <w:tcMar>
              <w:top w:w="90" w:type="dxa"/>
              <w:left w:w="110" w:type="dxa"/>
              <w:bottom w:w="90" w:type="dxa"/>
              <w:right w:w="110" w:type="dxa"/>
            </w:tcMar>
            <w:vAlign w:val="center"/>
          </w:tcPr>
          <w:p w14:paraId="5B44CE1D" w14:textId="77777777" w:rsidR="00BA5BCD" w:rsidRPr="008A161B" w:rsidRDefault="00000000" w:rsidP="008A161B">
            <w:pPr>
              <w:spacing w:after="0"/>
              <w:jc w:val="center"/>
              <w:rPr>
                <w:szCs w:val="24"/>
              </w:rPr>
            </w:pPr>
            <w:r w:rsidRPr="008A161B">
              <w:rPr>
                <w:b/>
                <w:color w:val="FFFFFF"/>
                <w:szCs w:val="24"/>
              </w:rPr>
              <w:t>Option</w:t>
            </w:r>
          </w:p>
        </w:tc>
        <w:tc>
          <w:tcPr>
            <w:tcW w:w="1440" w:type="dxa"/>
            <w:shd w:val="clear" w:color="auto" w:fill="17324D"/>
            <w:tcMar>
              <w:top w:w="90" w:type="dxa"/>
              <w:left w:w="110" w:type="dxa"/>
              <w:bottom w:w="90" w:type="dxa"/>
              <w:right w:w="110" w:type="dxa"/>
            </w:tcMar>
            <w:vAlign w:val="center"/>
          </w:tcPr>
          <w:p w14:paraId="79A41692" w14:textId="77777777" w:rsidR="00BA5BCD" w:rsidRPr="008A161B" w:rsidRDefault="00000000" w:rsidP="008A161B">
            <w:pPr>
              <w:spacing w:after="0"/>
              <w:jc w:val="center"/>
              <w:rPr>
                <w:szCs w:val="24"/>
              </w:rPr>
            </w:pPr>
            <w:r w:rsidRPr="008A161B">
              <w:rPr>
                <w:b/>
                <w:color w:val="FFFFFF"/>
                <w:szCs w:val="24"/>
              </w:rPr>
              <w:t>Suitability 40%</w:t>
            </w:r>
          </w:p>
        </w:tc>
        <w:tc>
          <w:tcPr>
            <w:tcW w:w="1564" w:type="dxa"/>
            <w:shd w:val="clear" w:color="auto" w:fill="17324D"/>
            <w:tcMar>
              <w:top w:w="90" w:type="dxa"/>
              <w:left w:w="110" w:type="dxa"/>
              <w:bottom w:w="90" w:type="dxa"/>
              <w:right w:w="110" w:type="dxa"/>
            </w:tcMar>
            <w:vAlign w:val="center"/>
          </w:tcPr>
          <w:p w14:paraId="2702D414" w14:textId="77777777" w:rsidR="00BA5BCD" w:rsidRPr="008A161B" w:rsidRDefault="00000000" w:rsidP="008A161B">
            <w:pPr>
              <w:spacing w:after="0"/>
              <w:jc w:val="center"/>
              <w:rPr>
                <w:szCs w:val="24"/>
              </w:rPr>
            </w:pPr>
            <w:r w:rsidRPr="008A161B">
              <w:rPr>
                <w:b/>
                <w:color w:val="FFFFFF"/>
                <w:szCs w:val="24"/>
              </w:rPr>
              <w:t>Acceptability 30%</w:t>
            </w:r>
          </w:p>
        </w:tc>
        <w:tc>
          <w:tcPr>
            <w:tcW w:w="1224" w:type="dxa"/>
            <w:shd w:val="clear" w:color="auto" w:fill="17324D"/>
            <w:tcMar>
              <w:top w:w="90" w:type="dxa"/>
              <w:left w:w="110" w:type="dxa"/>
              <w:bottom w:w="90" w:type="dxa"/>
              <w:right w:w="110" w:type="dxa"/>
            </w:tcMar>
            <w:vAlign w:val="center"/>
          </w:tcPr>
          <w:p w14:paraId="328ED29E" w14:textId="77777777" w:rsidR="00BA5BCD" w:rsidRPr="008A161B" w:rsidRDefault="00000000" w:rsidP="008A161B">
            <w:pPr>
              <w:spacing w:after="0"/>
              <w:jc w:val="center"/>
              <w:rPr>
                <w:szCs w:val="24"/>
              </w:rPr>
            </w:pPr>
            <w:r w:rsidRPr="008A161B">
              <w:rPr>
                <w:b/>
                <w:color w:val="FFFFFF"/>
                <w:szCs w:val="24"/>
              </w:rPr>
              <w:t>Feasibility 30%</w:t>
            </w:r>
          </w:p>
        </w:tc>
        <w:tc>
          <w:tcPr>
            <w:tcW w:w="1224" w:type="dxa"/>
            <w:shd w:val="clear" w:color="auto" w:fill="17324D"/>
            <w:tcMar>
              <w:top w:w="90" w:type="dxa"/>
              <w:left w:w="110" w:type="dxa"/>
              <w:bottom w:w="90" w:type="dxa"/>
              <w:right w:w="110" w:type="dxa"/>
            </w:tcMar>
            <w:vAlign w:val="center"/>
          </w:tcPr>
          <w:p w14:paraId="2C32B896" w14:textId="77777777" w:rsidR="00BA5BCD" w:rsidRPr="008A161B" w:rsidRDefault="00000000" w:rsidP="008A161B">
            <w:pPr>
              <w:spacing w:after="0"/>
              <w:jc w:val="center"/>
              <w:rPr>
                <w:szCs w:val="24"/>
              </w:rPr>
            </w:pPr>
            <w:r w:rsidRPr="008A161B">
              <w:rPr>
                <w:b/>
                <w:color w:val="FFFFFF"/>
                <w:szCs w:val="24"/>
              </w:rPr>
              <w:t>Weighted score /5</w:t>
            </w:r>
          </w:p>
        </w:tc>
        <w:tc>
          <w:tcPr>
            <w:tcW w:w="2592" w:type="dxa"/>
            <w:shd w:val="clear" w:color="auto" w:fill="17324D"/>
            <w:tcMar>
              <w:top w:w="90" w:type="dxa"/>
              <w:left w:w="110" w:type="dxa"/>
              <w:bottom w:w="90" w:type="dxa"/>
              <w:right w:w="110" w:type="dxa"/>
            </w:tcMar>
            <w:vAlign w:val="center"/>
          </w:tcPr>
          <w:p w14:paraId="30E02D62" w14:textId="77777777" w:rsidR="00BA5BCD" w:rsidRPr="008A161B" w:rsidRDefault="00000000" w:rsidP="008A161B">
            <w:pPr>
              <w:spacing w:after="0"/>
              <w:jc w:val="center"/>
              <w:rPr>
                <w:szCs w:val="24"/>
              </w:rPr>
            </w:pPr>
            <w:r w:rsidRPr="008A161B">
              <w:rPr>
                <w:b/>
                <w:color w:val="FFFFFF"/>
                <w:szCs w:val="24"/>
              </w:rPr>
              <w:t>Critical judgement</w:t>
            </w:r>
          </w:p>
        </w:tc>
      </w:tr>
      <w:tr w:rsidR="00BA5BCD" w:rsidRPr="008A161B" w14:paraId="67519DC9" w14:textId="77777777" w:rsidTr="008A161B">
        <w:trPr>
          <w:cantSplit/>
        </w:trPr>
        <w:tc>
          <w:tcPr>
            <w:tcW w:w="1460" w:type="dxa"/>
            <w:shd w:val="clear" w:color="auto" w:fill="FFFFFF"/>
            <w:tcMar>
              <w:top w:w="90" w:type="dxa"/>
              <w:left w:w="110" w:type="dxa"/>
              <w:bottom w:w="90" w:type="dxa"/>
              <w:right w:w="110" w:type="dxa"/>
            </w:tcMar>
          </w:tcPr>
          <w:p w14:paraId="7AD6E714" w14:textId="77777777" w:rsidR="00BA5BCD" w:rsidRPr="008A161B" w:rsidRDefault="00000000" w:rsidP="008A161B">
            <w:pPr>
              <w:spacing w:after="0"/>
              <w:rPr>
                <w:szCs w:val="24"/>
              </w:rPr>
            </w:pPr>
            <w:r w:rsidRPr="008A161B">
              <w:rPr>
                <w:b/>
                <w:szCs w:val="24"/>
              </w:rPr>
              <w:t>Pure cost leadership</w:t>
            </w:r>
          </w:p>
        </w:tc>
        <w:tc>
          <w:tcPr>
            <w:tcW w:w="1440" w:type="dxa"/>
            <w:shd w:val="clear" w:color="auto" w:fill="FFFFFF"/>
            <w:tcMar>
              <w:top w:w="90" w:type="dxa"/>
              <w:left w:w="110" w:type="dxa"/>
              <w:bottom w:w="90" w:type="dxa"/>
              <w:right w:w="110" w:type="dxa"/>
            </w:tcMar>
          </w:tcPr>
          <w:p w14:paraId="216BE41A" w14:textId="77777777" w:rsidR="00BA5BCD" w:rsidRPr="008A161B" w:rsidRDefault="00000000" w:rsidP="008A161B">
            <w:pPr>
              <w:spacing w:after="0"/>
              <w:rPr>
                <w:szCs w:val="24"/>
              </w:rPr>
            </w:pPr>
            <w:r w:rsidRPr="008A161B">
              <w:rPr>
                <w:szCs w:val="24"/>
              </w:rPr>
              <w:t>2.5</w:t>
            </w:r>
          </w:p>
        </w:tc>
        <w:tc>
          <w:tcPr>
            <w:tcW w:w="1564" w:type="dxa"/>
            <w:shd w:val="clear" w:color="auto" w:fill="FFFFFF"/>
            <w:tcMar>
              <w:top w:w="90" w:type="dxa"/>
              <w:left w:w="110" w:type="dxa"/>
              <w:bottom w:w="90" w:type="dxa"/>
              <w:right w:w="110" w:type="dxa"/>
            </w:tcMar>
          </w:tcPr>
          <w:p w14:paraId="431A7A69" w14:textId="77777777" w:rsidR="00BA5BCD" w:rsidRPr="008A161B" w:rsidRDefault="00000000" w:rsidP="008A161B">
            <w:pPr>
              <w:spacing w:after="0"/>
              <w:rPr>
                <w:szCs w:val="24"/>
              </w:rPr>
            </w:pPr>
            <w:r w:rsidRPr="008A161B">
              <w:rPr>
                <w:szCs w:val="24"/>
              </w:rPr>
              <w:t>2.8</w:t>
            </w:r>
          </w:p>
        </w:tc>
        <w:tc>
          <w:tcPr>
            <w:tcW w:w="1224" w:type="dxa"/>
            <w:shd w:val="clear" w:color="auto" w:fill="FFFFFF"/>
            <w:tcMar>
              <w:top w:w="90" w:type="dxa"/>
              <w:left w:w="110" w:type="dxa"/>
              <w:bottom w:w="90" w:type="dxa"/>
              <w:right w:w="110" w:type="dxa"/>
            </w:tcMar>
          </w:tcPr>
          <w:p w14:paraId="69D6D420" w14:textId="77777777" w:rsidR="00BA5BCD" w:rsidRPr="008A161B" w:rsidRDefault="00000000" w:rsidP="008A161B">
            <w:pPr>
              <w:spacing w:after="0"/>
              <w:rPr>
                <w:szCs w:val="24"/>
              </w:rPr>
            </w:pPr>
            <w:r w:rsidRPr="008A161B">
              <w:rPr>
                <w:szCs w:val="24"/>
              </w:rPr>
              <w:t>2.6</w:t>
            </w:r>
          </w:p>
        </w:tc>
        <w:tc>
          <w:tcPr>
            <w:tcW w:w="1224" w:type="dxa"/>
            <w:shd w:val="clear" w:color="auto" w:fill="FFFFFF"/>
            <w:tcMar>
              <w:top w:w="90" w:type="dxa"/>
              <w:left w:w="110" w:type="dxa"/>
              <w:bottom w:w="90" w:type="dxa"/>
              <w:right w:w="110" w:type="dxa"/>
            </w:tcMar>
          </w:tcPr>
          <w:p w14:paraId="7194C27D" w14:textId="77777777" w:rsidR="00BA5BCD" w:rsidRPr="008A161B" w:rsidRDefault="00000000" w:rsidP="008A161B">
            <w:pPr>
              <w:spacing w:after="0"/>
              <w:rPr>
                <w:szCs w:val="24"/>
              </w:rPr>
            </w:pPr>
            <w:r w:rsidRPr="008A161B">
              <w:rPr>
                <w:szCs w:val="24"/>
              </w:rPr>
              <w:t>2.6</w:t>
            </w:r>
          </w:p>
        </w:tc>
        <w:tc>
          <w:tcPr>
            <w:tcW w:w="2592" w:type="dxa"/>
            <w:shd w:val="clear" w:color="auto" w:fill="FFFFFF"/>
            <w:tcMar>
              <w:top w:w="90" w:type="dxa"/>
              <w:left w:w="110" w:type="dxa"/>
              <w:bottom w:w="90" w:type="dxa"/>
              <w:right w:w="110" w:type="dxa"/>
            </w:tcMar>
          </w:tcPr>
          <w:p w14:paraId="72F620B4" w14:textId="77777777" w:rsidR="00BA5BCD" w:rsidRPr="008A161B" w:rsidRDefault="00000000" w:rsidP="008A161B">
            <w:pPr>
              <w:spacing w:after="0"/>
              <w:rPr>
                <w:szCs w:val="24"/>
              </w:rPr>
            </w:pPr>
            <w:r w:rsidRPr="008A161B">
              <w:rPr>
                <w:szCs w:val="24"/>
              </w:rPr>
              <w:t>Price relevance is high, but structural cost disadvantage versus discounters and margin risk make this unsuitable.</w:t>
            </w:r>
          </w:p>
        </w:tc>
      </w:tr>
      <w:tr w:rsidR="00BA5BCD" w:rsidRPr="008A161B" w14:paraId="0C8A42BA" w14:textId="77777777" w:rsidTr="008A161B">
        <w:trPr>
          <w:cantSplit/>
        </w:trPr>
        <w:tc>
          <w:tcPr>
            <w:tcW w:w="1460" w:type="dxa"/>
            <w:shd w:val="clear" w:color="auto" w:fill="F2F4F5"/>
            <w:tcMar>
              <w:top w:w="90" w:type="dxa"/>
              <w:left w:w="110" w:type="dxa"/>
              <w:bottom w:w="90" w:type="dxa"/>
              <w:right w:w="110" w:type="dxa"/>
            </w:tcMar>
          </w:tcPr>
          <w:p w14:paraId="411F26B9" w14:textId="77777777" w:rsidR="00BA5BCD" w:rsidRPr="008A161B" w:rsidRDefault="00000000" w:rsidP="008A161B">
            <w:pPr>
              <w:spacing w:after="0"/>
              <w:rPr>
                <w:szCs w:val="24"/>
              </w:rPr>
            </w:pPr>
            <w:r w:rsidRPr="008A161B">
              <w:rPr>
                <w:b/>
                <w:szCs w:val="24"/>
              </w:rPr>
              <w:t>Good Food, Smart Value differentiation</w:t>
            </w:r>
          </w:p>
        </w:tc>
        <w:tc>
          <w:tcPr>
            <w:tcW w:w="1440" w:type="dxa"/>
            <w:shd w:val="clear" w:color="auto" w:fill="F2F4F5"/>
            <w:tcMar>
              <w:top w:w="90" w:type="dxa"/>
              <w:left w:w="110" w:type="dxa"/>
              <w:bottom w:w="90" w:type="dxa"/>
              <w:right w:w="110" w:type="dxa"/>
            </w:tcMar>
          </w:tcPr>
          <w:p w14:paraId="631D66F7" w14:textId="77777777" w:rsidR="00BA5BCD" w:rsidRPr="008A161B" w:rsidRDefault="00000000" w:rsidP="008A161B">
            <w:pPr>
              <w:spacing w:after="0"/>
              <w:rPr>
                <w:szCs w:val="24"/>
              </w:rPr>
            </w:pPr>
            <w:r w:rsidRPr="008A161B">
              <w:rPr>
                <w:szCs w:val="24"/>
              </w:rPr>
              <w:t>4.7</w:t>
            </w:r>
          </w:p>
        </w:tc>
        <w:tc>
          <w:tcPr>
            <w:tcW w:w="1564" w:type="dxa"/>
            <w:shd w:val="clear" w:color="auto" w:fill="F2F4F5"/>
            <w:tcMar>
              <w:top w:w="90" w:type="dxa"/>
              <w:left w:w="110" w:type="dxa"/>
              <w:bottom w:w="90" w:type="dxa"/>
              <w:right w:w="110" w:type="dxa"/>
            </w:tcMar>
          </w:tcPr>
          <w:p w14:paraId="7A03F0D0" w14:textId="77777777" w:rsidR="00BA5BCD" w:rsidRPr="008A161B" w:rsidRDefault="00000000" w:rsidP="008A161B">
            <w:pPr>
              <w:spacing w:after="0"/>
              <w:rPr>
                <w:szCs w:val="24"/>
              </w:rPr>
            </w:pPr>
            <w:r w:rsidRPr="008A161B">
              <w:rPr>
                <w:szCs w:val="24"/>
              </w:rPr>
              <w:t>4.3</w:t>
            </w:r>
          </w:p>
        </w:tc>
        <w:tc>
          <w:tcPr>
            <w:tcW w:w="1224" w:type="dxa"/>
            <w:shd w:val="clear" w:color="auto" w:fill="F2F4F5"/>
            <w:tcMar>
              <w:top w:w="90" w:type="dxa"/>
              <w:left w:w="110" w:type="dxa"/>
              <w:bottom w:w="90" w:type="dxa"/>
              <w:right w:w="110" w:type="dxa"/>
            </w:tcMar>
          </w:tcPr>
          <w:p w14:paraId="043A48A9" w14:textId="77777777" w:rsidR="00BA5BCD" w:rsidRPr="008A161B" w:rsidRDefault="00000000" w:rsidP="008A161B">
            <w:pPr>
              <w:spacing w:after="0"/>
              <w:rPr>
                <w:szCs w:val="24"/>
              </w:rPr>
            </w:pPr>
            <w:r w:rsidRPr="008A161B">
              <w:rPr>
                <w:szCs w:val="24"/>
              </w:rPr>
              <w:t>4.4</w:t>
            </w:r>
          </w:p>
        </w:tc>
        <w:tc>
          <w:tcPr>
            <w:tcW w:w="1224" w:type="dxa"/>
            <w:shd w:val="clear" w:color="auto" w:fill="F2F4F5"/>
            <w:tcMar>
              <w:top w:w="90" w:type="dxa"/>
              <w:left w:w="110" w:type="dxa"/>
              <w:bottom w:w="90" w:type="dxa"/>
              <w:right w:w="110" w:type="dxa"/>
            </w:tcMar>
          </w:tcPr>
          <w:p w14:paraId="4B0240DA" w14:textId="77777777" w:rsidR="00BA5BCD" w:rsidRPr="008A161B" w:rsidRDefault="00000000" w:rsidP="008A161B">
            <w:pPr>
              <w:spacing w:after="0"/>
              <w:rPr>
                <w:szCs w:val="24"/>
              </w:rPr>
            </w:pPr>
            <w:r w:rsidRPr="008A161B">
              <w:rPr>
                <w:szCs w:val="24"/>
              </w:rPr>
              <w:t>4.5</w:t>
            </w:r>
          </w:p>
        </w:tc>
        <w:tc>
          <w:tcPr>
            <w:tcW w:w="2592" w:type="dxa"/>
            <w:shd w:val="clear" w:color="auto" w:fill="F2F4F5"/>
            <w:tcMar>
              <w:top w:w="90" w:type="dxa"/>
              <w:left w:w="110" w:type="dxa"/>
              <w:bottom w:w="90" w:type="dxa"/>
              <w:right w:w="110" w:type="dxa"/>
            </w:tcMar>
          </w:tcPr>
          <w:p w14:paraId="307ED3A6" w14:textId="77777777" w:rsidR="00BA5BCD" w:rsidRPr="008A161B" w:rsidRDefault="00000000" w:rsidP="008A161B">
            <w:pPr>
              <w:spacing w:after="0"/>
              <w:rPr>
                <w:szCs w:val="24"/>
              </w:rPr>
            </w:pPr>
            <w:r w:rsidRPr="008A161B">
              <w:rPr>
                <w:szCs w:val="24"/>
              </w:rPr>
              <w:t>Fits fresh-food, Nectar and supplier strengths; offers customer and sustainability value; can be piloted and funded by savings.</w:t>
            </w:r>
          </w:p>
        </w:tc>
      </w:tr>
      <w:tr w:rsidR="00BA5BCD" w:rsidRPr="008A161B" w14:paraId="09E851AA" w14:textId="77777777" w:rsidTr="008A161B">
        <w:trPr>
          <w:cantSplit/>
        </w:trPr>
        <w:tc>
          <w:tcPr>
            <w:tcW w:w="1460" w:type="dxa"/>
            <w:shd w:val="clear" w:color="auto" w:fill="FFFFFF"/>
            <w:tcMar>
              <w:top w:w="90" w:type="dxa"/>
              <w:left w:w="110" w:type="dxa"/>
              <w:bottom w:w="90" w:type="dxa"/>
              <w:right w:w="110" w:type="dxa"/>
            </w:tcMar>
          </w:tcPr>
          <w:p w14:paraId="2F2E8E9F" w14:textId="77777777" w:rsidR="00BA5BCD" w:rsidRPr="008A161B" w:rsidRDefault="00000000" w:rsidP="008A161B">
            <w:pPr>
              <w:spacing w:after="0"/>
              <w:rPr>
                <w:szCs w:val="24"/>
              </w:rPr>
            </w:pPr>
            <w:r w:rsidRPr="008A161B">
              <w:rPr>
                <w:b/>
                <w:szCs w:val="24"/>
              </w:rPr>
              <w:t>Accelerated store and delivery expansion</w:t>
            </w:r>
          </w:p>
        </w:tc>
        <w:tc>
          <w:tcPr>
            <w:tcW w:w="1440" w:type="dxa"/>
            <w:shd w:val="clear" w:color="auto" w:fill="FFFFFF"/>
            <w:tcMar>
              <w:top w:w="90" w:type="dxa"/>
              <w:left w:w="110" w:type="dxa"/>
              <w:bottom w:w="90" w:type="dxa"/>
              <w:right w:w="110" w:type="dxa"/>
            </w:tcMar>
          </w:tcPr>
          <w:p w14:paraId="28223451" w14:textId="77777777" w:rsidR="00BA5BCD" w:rsidRPr="008A161B" w:rsidRDefault="00000000" w:rsidP="008A161B">
            <w:pPr>
              <w:spacing w:after="0"/>
              <w:rPr>
                <w:szCs w:val="24"/>
              </w:rPr>
            </w:pPr>
            <w:r w:rsidRPr="008A161B">
              <w:rPr>
                <w:szCs w:val="24"/>
              </w:rPr>
              <w:t>3.6</w:t>
            </w:r>
          </w:p>
        </w:tc>
        <w:tc>
          <w:tcPr>
            <w:tcW w:w="1564" w:type="dxa"/>
            <w:shd w:val="clear" w:color="auto" w:fill="FFFFFF"/>
            <w:tcMar>
              <w:top w:w="90" w:type="dxa"/>
              <w:left w:w="110" w:type="dxa"/>
              <w:bottom w:w="90" w:type="dxa"/>
              <w:right w:w="110" w:type="dxa"/>
            </w:tcMar>
          </w:tcPr>
          <w:p w14:paraId="433DD700" w14:textId="77777777" w:rsidR="00BA5BCD" w:rsidRPr="008A161B" w:rsidRDefault="00000000" w:rsidP="008A161B">
            <w:pPr>
              <w:spacing w:after="0"/>
              <w:rPr>
                <w:szCs w:val="24"/>
              </w:rPr>
            </w:pPr>
            <w:r w:rsidRPr="008A161B">
              <w:rPr>
                <w:szCs w:val="24"/>
              </w:rPr>
              <w:t>3.3</w:t>
            </w:r>
          </w:p>
        </w:tc>
        <w:tc>
          <w:tcPr>
            <w:tcW w:w="1224" w:type="dxa"/>
            <w:shd w:val="clear" w:color="auto" w:fill="FFFFFF"/>
            <w:tcMar>
              <w:top w:w="90" w:type="dxa"/>
              <w:left w:w="110" w:type="dxa"/>
              <w:bottom w:w="90" w:type="dxa"/>
              <w:right w:w="110" w:type="dxa"/>
            </w:tcMar>
          </w:tcPr>
          <w:p w14:paraId="366DF118" w14:textId="77777777" w:rsidR="00BA5BCD" w:rsidRPr="008A161B" w:rsidRDefault="00000000" w:rsidP="008A161B">
            <w:pPr>
              <w:spacing w:after="0"/>
              <w:rPr>
                <w:szCs w:val="24"/>
              </w:rPr>
            </w:pPr>
            <w:r w:rsidRPr="008A161B">
              <w:rPr>
                <w:szCs w:val="24"/>
              </w:rPr>
              <w:t>3.5</w:t>
            </w:r>
          </w:p>
        </w:tc>
        <w:tc>
          <w:tcPr>
            <w:tcW w:w="1224" w:type="dxa"/>
            <w:shd w:val="clear" w:color="auto" w:fill="FFFFFF"/>
            <w:tcMar>
              <w:top w:w="90" w:type="dxa"/>
              <w:left w:w="110" w:type="dxa"/>
              <w:bottom w:w="90" w:type="dxa"/>
              <w:right w:w="110" w:type="dxa"/>
            </w:tcMar>
          </w:tcPr>
          <w:p w14:paraId="32C6F43F" w14:textId="77777777" w:rsidR="00BA5BCD" w:rsidRPr="008A161B" w:rsidRDefault="00000000" w:rsidP="008A161B">
            <w:pPr>
              <w:spacing w:after="0"/>
              <w:rPr>
                <w:szCs w:val="24"/>
              </w:rPr>
            </w:pPr>
            <w:r w:rsidRPr="008A161B">
              <w:rPr>
                <w:szCs w:val="24"/>
              </w:rPr>
              <w:t>3.5</w:t>
            </w:r>
          </w:p>
        </w:tc>
        <w:tc>
          <w:tcPr>
            <w:tcW w:w="2592" w:type="dxa"/>
            <w:shd w:val="clear" w:color="auto" w:fill="FFFFFF"/>
            <w:tcMar>
              <w:top w:w="90" w:type="dxa"/>
              <w:left w:w="110" w:type="dxa"/>
              <w:bottom w:w="90" w:type="dxa"/>
              <w:right w:w="110" w:type="dxa"/>
            </w:tcMar>
          </w:tcPr>
          <w:p w14:paraId="1594D627" w14:textId="77777777" w:rsidR="00BA5BCD" w:rsidRPr="008A161B" w:rsidRDefault="00000000" w:rsidP="008A161B">
            <w:pPr>
              <w:spacing w:after="0"/>
              <w:rPr>
                <w:szCs w:val="24"/>
              </w:rPr>
            </w:pPr>
            <w:r w:rsidRPr="008A161B">
              <w:rPr>
                <w:szCs w:val="24"/>
              </w:rPr>
              <w:t>Supports access and growth, but capital intensity and fulfilment economics require selective deployment.</w:t>
            </w:r>
          </w:p>
        </w:tc>
      </w:tr>
    </w:tbl>
    <w:p w14:paraId="5E1E72B9" w14:textId="77777777" w:rsidR="00BA5BCD" w:rsidRDefault="00000000">
      <w:pPr>
        <w:spacing w:line="240" w:lineRule="auto"/>
      </w:pPr>
      <w:r>
        <w:rPr>
          <w:b/>
          <w:i/>
          <w:color w:val="66727D"/>
          <w:sz w:val="19"/>
        </w:rPr>
        <w:t xml:space="preserve">Source: </w:t>
      </w:r>
      <w:r>
        <w:rPr>
          <w:i/>
          <w:color w:val="66727D"/>
          <w:sz w:val="19"/>
        </w:rPr>
        <w:t>Author's judgement. Scores use a five-point scale and are decision aids rather than measured facts.</w:t>
      </w:r>
    </w:p>
    <w:p w14:paraId="05D129B4" w14:textId="77777777" w:rsidR="008A161B" w:rsidRDefault="008A161B" w:rsidP="008A161B">
      <w:r>
        <w:t xml:space="preserve">The weighted SAFe result is weighted towards Good Food (4.5 out of 5) and Smart Value. Its suitability is based on customer demand and VRIO system, its acceptability is based on share growth, social value and controlled capital and its </w:t>
      </w:r>
      <w:r>
        <w:lastRenderedPageBreak/>
        <w:t>feasibility is based on capabilities already being developed. The score is not definitive and may vary if pilot economics are not good. Cost leadership is still a hygiene programme and not the selected position and store and delivery expansion should be done selectively within the differentiation strategy. This separation helps to avoid falling into the trap of an attractive channel being confused with a source of advantage.</w:t>
      </w:r>
    </w:p>
    <w:p w14:paraId="44398667" w14:textId="77777777" w:rsidR="008A161B" w:rsidRDefault="008A161B" w:rsidP="008A161B">
      <w:pPr>
        <w:pStyle w:val="Heading2"/>
      </w:pPr>
      <w:bookmarkStart w:id="14" w:name="_Toc234631340"/>
      <w:r>
        <w:t>4.3 Recommended Strategy</w:t>
      </w:r>
      <w:bookmarkEnd w:id="14"/>
    </w:p>
    <w:p w14:paraId="556145BF" w14:textId="246C57F4" w:rsidR="00BA5BCD" w:rsidRDefault="008A161B" w:rsidP="008A161B">
      <w:r>
        <w:t>Good Food, Smart Value is the recommended differentiation programme which is a broad differentiation programme with competitive price credibility. It has three pillars which reinforce each other. Firstly, there will be a greater availability of own label, fresh, fibre-rich and reformulated foods at affordable prices, and the shelf and app navigation will be clear. Secondly, privacy-safe Nectar personalisation will offer meal plans, budget controls and relevant offers, explanations, consent and a non-personalised value route. Thirdly, resilient omnichannel supply will be based on long farmer contracts, demand sensing, dynamic markdowns and selected stores as fulfilment nodes. They combine to make the offer more difficult to replicate than an individual price campaign or product range.</w:t>
      </w:r>
    </w:p>
    <w:p w14:paraId="0FBD99F7" w14:textId="77777777" w:rsidR="00BA5BCD" w:rsidRDefault="00000000">
      <w:pPr>
        <w:keepNext/>
        <w:jc w:val="center"/>
      </w:pPr>
      <w:r>
        <w:rPr>
          <w:noProof/>
        </w:rPr>
        <w:drawing>
          <wp:inline distT="0" distB="0" distL="0" distR="0" wp14:anchorId="380CC311" wp14:editId="5CA445B4">
            <wp:extent cx="5897880" cy="275819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tegy_on_page.png"/>
                    <pic:cNvPicPr/>
                  </pic:nvPicPr>
                  <pic:blipFill>
                    <a:blip r:embed="rId10"/>
                    <a:stretch>
                      <a:fillRect/>
                    </a:stretch>
                  </pic:blipFill>
                  <pic:spPr>
                    <a:xfrm>
                      <a:off x="0" y="0"/>
                      <a:ext cx="5897880" cy="2758196"/>
                    </a:xfrm>
                    <a:prstGeom prst="rect">
                      <a:avLst/>
                    </a:prstGeom>
                  </pic:spPr>
                </pic:pic>
              </a:graphicData>
            </a:graphic>
          </wp:inline>
        </w:drawing>
      </w:r>
    </w:p>
    <w:p w14:paraId="77C84995" w14:textId="77777777" w:rsidR="00BA5BCD" w:rsidRPr="008A161B" w:rsidRDefault="00000000" w:rsidP="008A161B">
      <w:pPr>
        <w:jc w:val="center"/>
        <w:rPr>
          <w:i/>
          <w:iCs/>
          <w:sz w:val="22"/>
        </w:rPr>
      </w:pPr>
      <w:r w:rsidRPr="008A161B">
        <w:rPr>
          <w:i/>
          <w:iCs/>
          <w:sz w:val="22"/>
        </w:rPr>
        <w:t>Figure 2. Good Food, Smart Value strategy-on-a-page</w:t>
      </w:r>
    </w:p>
    <w:p w14:paraId="59BBC373" w14:textId="77777777" w:rsidR="00BA5BCD" w:rsidRPr="008A161B" w:rsidRDefault="00000000" w:rsidP="008A161B">
      <w:pPr>
        <w:jc w:val="center"/>
        <w:rPr>
          <w:i/>
          <w:iCs/>
          <w:sz w:val="22"/>
        </w:rPr>
      </w:pPr>
      <w:r w:rsidRPr="008A161B">
        <w:rPr>
          <w:i/>
          <w:iCs/>
          <w:sz w:val="22"/>
        </w:rPr>
        <w:t>Source: Author's construction informed by the strategic analysis.</w:t>
      </w:r>
    </w:p>
    <w:p w14:paraId="0145859E" w14:textId="77777777" w:rsidR="008A161B" w:rsidRDefault="008A161B" w:rsidP="008A161B">
      <w:r>
        <w:t xml:space="preserve">The strategy should be to enhance performance in a flywheel fashion. Improved visibility increases relevance and the accuracy of predictions. Availability is </w:t>
      </w:r>
      <w:r>
        <w:lastRenderedPageBreak/>
        <w:t>increased and markdown and disposal costs are reduced due to accuracy. Savings fuel price and quality, which in turn drive more primary customers and provide more valuable insight. The same potential can be leveraged for retail media, but commercial messages must never be at the expense of customer welfare or supplier access. Studies reveal that digitisation can enhance supermarket loyalty and that grocery omnichannel advantage is based on governance and co-specialised operations. Personalisation also gives rise to a privacy paradox, meaning that trust must not be an afterthought in the design of these systems (Cuesta-Valiño et al., 2023; Canhoto, Keegan and Ryzhikh, 2024).</w:t>
      </w:r>
    </w:p>
    <w:p w14:paraId="00E3096A" w14:textId="6A1B5F2D" w:rsidR="00BA5BCD" w:rsidRDefault="008A161B" w:rsidP="008A161B">
      <w:r>
        <w:t>The recommendation is also a step towards CSR. Forecasting, assortment discipline and proactive markdowns are the strategies that prevent waste from happening, and donation is a fall-back. Supplier data and longer contracts can help with climate adaptation, traceability and reduce Scope 3 emissions. Forecasting, replenishment and assortment are identified as key grocery waste levers and sustainable digital channels need to be designed economically and environmentally (Riesenegger et al., 2023; Vhatkar et al., 2024).</w:t>
      </w:r>
    </w:p>
    <w:p w14:paraId="20ECD0F2" w14:textId="77777777" w:rsidR="00BA5BCD" w:rsidRDefault="00000000">
      <w:pPr>
        <w:pStyle w:val="Heading2"/>
      </w:pPr>
      <w:bookmarkStart w:id="15" w:name="_Toc234631341"/>
      <w:r>
        <w:t>4.4 Implementation</w:t>
      </w:r>
      <w:bookmarkEnd w:id="15"/>
    </w:p>
    <w:p w14:paraId="3818988D" w14:textId="77777777" w:rsidR="00BA5BCD" w:rsidRDefault="00000000" w:rsidP="008A161B">
      <w:r w:rsidRPr="008A161B">
        <w:rPr>
          <w:b/>
          <w:bCs/>
        </w:rPr>
        <w:t>Table 6.</w:t>
      </w:r>
      <w:r>
        <w:t xml:space="preserve"> Phased implementation roadmap and controls</w:t>
      </w:r>
    </w:p>
    <w:tbl>
      <w:tblPr>
        <w:tblStyle w:val="TableGrid"/>
        <w:tblW w:w="0" w:type="auto"/>
        <w:tblLayout w:type="fixed"/>
        <w:tblLook w:val="04A0" w:firstRow="1" w:lastRow="0" w:firstColumn="1" w:lastColumn="0" w:noHBand="0" w:noVBand="1"/>
      </w:tblPr>
      <w:tblGrid>
        <w:gridCol w:w="1296"/>
        <w:gridCol w:w="2376"/>
        <w:gridCol w:w="1728"/>
        <w:gridCol w:w="1944"/>
        <w:gridCol w:w="2304"/>
      </w:tblGrid>
      <w:tr w:rsidR="00BA5BCD" w:rsidRPr="008A161B" w14:paraId="215EEE35" w14:textId="77777777" w:rsidTr="008A161B">
        <w:trPr>
          <w:tblHeader/>
        </w:trPr>
        <w:tc>
          <w:tcPr>
            <w:tcW w:w="1296" w:type="dxa"/>
            <w:shd w:val="clear" w:color="auto" w:fill="17324D"/>
            <w:tcMar>
              <w:top w:w="90" w:type="dxa"/>
              <w:left w:w="110" w:type="dxa"/>
              <w:bottom w:w="90" w:type="dxa"/>
              <w:right w:w="110" w:type="dxa"/>
            </w:tcMar>
            <w:vAlign w:val="center"/>
          </w:tcPr>
          <w:p w14:paraId="22A126E3" w14:textId="77777777" w:rsidR="00BA5BCD" w:rsidRPr="008A161B" w:rsidRDefault="00000000" w:rsidP="008A161B">
            <w:pPr>
              <w:spacing w:after="0"/>
              <w:jc w:val="center"/>
              <w:rPr>
                <w:szCs w:val="32"/>
              </w:rPr>
            </w:pPr>
            <w:r w:rsidRPr="008A161B">
              <w:rPr>
                <w:b/>
                <w:color w:val="FFFFFF"/>
                <w:szCs w:val="32"/>
              </w:rPr>
              <w:t>Phase</w:t>
            </w:r>
          </w:p>
        </w:tc>
        <w:tc>
          <w:tcPr>
            <w:tcW w:w="2376" w:type="dxa"/>
            <w:shd w:val="clear" w:color="auto" w:fill="17324D"/>
            <w:tcMar>
              <w:top w:w="90" w:type="dxa"/>
              <w:left w:w="110" w:type="dxa"/>
              <w:bottom w:w="90" w:type="dxa"/>
              <w:right w:w="110" w:type="dxa"/>
            </w:tcMar>
            <w:vAlign w:val="center"/>
          </w:tcPr>
          <w:p w14:paraId="1B5DA38A" w14:textId="77777777" w:rsidR="00BA5BCD" w:rsidRPr="008A161B" w:rsidRDefault="00000000" w:rsidP="008A161B">
            <w:pPr>
              <w:spacing w:after="0"/>
              <w:jc w:val="center"/>
              <w:rPr>
                <w:szCs w:val="32"/>
              </w:rPr>
            </w:pPr>
            <w:r w:rsidRPr="008A161B">
              <w:rPr>
                <w:b/>
                <w:color w:val="FFFFFF"/>
                <w:szCs w:val="32"/>
              </w:rPr>
              <w:t>Key actions</w:t>
            </w:r>
          </w:p>
        </w:tc>
        <w:tc>
          <w:tcPr>
            <w:tcW w:w="1728" w:type="dxa"/>
            <w:shd w:val="clear" w:color="auto" w:fill="17324D"/>
            <w:tcMar>
              <w:top w:w="90" w:type="dxa"/>
              <w:left w:w="110" w:type="dxa"/>
              <w:bottom w:w="90" w:type="dxa"/>
              <w:right w:w="110" w:type="dxa"/>
            </w:tcMar>
            <w:vAlign w:val="center"/>
          </w:tcPr>
          <w:p w14:paraId="7257AD23" w14:textId="77777777" w:rsidR="00BA5BCD" w:rsidRPr="008A161B" w:rsidRDefault="00000000" w:rsidP="008A161B">
            <w:pPr>
              <w:spacing w:after="0"/>
              <w:jc w:val="center"/>
              <w:rPr>
                <w:szCs w:val="32"/>
              </w:rPr>
            </w:pPr>
            <w:r w:rsidRPr="008A161B">
              <w:rPr>
                <w:b/>
                <w:color w:val="FFFFFF"/>
                <w:szCs w:val="32"/>
              </w:rPr>
              <w:t>Accountability</w:t>
            </w:r>
          </w:p>
        </w:tc>
        <w:tc>
          <w:tcPr>
            <w:tcW w:w="1944" w:type="dxa"/>
            <w:shd w:val="clear" w:color="auto" w:fill="17324D"/>
            <w:tcMar>
              <w:top w:w="90" w:type="dxa"/>
              <w:left w:w="110" w:type="dxa"/>
              <w:bottom w:w="90" w:type="dxa"/>
              <w:right w:w="110" w:type="dxa"/>
            </w:tcMar>
            <w:vAlign w:val="center"/>
          </w:tcPr>
          <w:p w14:paraId="289A06E9" w14:textId="77777777" w:rsidR="00BA5BCD" w:rsidRPr="008A161B" w:rsidRDefault="00000000" w:rsidP="008A161B">
            <w:pPr>
              <w:spacing w:after="0"/>
              <w:jc w:val="center"/>
              <w:rPr>
                <w:szCs w:val="32"/>
              </w:rPr>
            </w:pPr>
            <w:r w:rsidRPr="008A161B">
              <w:rPr>
                <w:b/>
                <w:color w:val="FFFFFF"/>
                <w:szCs w:val="32"/>
              </w:rPr>
              <w:t>Decision measures</w:t>
            </w:r>
          </w:p>
        </w:tc>
        <w:tc>
          <w:tcPr>
            <w:tcW w:w="2304" w:type="dxa"/>
            <w:shd w:val="clear" w:color="auto" w:fill="17324D"/>
            <w:tcMar>
              <w:top w:w="90" w:type="dxa"/>
              <w:left w:w="110" w:type="dxa"/>
              <w:bottom w:w="90" w:type="dxa"/>
              <w:right w:w="110" w:type="dxa"/>
            </w:tcMar>
            <w:vAlign w:val="center"/>
          </w:tcPr>
          <w:p w14:paraId="3807E167" w14:textId="77777777" w:rsidR="00BA5BCD" w:rsidRPr="008A161B" w:rsidRDefault="00000000" w:rsidP="008A161B">
            <w:pPr>
              <w:spacing w:after="0"/>
              <w:jc w:val="center"/>
              <w:rPr>
                <w:szCs w:val="32"/>
              </w:rPr>
            </w:pPr>
            <w:r w:rsidRPr="008A161B">
              <w:rPr>
                <w:b/>
                <w:color w:val="FFFFFF"/>
                <w:szCs w:val="32"/>
              </w:rPr>
              <w:t>Main risk and mitigation</w:t>
            </w:r>
          </w:p>
        </w:tc>
      </w:tr>
      <w:tr w:rsidR="00BA5BCD" w:rsidRPr="008A161B" w14:paraId="2675531D" w14:textId="77777777" w:rsidTr="008A161B">
        <w:trPr>
          <w:cantSplit/>
        </w:trPr>
        <w:tc>
          <w:tcPr>
            <w:tcW w:w="1296" w:type="dxa"/>
            <w:shd w:val="clear" w:color="auto" w:fill="FFFFFF"/>
            <w:tcMar>
              <w:top w:w="90" w:type="dxa"/>
              <w:left w:w="110" w:type="dxa"/>
              <w:bottom w:w="90" w:type="dxa"/>
              <w:right w:w="110" w:type="dxa"/>
            </w:tcMar>
          </w:tcPr>
          <w:p w14:paraId="51E52D29" w14:textId="77777777" w:rsidR="00BA5BCD" w:rsidRPr="008A161B" w:rsidRDefault="00000000" w:rsidP="008A161B">
            <w:pPr>
              <w:spacing w:after="0"/>
              <w:rPr>
                <w:szCs w:val="32"/>
              </w:rPr>
            </w:pPr>
            <w:r w:rsidRPr="008A161B">
              <w:rPr>
                <w:b/>
                <w:szCs w:val="32"/>
              </w:rPr>
              <w:t>0-3 months: design</w:t>
            </w:r>
          </w:p>
        </w:tc>
        <w:tc>
          <w:tcPr>
            <w:tcW w:w="2376" w:type="dxa"/>
            <w:shd w:val="clear" w:color="auto" w:fill="FFFFFF"/>
            <w:tcMar>
              <w:top w:w="90" w:type="dxa"/>
              <w:left w:w="110" w:type="dxa"/>
              <w:bottom w:w="90" w:type="dxa"/>
              <w:right w:w="110" w:type="dxa"/>
            </w:tcMar>
          </w:tcPr>
          <w:p w14:paraId="600269CA" w14:textId="77777777" w:rsidR="00BA5BCD" w:rsidRPr="008A161B" w:rsidRDefault="00000000" w:rsidP="008A161B">
            <w:pPr>
              <w:spacing w:after="0"/>
              <w:rPr>
                <w:szCs w:val="32"/>
              </w:rPr>
            </w:pPr>
            <w:r w:rsidRPr="008A161B">
              <w:rPr>
                <w:szCs w:val="32"/>
              </w:rPr>
              <w:t>Appoint an executive sponsor and cross-functional programme office. Validate economics, privacy, supplier readiness and BSC baselines. Select 30 stores and two fresh categories.</w:t>
            </w:r>
          </w:p>
        </w:tc>
        <w:tc>
          <w:tcPr>
            <w:tcW w:w="1728" w:type="dxa"/>
            <w:shd w:val="clear" w:color="auto" w:fill="FFFFFF"/>
            <w:tcMar>
              <w:top w:w="90" w:type="dxa"/>
              <w:left w:w="110" w:type="dxa"/>
              <w:bottom w:w="90" w:type="dxa"/>
              <w:right w:w="110" w:type="dxa"/>
            </w:tcMar>
          </w:tcPr>
          <w:p w14:paraId="57A159CD" w14:textId="77777777" w:rsidR="00BA5BCD" w:rsidRPr="008A161B" w:rsidRDefault="00000000" w:rsidP="008A161B">
            <w:pPr>
              <w:spacing w:after="0"/>
              <w:rPr>
                <w:szCs w:val="32"/>
              </w:rPr>
            </w:pPr>
            <w:r w:rsidRPr="008A161B">
              <w:rPr>
                <w:szCs w:val="32"/>
              </w:rPr>
              <w:t>CEO sponsor; Food Commercial; Data; Supply Chain</w:t>
            </w:r>
          </w:p>
        </w:tc>
        <w:tc>
          <w:tcPr>
            <w:tcW w:w="1944" w:type="dxa"/>
            <w:shd w:val="clear" w:color="auto" w:fill="FFFFFF"/>
            <w:tcMar>
              <w:top w:w="90" w:type="dxa"/>
              <w:left w:w="110" w:type="dxa"/>
              <w:bottom w:w="90" w:type="dxa"/>
              <w:right w:w="110" w:type="dxa"/>
            </w:tcMar>
          </w:tcPr>
          <w:p w14:paraId="63FEEB22" w14:textId="77777777" w:rsidR="00BA5BCD" w:rsidRPr="008A161B" w:rsidRDefault="00000000" w:rsidP="008A161B">
            <w:pPr>
              <w:spacing w:after="0"/>
              <w:rPr>
                <w:szCs w:val="32"/>
              </w:rPr>
            </w:pPr>
            <w:r w:rsidRPr="008A161B">
              <w:rPr>
                <w:szCs w:val="32"/>
              </w:rPr>
              <w:t>Approved business case; privacy impact assessment; baseline dashboard</w:t>
            </w:r>
          </w:p>
        </w:tc>
        <w:tc>
          <w:tcPr>
            <w:tcW w:w="2304" w:type="dxa"/>
            <w:shd w:val="clear" w:color="auto" w:fill="FFFFFF"/>
            <w:tcMar>
              <w:top w:w="90" w:type="dxa"/>
              <w:left w:w="110" w:type="dxa"/>
              <w:bottom w:w="90" w:type="dxa"/>
              <w:right w:w="110" w:type="dxa"/>
            </w:tcMar>
          </w:tcPr>
          <w:p w14:paraId="458F5324" w14:textId="77777777" w:rsidR="00BA5BCD" w:rsidRPr="008A161B" w:rsidRDefault="00000000" w:rsidP="008A161B">
            <w:pPr>
              <w:spacing w:after="0"/>
              <w:rPr>
                <w:szCs w:val="32"/>
              </w:rPr>
            </w:pPr>
            <w:r w:rsidRPr="008A161B">
              <w:rPr>
                <w:szCs w:val="32"/>
              </w:rPr>
              <w:t>Optimism bias: independent finance challenge and explicit stop criteria.</w:t>
            </w:r>
          </w:p>
        </w:tc>
      </w:tr>
      <w:tr w:rsidR="00BA5BCD" w:rsidRPr="008A161B" w14:paraId="607025E8" w14:textId="77777777" w:rsidTr="008A161B">
        <w:trPr>
          <w:cantSplit/>
        </w:trPr>
        <w:tc>
          <w:tcPr>
            <w:tcW w:w="1296" w:type="dxa"/>
            <w:shd w:val="clear" w:color="auto" w:fill="F2F4F5"/>
            <w:tcMar>
              <w:top w:w="90" w:type="dxa"/>
              <w:left w:w="110" w:type="dxa"/>
              <w:bottom w:w="90" w:type="dxa"/>
              <w:right w:w="110" w:type="dxa"/>
            </w:tcMar>
          </w:tcPr>
          <w:p w14:paraId="7E023A80" w14:textId="77777777" w:rsidR="00BA5BCD" w:rsidRPr="008A161B" w:rsidRDefault="00000000" w:rsidP="008A161B">
            <w:pPr>
              <w:spacing w:after="0"/>
              <w:rPr>
                <w:szCs w:val="32"/>
              </w:rPr>
            </w:pPr>
            <w:r w:rsidRPr="008A161B">
              <w:rPr>
                <w:b/>
                <w:szCs w:val="32"/>
              </w:rPr>
              <w:lastRenderedPageBreak/>
              <w:t>4-9 months: pilot</w:t>
            </w:r>
          </w:p>
        </w:tc>
        <w:tc>
          <w:tcPr>
            <w:tcW w:w="2376" w:type="dxa"/>
            <w:shd w:val="clear" w:color="auto" w:fill="F2F4F5"/>
            <w:tcMar>
              <w:top w:w="90" w:type="dxa"/>
              <w:left w:w="110" w:type="dxa"/>
              <w:bottom w:w="90" w:type="dxa"/>
              <w:right w:w="110" w:type="dxa"/>
            </w:tcMar>
          </w:tcPr>
          <w:p w14:paraId="368B3ED4" w14:textId="77777777" w:rsidR="00BA5BCD" w:rsidRPr="008A161B" w:rsidRDefault="00000000" w:rsidP="008A161B">
            <w:pPr>
              <w:spacing w:after="0"/>
              <w:rPr>
                <w:szCs w:val="32"/>
              </w:rPr>
            </w:pPr>
            <w:r w:rsidRPr="008A161B">
              <w:rPr>
                <w:szCs w:val="32"/>
              </w:rPr>
              <w:t>Launch budget-and-health journeys, demand sensing and dynamic markdowns. Trial store fulfilment cells and resilience plans with selected farmers.</w:t>
            </w:r>
          </w:p>
        </w:tc>
        <w:tc>
          <w:tcPr>
            <w:tcW w:w="1728" w:type="dxa"/>
            <w:shd w:val="clear" w:color="auto" w:fill="F2F4F5"/>
            <w:tcMar>
              <w:top w:w="90" w:type="dxa"/>
              <w:left w:w="110" w:type="dxa"/>
              <w:bottom w:w="90" w:type="dxa"/>
              <w:right w:w="110" w:type="dxa"/>
            </w:tcMar>
          </w:tcPr>
          <w:p w14:paraId="16F62E73" w14:textId="77777777" w:rsidR="00BA5BCD" w:rsidRPr="008A161B" w:rsidRDefault="00000000" w:rsidP="008A161B">
            <w:pPr>
              <w:spacing w:after="0"/>
              <w:rPr>
                <w:szCs w:val="32"/>
              </w:rPr>
            </w:pPr>
            <w:r w:rsidRPr="008A161B">
              <w:rPr>
                <w:szCs w:val="32"/>
              </w:rPr>
              <w:t>Digital Product; Store Operations; Agriculture; Nectar360</w:t>
            </w:r>
          </w:p>
        </w:tc>
        <w:tc>
          <w:tcPr>
            <w:tcW w:w="1944" w:type="dxa"/>
            <w:shd w:val="clear" w:color="auto" w:fill="F2F4F5"/>
            <w:tcMar>
              <w:top w:w="90" w:type="dxa"/>
              <w:left w:w="110" w:type="dxa"/>
              <w:bottom w:w="90" w:type="dxa"/>
              <w:right w:w="110" w:type="dxa"/>
            </w:tcMar>
          </w:tcPr>
          <w:p w14:paraId="7D60A6AC" w14:textId="77777777" w:rsidR="00BA5BCD" w:rsidRPr="008A161B" w:rsidRDefault="00000000" w:rsidP="008A161B">
            <w:pPr>
              <w:spacing w:after="0"/>
              <w:rPr>
                <w:szCs w:val="32"/>
              </w:rPr>
            </w:pPr>
            <w:r w:rsidRPr="008A161B">
              <w:rPr>
                <w:szCs w:val="32"/>
              </w:rPr>
              <w:t>Availability, waste, CSAT, opt-out rate, contribution per order</w:t>
            </w:r>
          </w:p>
        </w:tc>
        <w:tc>
          <w:tcPr>
            <w:tcW w:w="2304" w:type="dxa"/>
            <w:shd w:val="clear" w:color="auto" w:fill="F2F4F5"/>
            <w:tcMar>
              <w:top w:w="90" w:type="dxa"/>
              <w:left w:w="110" w:type="dxa"/>
              <w:bottom w:w="90" w:type="dxa"/>
              <w:right w:w="110" w:type="dxa"/>
            </w:tcMar>
          </w:tcPr>
          <w:p w14:paraId="7FE71DD3" w14:textId="77777777" w:rsidR="00BA5BCD" w:rsidRPr="008A161B" w:rsidRDefault="00000000" w:rsidP="008A161B">
            <w:pPr>
              <w:spacing w:after="0"/>
              <w:rPr>
                <w:szCs w:val="32"/>
              </w:rPr>
            </w:pPr>
            <w:r w:rsidRPr="008A161B">
              <w:rPr>
                <w:szCs w:val="32"/>
              </w:rPr>
              <w:t>Customer or colleague resistance: co-design, training and clear explanations.</w:t>
            </w:r>
          </w:p>
        </w:tc>
      </w:tr>
      <w:tr w:rsidR="00BA5BCD" w:rsidRPr="008A161B" w14:paraId="383A9B86" w14:textId="77777777" w:rsidTr="008A161B">
        <w:trPr>
          <w:cantSplit/>
        </w:trPr>
        <w:tc>
          <w:tcPr>
            <w:tcW w:w="1296" w:type="dxa"/>
            <w:shd w:val="clear" w:color="auto" w:fill="FFFFFF"/>
            <w:tcMar>
              <w:top w:w="90" w:type="dxa"/>
              <w:left w:w="110" w:type="dxa"/>
              <w:bottom w:w="90" w:type="dxa"/>
              <w:right w:w="110" w:type="dxa"/>
            </w:tcMar>
          </w:tcPr>
          <w:p w14:paraId="496B11AB" w14:textId="77777777" w:rsidR="00BA5BCD" w:rsidRPr="008A161B" w:rsidRDefault="00000000" w:rsidP="008A161B">
            <w:pPr>
              <w:spacing w:after="0"/>
              <w:rPr>
                <w:szCs w:val="32"/>
              </w:rPr>
            </w:pPr>
            <w:r w:rsidRPr="008A161B">
              <w:rPr>
                <w:b/>
                <w:szCs w:val="32"/>
              </w:rPr>
              <w:t>10-18 months: scale</w:t>
            </w:r>
          </w:p>
        </w:tc>
        <w:tc>
          <w:tcPr>
            <w:tcW w:w="2376" w:type="dxa"/>
            <w:shd w:val="clear" w:color="auto" w:fill="FFFFFF"/>
            <w:tcMar>
              <w:top w:w="90" w:type="dxa"/>
              <w:left w:w="110" w:type="dxa"/>
              <w:bottom w:w="90" w:type="dxa"/>
              <w:right w:w="110" w:type="dxa"/>
            </w:tcMar>
          </w:tcPr>
          <w:p w14:paraId="2B91A58A" w14:textId="77777777" w:rsidR="00BA5BCD" w:rsidRPr="008A161B" w:rsidRDefault="00000000" w:rsidP="008A161B">
            <w:pPr>
              <w:spacing w:after="0"/>
              <w:rPr>
                <w:szCs w:val="32"/>
              </w:rPr>
            </w:pPr>
            <w:r w:rsidRPr="008A161B">
              <w:rPr>
                <w:szCs w:val="32"/>
              </w:rPr>
              <w:t>Extend only modules that meet benefit and trust gates. Integrate the app, supplier control tower and channel profitability reporting.</w:t>
            </w:r>
          </w:p>
        </w:tc>
        <w:tc>
          <w:tcPr>
            <w:tcW w:w="1728" w:type="dxa"/>
            <w:shd w:val="clear" w:color="auto" w:fill="FFFFFF"/>
            <w:tcMar>
              <w:top w:w="90" w:type="dxa"/>
              <w:left w:w="110" w:type="dxa"/>
              <w:bottom w:w="90" w:type="dxa"/>
              <w:right w:w="110" w:type="dxa"/>
            </w:tcMar>
          </w:tcPr>
          <w:p w14:paraId="0D885F80" w14:textId="77777777" w:rsidR="00BA5BCD" w:rsidRPr="008A161B" w:rsidRDefault="00000000" w:rsidP="008A161B">
            <w:pPr>
              <w:spacing w:after="0"/>
              <w:rPr>
                <w:szCs w:val="32"/>
              </w:rPr>
            </w:pPr>
            <w:r w:rsidRPr="008A161B">
              <w:rPr>
                <w:szCs w:val="32"/>
              </w:rPr>
              <w:t>COO; CIO; CFO; Chief Marketing, Data and Sustainability Officer</w:t>
            </w:r>
          </w:p>
        </w:tc>
        <w:tc>
          <w:tcPr>
            <w:tcW w:w="1944" w:type="dxa"/>
            <w:shd w:val="clear" w:color="auto" w:fill="FFFFFF"/>
            <w:tcMar>
              <w:top w:w="90" w:type="dxa"/>
              <w:left w:w="110" w:type="dxa"/>
              <w:bottom w:w="90" w:type="dxa"/>
              <w:right w:w="110" w:type="dxa"/>
            </w:tcMar>
          </w:tcPr>
          <w:p w14:paraId="43C4661A" w14:textId="77777777" w:rsidR="00BA5BCD" w:rsidRPr="008A161B" w:rsidRDefault="00000000" w:rsidP="008A161B">
            <w:pPr>
              <w:spacing w:after="0"/>
              <w:rPr>
                <w:szCs w:val="32"/>
              </w:rPr>
            </w:pPr>
            <w:r w:rsidRPr="008A161B">
              <w:rPr>
                <w:szCs w:val="32"/>
              </w:rPr>
              <w:t>Annualised benefits, forecast accuracy, repeat use, supplier coverage</w:t>
            </w:r>
          </w:p>
        </w:tc>
        <w:tc>
          <w:tcPr>
            <w:tcW w:w="2304" w:type="dxa"/>
            <w:shd w:val="clear" w:color="auto" w:fill="FFFFFF"/>
            <w:tcMar>
              <w:top w:w="90" w:type="dxa"/>
              <w:left w:w="110" w:type="dxa"/>
              <w:bottom w:w="90" w:type="dxa"/>
              <w:right w:w="110" w:type="dxa"/>
            </w:tcMar>
          </w:tcPr>
          <w:p w14:paraId="608DBA8D" w14:textId="77777777" w:rsidR="00BA5BCD" w:rsidRPr="008A161B" w:rsidRDefault="00000000" w:rsidP="008A161B">
            <w:pPr>
              <w:spacing w:after="0"/>
              <w:rPr>
                <w:szCs w:val="32"/>
              </w:rPr>
            </w:pPr>
            <w:r w:rsidRPr="008A161B">
              <w:rPr>
                <w:szCs w:val="32"/>
              </w:rPr>
              <w:t>Integration and cyber risk: phased releases, red-team tests and recovery exercises.</w:t>
            </w:r>
          </w:p>
        </w:tc>
      </w:tr>
      <w:tr w:rsidR="00BA5BCD" w:rsidRPr="008A161B" w14:paraId="101CAC9F" w14:textId="77777777" w:rsidTr="008A161B">
        <w:trPr>
          <w:cantSplit/>
        </w:trPr>
        <w:tc>
          <w:tcPr>
            <w:tcW w:w="1296" w:type="dxa"/>
            <w:shd w:val="clear" w:color="auto" w:fill="F2F4F5"/>
            <w:tcMar>
              <w:top w:w="90" w:type="dxa"/>
              <w:left w:w="110" w:type="dxa"/>
              <w:bottom w:w="90" w:type="dxa"/>
              <w:right w:w="110" w:type="dxa"/>
            </w:tcMar>
          </w:tcPr>
          <w:p w14:paraId="3B6D3786" w14:textId="77777777" w:rsidR="00BA5BCD" w:rsidRPr="008A161B" w:rsidRDefault="00000000" w:rsidP="008A161B">
            <w:pPr>
              <w:spacing w:after="0"/>
              <w:rPr>
                <w:szCs w:val="32"/>
              </w:rPr>
            </w:pPr>
            <w:r w:rsidRPr="008A161B">
              <w:rPr>
                <w:b/>
                <w:szCs w:val="32"/>
              </w:rPr>
              <w:t>19-30 months: optimise</w:t>
            </w:r>
          </w:p>
        </w:tc>
        <w:tc>
          <w:tcPr>
            <w:tcW w:w="2376" w:type="dxa"/>
            <w:shd w:val="clear" w:color="auto" w:fill="F2F4F5"/>
            <w:tcMar>
              <w:top w:w="90" w:type="dxa"/>
              <w:left w:w="110" w:type="dxa"/>
              <w:bottom w:w="90" w:type="dxa"/>
              <w:right w:w="110" w:type="dxa"/>
            </w:tcMar>
          </w:tcPr>
          <w:p w14:paraId="67F7F355" w14:textId="77777777" w:rsidR="00BA5BCD" w:rsidRPr="008A161B" w:rsidRDefault="00000000" w:rsidP="008A161B">
            <w:pPr>
              <w:spacing w:after="0"/>
              <w:rPr>
                <w:szCs w:val="32"/>
              </w:rPr>
            </w:pPr>
            <w:r w:rsidRPr="008A161B">
              <w:rPr>
                <w:szCs w:val="32"/>
              </w:rPr>
              <w:t>Scale proven ranges and fulfilment formats; retire weak offers; embed measures in incentives; publish assured health, packaging and resilience outcomes.</w:t>
            </w:r>
          </w:p>
        </w:tc>
        <w:tc>
          <w:tcPr>
            <w:tcW w:w="1728" w:type="dxa"/>
            <w:shd w:val="clear" w:color="auto" w:fill="F2F4F5"/>
            <w:tcMar>
              <w:top w:w="90" w:type="dxa"/>
              <w:left w:w="110" w:type="dxa"/>
              <w:bottom w:w="90" w:type="dxa"/>
              <w:right w:w="110" w:type="dxa"/>
            </w:tcMar>
          </w:tcPr>
          <w:p w14:paraId="2E3EF40C" w14:textId="77777777" w:rsidR="00BA5BCD" w:rsidRPr="008A161B" w:rsidRDefault="00000000" w:rsidP="008A161B">
            <w:pPr>
              <w:spacing w:after="0"/>
              <w:rPr>
                <w:szCs w:val="32"/>
              </w:rPr>
            </w:pPr>
            <w:r w:rsidRPr="008A161B">
              <w:rPr>
                <w:szCs w:val="32"/>
              </w:rPr>
              <w:t>Executive Committee and Board committees</w:t>
            </w:r>
          </w:p>
        </w:tc>
        <w:tc>
          <w:tcPr>
            <w:tcW w:w="1944" w:type="dxa"/>
            <w:shd w:val="clear" w:color="auto" w:fill="F2F4F5"/>
            <w:tcMar>
              <w:top w:w="90" w:type="dxa"/>
              <w:left w:w="110" w:type="dxa"/>
              <w:bottom w:w="90" w:type="dxa"/>
              <w:right w:w="110" w:type="dxa"/>
            </w:tcMar>
          </w:tcPr>
          <w:p w14:paraId="402546FA" w14:textId="77777777" w:rsidR="00BA5BCD" w:rsidRPr="008A161B" w:rsidRDefault="00000000" w:rsidP="008A161B">
            <w:pPr>
              <w:spacing w:after="0"/>
              <w:rPr>
                <w:szCs w:val="32"/>
              </w:rPr>
            </w:pPr>
            <w:r w:rsidRPr="008A161B">
              <w:rPr>
                <w:szCs w:val="32"/>
              </w:rPr>
              <w:t>Margin, ROCE, market share, assured Plan for Better outcomes</w:t>
            </w:r>
          </w:p>
        </w:tc>
        <w:tc>
          <w:tcPr>
            <w:tcW w:w="2304" w:type="dxa"/>
            <w:shd w:val="clear" w:color="auto" w:fill="F2F4F5"/>
            <w:tcMar>
              <w:top w:w="90" w:type="dxa"/>
              <w:left w:w="110" w:type="dxa"/>
              <w:bottom w:w="90" w:type="dxa"/>
              <w:right w:w="110" w:type="dxa"/>
            </w:tcMar>
          </w:tcPr>
          <w:p w14:paraId="7120BDC2" w14:textId="77777777" w:rsidR="00BA5BCD" w:rsidRPr="008A161B" w:rsidRDefault="00000000" w:rsidP="008A161B">
            <w:pPr>
              <w:spacing w:after="0"/>
              <w:rPr>
                <w:szCs w:val="32"/>
              </w:rPr>
            </w:pPr>
            <w:r w:rsidRPr="008A161B">
              <w:rPr>
                <w:szCs w:val="32"/>
              </w:rPr>
              <w:t>Benefits decay or target gaming: quarterly strategic reviews and paired metrics.</w:t>
            </w:r>
          </w:p>
        </w:tc>
      </w:tr>
    </w:tbl>
    <w:p w14:paraId="0A81FA36" w14:textId="77777777" w:rsidR="00BA5BCD" w:rsidRDefault="00000000">
      <w:pPr>
        <w:spacing w:line="240" w:lineRule="auto"/>
      </w:pPr>
      <w:r>
        <w:rPr>
          <w:b/>
          <w:i/>
          <w:color w:val="66727D"/>
          <w:sz w:val="19"/>
        </w:rPr>
        <w:t xml:space="preserve">Source: </w:t>
      </w:r>
      <w:r>
        <w:rPr>
          <w:i/>
          <w:color w:val="66727D"/>
          <w:sz w:val="19"/>
        </w:rPr>
        <w:t>Author's implementation plan.</w:t>
      </w:r>
    </w:p>
    <w:p w14:paraId="6121ECB6" w14:textId="77777777" w:rsidR="00E179CE" w:rsidRDefault="00E179CE" w:rsidP="00E179CE">
      <w:r>
        <w:t xml:space="preserve">Stage gates should be used in implementation as the real issue is not the availability of the technologies, but whether or not customers use them, whether stores can </w:t>
      </w:r>
      <w:r>
        <w:lastRenderedPageBreak/>
        <w:t>incorporate them, and whether the benefits outweigh the costs. There are four tests to be performed on each release: customer value, incremental contribution, operational stability and trust. Finance should take account of channel contribution and this should also include picking, delivery, substitutions, ‘markdowns’ as well as media income. This will help insulators to avoid the fact that increasing sales leads to value destruction. There is a need to shift capital on a quarterly basis from weaker pilots to proven ones.</w:t>
      </w:r>
    </w:p>
    <w:p w14:paraId="6D82E0C0" w14:textId="77777777" w:rsidR="00E179CE" w:rsidRDefault="00E179CE" w:rsidP="00E179CE">
      <w:r>
        <w:t>Governance - functions need to be connected. Outcomes should be owned by a Board sponsored steering group comprising of product teams that includes food commercial, data, supply chain, store, finance and sustainability (and privacy) expertise. Practical consequences to be discussed on supplier councils and colleague panels. Sainsbury's should have control over critical data, models or infrastructure, with technology partners providing models or infrastructure. Dynamic capabilities rely more on learning fast than a multi-year rollout (Teece, Pisano and Shuen, 1997) and require sensing of change, seizing of opportunities and reconfiguration of assets.</w:t>
      </w:r>
    </w:p>
    <w:p w14:paraId="50F50F66" w14:textId="77777777" w:rsidR="00E179CE" w:rsidRDefault="00E179CE" w:rsidP="00E179CE">
      <w:r>
        <w:t>Named responses are required to risks. Pilot economic and investment limit are applied to manage margin risks. Control of Privacy and algorithmic bias, using minimised data, explainable offers, model audits and easy opt out. There is a need for segmentation, access controls and supplier assurances/recovery simulations in cyber risk. Shared forecasts and transition finance and balanced contract terms reduce dependence of farmers. Colleague resistance is minimized by paying for the training of colleagues and testing their workload. Lastly, there must be clear actions towards targets and absolute measures can't be taken lightly when it comes to sustainability credibility. These controls help to make implementation happen and become a measurable operating plan.</w:t>
      </w:r>
    </w:p>
    <w:p w14:paraId="645C9A63" w14:textId="77777777" w:rsidR="00E179CE" w:rsidRDefault="00E179CE" w:rsidP="00E179CE">
      <w:pPr>
        <w:pStyle w:val="Heading1"/>
      </w:pPr>
      <w:bookmarkStart w:id="16" w:name="_Toc234631342"/>
      <w:r>
        <w:t>5. Conclusion</w:t>
      </w:r>
      <w:bookmarkEnd w:id="16"/>
    </w:p>
    <w:p w14:paraId="4F9BBC1A" w14:textId="77777777" w:rsidR="00E179CE" w:rsidRDefault="00E179CE" w:rsidP="00E179CE">
      <w:r>
        <w:t xml:space="preserve">With retail sales in ordinary grocery items now showing some real momentum, but with its share yet to show any profit leverage, Sainsbury's strategy looks like it could be working. But the best way to go is not by engaging in a cost battle or by indiscriminate expansion. Good Food, Smart Value is based on a trust in fresh-food </w:t>
      </w:r>
      <w:r>
        <w:lastRenderedPageBreak/>
        <w:t>with stores and suppliers, and provides convenience at a good value to health. These can be turned into a more difficult to copy system and safeguard cash and credibility with a staged rollout, strict data governance and an integrated scorecard.</w:t>
      </w:r>
    </w:p>
    <w:p w14:paraId="248C201E" w14:textId="77777777" w:rsidR="00E179CE" w:rsidRDefault="00E179CE" w:rsidP="00E179CE">
      <w:pPr>
        <w:pStyle w:val="Heading1"/>
      </w:pPr>
      <w:bookmarkStart w:id="17" w:name="_Toc234631343"/>
      <w:r>
        <w:t>6. Reflective Account</w:t>
      </w:r>
      <w:bookmarkEnd w:id="17"/>
    </w:p>
    <w:p w14:paraId="2EB8DD3D" w14:textId="77777777" w:rsidR="00E179CE" w:rsidRDefault="00E179CE" w:rsidP="00E179CE">
      <w:r w:rsidRPr="00E179CE">
        <w:rPr>
          <w:b/>
          <w:bCs/>
        </w:rPr>
        <w:t>Description</w:t>
      </w:r>
      <w:r>
        <w:t>. I started with the decision the Board was to make instead of getting some general information about the group. I focused on UK grocery, and created an evidence hierarchy, such as audited reporting and regulatory sources, market and government data and peer-reviewed research for interpretation. I then used PESTEL, Five Forces and VRIO and then synthesized them using SWOT. Strategic options were analysed using SAFe and then a scorecard and implementation plan created. This cycle was that of Gibbs (1988) as it was experienced, evaluated and analysed and then led to an action plan.</w:t>
      </w:r>
    </w:p>
    <w:p w14:paraId="050C4BCC" w14:textId="77777777" w:rsidR="00E179CE" w:rsidRDefault="00E179CE" w:rsidP="00E179CE">
      <w:r w:rsidRPr="00E179CE">
        <w:rPr>
          <w:b/>
          <w:bCs/>
        </w:rPr>
        <w:t>Feelings</w:t>
      </w:r>
      <w:r>
        <w:t>. The gains in the first sales and market-share gave the company a sense of security. I have lowered my operating profit expectations for retail a bit due to the 1.1 per cent drop in underlying operating profit and the disconnect between efforts and results toward sustainability. Additionally, the sheer volume of the corporate material was a danger of ‘management-speak' being accepted. The scope was challenging as Nectar, Argos and shared stores are business transcending. They were considered supporting resources only if they had an impact on grocery, otherwise they were not included in the analysis.</w:t>
      </w:r>
    </w:p>
    <w:p w14:paraId="43C49465" w14:textId="3E34ED08" w:rsidR="00E179CE" w:rsidRDefault="00E179CE" w:rsidP="00E179CE">
      <w:r w:rsidRPr="00E179CE">
        <w:rPr>
          <w:b/>
          <w:bCs/>
        </w:rPr>
        <w:t>Evaluation.</w:t>
      </w:r>
      <w:r>
        <w:t xml:space="preserve"> Triangulation was the best component of the process. Annual-report measures were brought up against Worldpanel, the Office for National Statistics, the CMA and government evidence and current retail research provided an insight into how data, trust and logistics need to go hand in hand. Tables facilitated comparison and prevented development of lengthy description of frameworks. The lowest score was for lack of the confidential category margins and customer-level behaviour and supplier economics. Each period and each measure of the public market-share snapshots vary. I therefore refrained from offering up 'established' strategic scores or suggested 'targets'.</w:t>
      </w:r>
    </w:p>
    <w:p w14:paraId="677DC4E0" w14:textId="77777777" w:rsidR="00E179CE" w:rsidRDefault="00E179CE" w:rsidP="00E179CE">
      <w:r w:rsidRPr="00E179CE">
        <w:rPr>
          <w:b/>
          <w:bCs/>
        </w:rPr>
        <w:t>Analysis</w:t>
      </w:r>
      <w:r>
        <w:t xml:space="preserve">. I got to know there's a difference between a framework completeness and strategic insight. PESTEL was originally coming up with too many factors but by </w:t>
      </w:r>
      <w:r>
        <w:lastRenderedPageBreak/>
        <w:t>prioritizing each factor by their impact on volume, margin and resilience, the interaction of wages, regulation, inflation and climate emerged. I also developed a new perspective on competitive advantage, thanks to VRIO. Nectar is not a rarity as rivals have ‘loyalty' programmes. It is a value that is derived from a mix of insight, trusted food, store decisions, and retail media and supplier decisions. This systems view yielded a more defendable recommendation than choice of a generic strategy from a list.</w:t>
      </w:r>
    </w:p>
    <w:p w14:paraId="5EF6AB93" w14:textId="77777777" w:rsidR="00E179CE" w:rsidRDefault="00E179CE" w:rsidP="00E179CE">
      <w:r w:rsidRPr="00E179CE">
        <w:rPr>
          <w:b/>
          <w:bCs/>
        </w:rPr>
        <w:t>Conclusio</w:t>
      </w:r>
      <w:r>
        <w:t>n. The answers to the stakeholder and economic questions like who pays and who needs to change behaviour, which measure could be gamed, and what evidence would justify halting, would be helpful for testing the recommendations before writing the actual consultancy report. I would also make a difference between the corporate disclosure and verified independently of the collection performance. This would minimize the amount of rewriting that would be done later and would cause the contradictions to be apparent earlier. The work helped me to be able to make a recommendation when I don't have all the information but not hide my uncertainty.</w:t>
      </w:r>
    </w:p>
    <w:p w14:paraId="0459CE37" w14:textId="4F29F656" w:rsidR="00BA5BCD" w:rsidRDefault="00E179CE" w:rsidP="00E179CE">
      <w:r w:rsidRPr="00E179CE">
        <w:rPr>
          <w:b/>
          <w:bCs/>
        </w:rPr>
        <w:t>Action plan</w:t>
      </w:r>
      <w:r>
        <w:t>. In my next strategic assignment, I'll be working on a dated evidence register (dER) that comes with evidence source type, definition, reporting period, confidence rating. I will create a basic sensitivity model of margin, adoption and capital assumptions prior to making a final decision on an option. I will do interviews or surveys when they are available, and I will pre-register the criteria which will be used to rank the strategic choices that get done by the customers/colleagues and suppliers. Lastly, I will discuss each of the proposed ownership/baseline/frequency and unintended behaviour KPIs. These actions should result in a more rapid research cycle, greater audit trail and more credible advice.</w:t>
      </w:r>
    </w:p>
    <w:p w14:paraId="0448D9E4" w14:textId="77777777" w:rsidR="00BA5BCD" w:rsidRDefault="00000000">
      <w:r>
        <w:br w:type="page"/>
      </w:r>
    </w:p>
    <w:p w14:paraId="79DBC55C" w14:textId="77777777" w:rsidR="00BA5BCD" w:rsidRDefault="00000000">
      <w:pPr>
        <w:pStyle w:val="Heading1"/>
      </w:pPr>
      <w:bookmarkStart w:id="18" w:name="_Toc234631344"/>
      <w:r>
        <w:lastRenderedPageBreak/>
        <w:t>References</w:t>
      </w:r>
      <w:bookmarkEnd w:id="18"/>
    </w:p>
    <w:p w14:paraId="7F2F49D6" w14:textId="77777777" w:rsidR="00BA5BCD" w:rsidRDefault="00000000" w:rsidP="00E179CE">
      <w:r>
        <w:t xml:space="preserve">Ansoff, H.I. (1957) 'Strategies for diversification', </w:t>
      </w:r>
      <w:r>
        <w:rPr>
          <w:i/>
        </w:rPr>
        <w:t>Harvard Business Review</w:t>
      </w:r>
      <w:r>
        <w:t>, 35(5), pp. 113-124.</w:t>
      </w:r>
    </w:p>
    <w:p w14:paraId="54309AD7" w14:textId="77777777" w:rsidR="00BA5BCD" w:rsidRDefault="00000000" w:rsidP="00E179CE">
      <w:r>
        <w:t xml:space="preserve">Barney, J. (1991) 'Firm resources and sustained competitive advantage', </w:t>
      </w:r>
      <w:r>
        <w:rPr>
          <w:i/>
        </w:rPr>
        <w:t>Journal of Management</w:t>
      </w:r>
      <w:r>
        <w:t>, 17(1), pp. 99-120. Available at: https://doi.org/10.1177/014920639101700108.</w:t>
      </w:r>
    </w:p>
    <w:p w14:paraId="67B10CEF" w14:textId="77777777" w:rsidR="00BA5BCD" w:rsidRDefault="00000000" w:rsidP="00E179CE">
      <w:r>
        <w:t xml:space="preserve">Butler, S. (2026) 'Lidl overtakes Morrisons to become fifth largest supermarket in Great Britain', </w:t>
      </w:r>
      <w:r>
        <w:rPr>
          <w:i/>
        </w:rPr>
        <w:t>The Guardian</w:t>
      </w:r>
      <w:r>
        <w:t>, 27 May. Available at: https://www.theguardian.com/business/2026/may/27/lidl-overtakes-morrisons-to-become-fifth-largest-supermarket-in-uk (Accessed: 10 July 2026).</w:t>
      </w:r>
    </w:p>
    <w:p w14:paraId="0E4A1D12" w14:textId="77777777" w:rsidR="00BA5BCD" w:rsidRDefault="00000000" w:rsidP="00E179CE">
      <w:r>
        <w:t xml:space="preserve">Canhoto, A.I., Keegan, B.J. and Ryzhikh, M. (2024) 'Snakes and ladders: unpacking the personalisation-privacy paradox in the context of AI-enabled personalisation in the physical retail environment', </w:t>
      </w:r>
      <w:r>
        <w:rPr>
          <w:i/>
        </w:rPr>
        <w:t>Information Systems Frontiers</w:t>
      </w:r>
      <w:r>
        <w:t>, 26(3), pp. 1005-1024. Available at: https://doi.org/10.1007/s10796-023-10369-7.</w:t>
      </w:r>
    </w:p>
    <w:p w14:paraId="4C49F2C3" w14:textId="77777777" w:rsidR="00BA5BCD" w:rsidRDefault="00000000" w:rsidP="00E179CE">
      <w:r>
        <w:t xml:space="preserve">Competition and Markets Authority (2024) </w:t>
      </w:r>
      <w:r>
        <w:rPr>
          <w:i/>
        </w:rPr>
        <w:t>Findings report: loyalty pricing in the groceries sector</w:t>
      </w:r>
      <w:r>
        <w:t>. London: Competition and Markets Authority. Available at: https://www.gov.uk/government/publications/review-of-loyalty-pricing-in-the-groceries-sector (Accessed: 10 July 2026).</w:t>
      </w:r>
    </w:p>
    <w:p w14:paraId="4BF2F7A9" w14:textId="77777777" w:rsidR="00BA5BCD" w:rsidRDefault="00000000" w:rsidP="00E179CE">
      <w:r>
        <w:t xml:space="preserve">Cuesta-Valiño, P., Gutiérrez-Rodríguez, P., Núnez-Barriopedro, E. and García-Henche, B. (2023) 'Strategic orientation towards digitization to improve supermarket loyalty in an omnichannel context', </w:t>
      </w:r>
      <w:r>
        <w:rPr>
          <w:i/>
        </w:rPr>
        <w:t>Journal of Business Research</w:t>
      </w:r>
      <w:r>
        <w:t>, 156, 113475. Available at: https://doi.org/10.1016/j.jbusres.2022.113475.</w:t>
      </w:r>
    </w:p>
    <w:p w14:paraId="4313D98C" w14:textId="77777777" w:rsidR="00BA5BCD" w:rsidRDefault="00000000" w:rsidP="00E179CE">
      <w:r>
        <w:t xml:space="preserve">Davey, J. (2026) 'UK grocery inflation sticks at 4.3% in March, says Worldpanel', </w:t>
      </w:r>
      <w:r>
        <w:rPr>
          <w:i/>
        </w:rPr>
        <w:t>Reuters</w:t>
      </w:r>
      <w:r>
        <w:t>, 31 March. Available at: https://www.reuters.com/business/retail-consumer/uk-grocery-inflation-sticks-43-march-says-worldpanel-2026-03-31/ (Accessed: 10 July 2026).</w:t>
      </w:r>
    </w:p>
    <w:p w14:paraId="6B8DB0D0" w14:textId="77777777" w:rsidR="00BA5BCD" w:rsidRDefault="00000000" w:rsidP="00E179CE">
      <w:r>
        <w:t xml:space="preserve">Department for Business and Trade (2026) </w:t>
      </w:r>
      <w:r>
        <w:rPr>
          <w:i/>
        </w:rPr>
        <w:t>The National Minimum Wage in 2026</w:t>
      </w:r>
      <w:r>
        <w:t>. Available at: https://www.gov.uk/government/publications/the-national-minimum-wage-in-2026/the-national-minimum-wage-in-2026 (Accessed: 10 July 2026).</w:t>
      </w:r>
    </w:p>
    <w:p w14:paraId="35C51D6A" w14:textId="77777777" w:rsidR="00BA5BCD" w:rsidRDefault="00000000" w:rsidP="00E179CE">
      <w:r>
        <w:lastRenderedPageBreak/>
        <w:t xml:space="preserve">Department for Environment, Food &amp; Rural Affairs (2024) </w:t>
      </w:r>
      <w:r>
        <w:rPr>
          <w:i/>
        </w:rPr>
        <w:t>United Kingdom Food Security Report 2024: Theme 3: food supply chain resilience</w:t>
      </w:r>
      <w:r>
        <w:t>. Available at: https://www.gov.uk/government/statistics/united-kingdom-food-security-report-2024/united-kingdom-food-security-report-2024-theme-3-food-supply-chain-resilience (Accessed: 10 July 2026).</w:t>
      </w:r>
    </w:p>
    <w:p w14:paraId="66063D1A" w14:textId="77777777" w:rsidR="00BA5BCD" w:rsidRDefault="00000000" w:rsidP="00E179CE">
      <w:r>
        <w:t xml:space="preserve">Department for Environment, Food &amp; Rural Affairs and Environment Agency (2026) </w:t>
      </w:r>
      <w:r>
        <w:rPr>
          <w:i/>
        </w:rPr>
        <w:t>Extended producer responsibility for packaging: who is affected and what to do</w:t>
      </w:r>
      <w:r>
        <w:t>. Available at: https://www.gov.uk/guidance/extended-producer-responsibility-for-packaging-who-is-affected-and-what-to-do (Accessed: 10 July 2026).</w:t>
      </w:r>
    </w:p>
    <w:p w14:paraId="1863073C" w14:textId="77777777" w:rsidR="00BA5BCD" w:rsidRDefault="00000000" w:rsidP="00E179CE">
      <w:r>
        <w:t xml:space="preserve">Department of Health and Social Care (2025) </w:t>
      </w:r>
      <w:r>
        <w:rPr>
          <w:i/>
        </w:rPr>
        <w:t>Restricting advertising of less healthy food or drink on TV and online: products in scope</w:t>
      </w:r>
      <w:r>
        <w:t>. Available at: https://www.gov.uk/government/publications/restricting-advertising-of-less-healthy-food-or-drink-on-tv-and-online-products-in-scope/restricting-advertising-of-less-healthy-food-or-drink-on-tv-and-online-products-in-scope (Accessed: 10 July 2026).</w:t>
      </w:r>
    </w:p>
    <w:p w14:paraId="2A1934C8" w14:textId="77777777" w:rsidR="00BA5BCD" w:rsidRDefault="00000000" w:rsidP="00E179CE">
      <w:r>
        <w:t xml:space="preserve">Eriksson, E., Norrman, A. and Kembro, J. (2022) 'Understanding the transformation towards omnichannel logistics in grocery retail: a dynamic capabilities perspective', </w:t>
      </w:r>
      <w:r>
        <w:rPr>
          <w:i/>
        </w:rPr>
        <w:t>International Journal of Retail &amp; Distribution Management</w:t>
      </w:r>
      <w:r>
        <w:t>, 50(8/9), pp. 1095-1128. Available at: https://doi.org/10.1108/IJRDM-10-2021-0508.</w:t>
      </w:r>
    </w:p>
    <w:p w14:paraId="240AA809" w14:textId="77777777" w:rsidR="00BA5BCD" w:rsidRDefault="00000000" w:rsidP="00E179CE">
      <w:r>
        <w:t xml:space="preserve">Freeman, R.E. (1984) </w:t>
      </w:r>
      <w:r>
        <w:rPr>
          <w:i/>
        </w:rPr>
        <w:t>Strategic management: a stakeholder approach</w:t>
      </w:r>
      <w:r>
        <w:t>. Boston: Pitman.</w:t>
      </w:r>
    </w:p>
    <w:p w14:paraId="47DD30C5" w14:textId="77777777" w:rsidR="00BA5BCD" w:rsidRDefault="00000000" w:rsidP="00E179CE">
      <w:r>
        <w:t xml:space="preserve">Gibbs, G. (1988) </w:t>
      </w:r>
      <w:r>
        <w:rPr>
          <w:i/>
        </w:rPr>
        <w:t>Learning by doing: a guide to teaching and learning methods</w:t>
      </w:r>
      <w:r>
        <w:t>. Oxford: Oxford Polytechnic.</w:t>
      </w:r>
    </w:p>
    <w:p w14:paraId="0BA4C4B2" w14:textId="77777777" w:rsidR="00BA5BCD" w:rsidRDefault="00000000" w:rsidP="00E179CE">
      <w:r>
        <w:t xml:space="preserve">Hasnain, S. (2024) </w:t>
      </w:r>
      <w:r>
        <w:rPr>
          <w:i/>
        </w:rPr>
        <w:t>Impact of climate change on the UK food system</w:t>
      </w:r>
      <w:r>
        <w:t>. Food Standards Agency. Available at: https://science.food.gov.uk/article/123418-impact-of-climate-change-on-the-uk-food-system (Accessed: 10 July 2026).</w:t>
      </w:r>
    </w:p>
    <w:p w14:paraId="4B1A8CF2" w14:textId="77777777" w:rsidR="00BA5BCD" w:rsidRDefault="00000000" w:rsidP="00E179CE">
      <w:r>
        <w:t xml:space="preserve">Helms, M.M. and Nixon, J. (2010) 'Exploring SWOT analysis: where are we now? A review of academic research from the last decade', </w:t>
      </w:r>
      <w:r>
        <w:rPr>
          <w:i/>
        </w:rPr>
        <w:t>Journal of Strategy and Management</w:t>
      </w:r>
      <w:r>
        <w:t>, 3(3), pp. 215-251. Available at: https://doi.org/10.1108/17554251011064837.</w:t>
      </w:r>
    </w:p>
    <w:p w14:paraId="549E072A" w14:textId="77777777" w:rsidR="00BA5BCD" w:rsidRDefault="00000000" w:rsidP="00E179CE">
      <w:r>
        <w:lastRenderedPageBreak/>
        <w:t xml:space="preserve">J Sainsbury plc (2026a) </w:t>
      </w:r>
      <w:r>
        <w:rPr>
          <w:i/>
        </w:rPr>
        <w:t>Annual Report and Financial Statements 2026</w:t>
      </w:r>
      <w:r>
        <w:t>. Available at: https://corporate.sainsburys.co.uk/media/sx2bk5c5/j-sainsbury-plc-annual-report-and-financial-statements-2026-interactive.pdf (Accessed: 10 July 2026).</w:t>
      </w:r>
    </w:p>
    <w:p w14:paraId="4D85BBA3" w14:textId="77777777" w:rsidR="00BA5BCD" w:rsidRDefault="00000000" w:rsidP="00E179CE">
      <w:r>
        <w:t>J Sainsbury plc (2026b) 'First Quarter Trading Statement for the 16 weeks to 20 June 2026', 30 June. Available at: https://corporate.sainsburys.co.uk/news/press-releases/first-quarter-trading-statement-for-the-16-weeks-to-20-june-2026/ (Accessed: 10 July 2026).</w:t>
      </w:r>
    </w:p>
    <w:p w14:paraId="1E7C2CD7" w14:textId="77777777" w:rsidR="00BA5BCD" w:rsidRDefault="00000000" w:rsidP="00E179CE">
      <w:r>
        <w:t xml:space="preserve">J Sainsbury plc (2026c) </w:t>
      </w:r>
      <w:r>
        <w:rPr>
          <w:i/>
        </w:rPr>
        <w:t>Plan for Better Report 2025/26</w:t>
      </w:r>
      <w:r>
        <w:t>. Available at: https://corporate.sainsburys.co.uk/media/pldfss3l/sainsburys-plan-for-better-report-2025-26.pdf (Accessed: 10 July 2026).</w:t>
      </w:r>
    </w:p>
    <w:p w14:paraId="1CD0F8AB" w14:textId="77777777" w:rsidR="00BA5BCD" w:rsidRDefault="00000000" w:rsidP="00E179CE">
      <w:r>
        <w:t>J Sainsbury plc (2026d) 'Preliminary Results for the 52 weeks ended 28 February 2026', 23 April. Available at: https://corporate.sainsburys.co.uk/news/press-releases/preliminary-results-for-the-52-weeks-ended-28-february-2026/ (Accessed: 10 July 2026).</w:t>
      </w:r>
    </w:p>
    <w:p w14:paraId="17E07351" w14:textId="77777777" w:rsidR="00BA5BCD" w:rsidRDefault="00000000" w:rsidP="00E179CE">
      <w:r>
        <w:t xml:space="preserve">Johnson, G., Whittington, R., Scholes, K., Angwin, D. and Regnér, P. (2020) </w:t>
      </w:r>
      <w:r>
        <w:rPr>
          <w:i/>
        </w:rPr>
        <w:t>Exploring strategy</w:t>
      </w:r>
      <w:r>
        <w:t>. 12th edn. Harlow: Pearson.</w:t>
      </w:r>
    </w:p>
    <w:p w14:paraId="18B4B0F0" w14:textId="77777777" w:rsidR="00BA5BCD" w:rsidRDefault="00000000" w:rsidP="00E179CE">
      <w:r>
        <w:t xml:space="preserve">Kaplan, R.S. and Norton, D.P. (1992) 'The balanced scorecard: measures that drive performance', </w:t>
      </w:r>
      <w:r>
        <w:rPr>
          <w:i/>
        </w:rPr>
        <w:t>Harvard Business Review</w:t>
      </w:r>
      <w:r>
        <w:t>, 70(1), pp. 71-79.</w:t>
      </w:r>
    </w:p>
    <w:p w14:paraId="66F497BD" w14:textId="77777777" w:rsidR="00BA5BCD" w:rsidRDefault="00000000" w:rsidP="00E179CE">
      <w:r>
        <w:t xml:space="preserve">Knott, P.J. (2015) 'Does VRIO help managers evaluate a firm's resources?', </w:t>
      </w:r>
      <w:r>
        <w:rPr>
          <w:i/>
        </w:rPr>
        <w:t>Management Decision</w:t>
      </w:r>
      <w:r>
        <w:t>, 53(8), pp. 1806-1822. Available at: https://doi.org/10.1108/MD-08-2014-0525.</w:t>
      </w:r>
    </w:p>
    <w:p w14:paraId="506E2279" w14:textId="77777777" w:rsidR="00BA5BCD" w:rsidRDefault="00000000" w:rsidP="00E179CE">
      <w:r>
        <w:t xml:space="preserve">Office for National Statistics (2026) </w:t>
      </w:r>
      <w:r>
        <w:rPr>
          <w:i/>
        </w:rPr>
        <w:t>Consumer price inflation, UK: May 2026</w:t>
      </w:r>
      <w:r>
        <w:t>. Available at: https://www.ons.gov.uk/economy/inflationandpriceindices/bulletins/consumerpriceinflation/may2026 (Accessed: 10 July 2026).</w:t>
      </w:r>
    </w:p>
    <w:p w14:paraId="2C2D5C9E" w14:textId="77777777" w:rsidR="00BA5BCD" w:rsidRDefault="00000000" w:rsidP="00E179CE">
      <w:r>
        <w:t xml:space="preserve">Porter, M.E. (1980) </w:t>
      </w:r>
      <w:r>
        <w:rPr>
          <w:i/>
        </w:rPr>
        <w:t>Competitive strategy: techniques for analyzing industries and competitors</w:t>
      </w:r>
      <w:r>
        <w:t>. New York: Free Press.</w:t>
      </w:r>
    </w:p>
    <w:p w14:paraId="6346D903" w14:textId="77777777" w:rsidR="00BA5BCD" w:rsidRDefault="00000000" w:rsidP="00E179CE">
      <w:r>
        <w:t xml:space="preserve">Porter, M.E. (1985) </w:t>
      </w:r>
      <w:r>
        <w:rPr>
          <w:i/>
        </w:rPr>
        <w:t>Competitive advantage: creating and sustaining superior performance</w:t>
      </w:r>
      <w:r>
        <w:t>. New York: Free Press.</w:t>
      </w:r>
    </w:p>
    <w:p w14:paraId="30002A19" w14:textId="77777777" w:rsidR="00BA5BCD" w:rsidRDefault="00000000" w:rsidP="00E179CE">
      <w:r>
        <w:lastRenderedPageBreak/>
        <w:t xml:space="preserve">Porter, M.E. and Kramer, M.R. (2011) 'Creating shared value', </w:t>
      </w:r>
      <w:r>
        <w:rPr>
          <w:i/>
        </w:rPr>
        <w:t>Harvard Business Review</w:t>
      </w:r>
      <w:r>
        <w:t>, 89(1/2), pp. 62-77.</w:t>
      </w:r>
    </w:p>
    <w:p w14:paraId="115BCB0A" w14:textId="77777777" w:rsidR="00BA5BCD" w:rsidRDefault="00000000" w:rsidP="00E179CE">
      <w:r>
        <w:t xml:space="preserve">Riesenegger, L., Santos, M.J., Ostermeier, M., Martins, S., Amorim, P. and Hübner, A. (2023) 'Minimizing food waste in grocery store operations: literature review and research agenda', </w:t>
      </w:r>
      <w:r>
        <w:rPr>
          <w:i/>
        </w:rPr>
        <w:t>Sustainability Analytics and Modeling</w:t>
      </w:r>
      <w:r>
        <w:t>, 3, 100023. Available at: https://doi.org/10.1016/j.samod.2023.100023.</w:t>
      </w:r>
    </w:p>
    <w:p w14:paraId="0988FCD4" w14:textId="77777777" w:rsidR="00BA5BCD" w:rsidRDefault="00000000" w:rsidP="00E179CE">
      <w:r>
        <w:t xml:space="preserve">Teece, D.J., Pisano, G. and Shuen, A. (1997) 'Dynamic capabilities and strategic management', </w:t>
      </w:r>
      <w:r>
        <w:rPr>
          <w:i/>
        </w:rPr>
        <w:t>Strategic Management Journal</w:t>
      </w:r>
      <w:r>
        <w:t>, 18(7), pp. 509-533. Available at: https://doi.org/10.1002/(SICI)1097-0266(199708)18:7%3C509::AID-SMJ882%3E3.0.CO;2-Z.</w:t>
      </w:r>
    </w:p>
    <w:p w14:paraId="6757FB59" w14:textId="77777777" w:rsidR="00BA5BCD" w:rsidRDefault="00000000" w:rsidP="00E179CE">
      <w:r>
        <w:t xml:space="preserve">Vhatkar, M.S., Raut, R.D., Gokhale, R., Cheikhrouhou, N. and Akarte, M. (2024) 'A glimpse of the future sustainable digital omnichannel retailing emerges: a systematic literature review', </w:t>
      </w:r>
      <w:r>
        <w:rPr>
          <w:i/>
        </w:rPr>
        <w:t>Journal of Cleaner Production</w:t>
      </w:r>
      <w:r>
        <w:t>, 442, 141111. Available at: https://doi.org/10.1016/j.jclepro.2024.141111.</w:t>
      </w:r>
    </w:p>
    <w:sectPr w:rsidR="00BA5BCD" w:rsidSect="006E3F74">
      <w:headerReference w:type="default" r:id="rId11"/>
      <w:footerReference w:type="default" r:id="rId12"/>
      <w:pgSz w:w="11906" w:h="16838"/>
      <w:pgMar w:top="1440" w:right="1440" w:bottom="1440" w:left="1440" w:header="454"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39C58" w14:textId="77777777" w:rsidR="002B7721" w:rsidRDefault="002B7721">
      <w:pPr>
        <w:spacing w:after="0" w:line="240" w:lineRule="auto"/>
      </w:pPr>
      <w:r>
        <w:separator/>
      </w:r>
    </w:p>
  </w:endnote>
  <w:endnote w:type="continuationSeparator" w:id="0">
    <w:p w14:paraId="01A8DE57" w14:textId="77777777" w:rsidR="002B7721" w:rsidRDefault="002B7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21FD3" w14:textId="77777777" w:rsidR="00BA5BCD" w:rsidRDefault="00000000">
    <w:pPr>
      <w:pStyle w:val="Footer"/>
      <w:jc w:val="right"/>
    </w:pPr>
    <w:r>
      <w:rPr>
        <w:sz w:val="18"/>
      </w:rPr>
      <w:t xml:space="preserve">Page </w:t>
    </w:r>
    <w:r>
      <w:rPr>
        <w:sz w:val="18"/>
      </w:rPr>
      <w:fldChar w:fldCharType="begin"/>
    </w:r>
    <w:r>
      <w:rPr>
        <w:sz w:val="18"/>
      </w:rPr>
      <w:instrText xml:space="preserve"> PAGE </w:instrText>
    </w:r>
    <w:r>
      <w:rPr>
        <w:sz w:val="18"/>
      </w:rPr>
      <w:fldChar w:fldCharType="separate"/>
    </w:r>
    <w:r w:rsidR="006E3F74">
      <w:rPr>
        <w:noProof/>
        <w:sz w:val="18"/>
      </w:rPr>
      <w:t>2</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B5692" w14:textId="77777777" w:rsidR="002B7721" w:rsidRDefault="002B7721">
      <w:pPr>
        <w:spacing w:after="0" w:line="240" w:lineRule="auto"/>
      </w:pPr>
      <w:r>
        <w:separator/>
      </w:r>
    </w:p>
  </w:footnote>
  <w:footnote w:type="continuationSeparator" w:id="0">
    <w:p w14:paraId="19C5F537" w14:textId="77777777" w:rsidR="002B7721" w:rsidRDefault="002B7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5B518" w14:textId="2A4902AC" w:rsidR="00BA5BCD" w:rsidRDefault="00000000">
    <w:pPr>
      <w:pStyle w:val="Header"/>
      <w:jc w:val="right"/>
    </w:pPr>
    <w:r>
      <w:rPr>
        <w:b/>
        <w:color w:val="66727D"/>
        <w:sz w:val="17"/>
      </w:rPr>
      <w:t xml:space="preserve">STRATEGIC MANAGEMENT </w:t>
    </w:r>
    <w:r w:rsidR="006E3F74">
      <w:rPr>
        <w:b/>
        <w:color w:val="66727D"/>
        <w:sz w:val="17"/>
      </w:rPr>
      <w:t>REPORT | LCMB</w:t>
    </w:r>
    <w:r>
      <w:rPr>
        <w:b/>
        <w:color w:val="66727D"/>
        <w:sz w:val="17"/>
      </w:rPr>
      <w:t>7003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87770913">
    <w:abstractNumId w:val="8"/>
  </w:num>
  <w:num w:numId="2" w16cid:durableId="554047512">
    <w:abstractNumId w:val="6"/>
  </w:num>
  <w:num w:numId="3" w16cid:durableId="846674046">
    <w:abstractNumId w:val="5"/>
  </w:num>
  <w:num w:numId="4" w16cid:durableId="1925146682">
    <w:abstractNumId w:val="4"/>
  </w:num>
  <w:num w:numId="5" w16cid:durableId="1321930919">
    <w:abstractNumId w:val="7"/>
  </w:num>
  <w:num w:numId="6" w16cid:durableId="666639396">
    <w:abstractNumId w:val="3"/>
  </w:num>
  <w:num w:numId="7" w16cid:durableId="1145508492">
    <w:abstractNumId w:val="2"/>
  </w:num>
  <w:num w:numId="8" w16cid:durableId="1347295249">
    <w:abstractNumId w:val="1"/>
  </w:num>
  <w:num w:numId="9" w16cid:durableId="1868442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C7BCF"/>
    <w:rsid w:val="0015074B"/>
    <w:rsid w:val="001A4A5A"/>
    <w:rsid w:val="0029639D"/>
    <w:rsid w:val="002B7721"/>
    <w:rsid w:val="002F1819"/>
    <w:rsid w:val="00326F90"/>
    <w:rsid w:val="003C2145"/>
    <w:rsid w:val="004927E6"/>
    <w:rsid w:val="00511BCA"/>
    <w:rsid w:val="006E3F74"/>
    <w:rsid w:val="008A161B"/>
    <w:rsid w:val="00992FCA"/>
    <w:rsid w:val="00994479"/>
    <w:rsid w:val="00AA1D8D"/>
    <w:rsid w:val="00B47730"/>
    <w:rsid w:val="00BA5BCD"/>
    <w:rsid w:val="00BB689D"/>
    <w:rsid w:val="00CB0664"/>
    <w:rsid w:val="00D043EA"/>
    <w:rsid w:val="00DA0C25"/>
    <w:rsid w:val="00E179C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07203"/>
  <w14:defaultImageDpi w14:val="300"/>
  <w15:docId w15:val="{4801C036-ED0A-4EEE-A491-8C8298C08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360" w:lineRule="auto"/>
      <w:jc w:val="both"/>
    </w:pPr>
    <w:rPr>
      <w:rFonts w:ascii="Arial" w:hAnsi="Arial"/>
      <w:sz w:val="24"/>
    </w:rPr>
  </w:style>
  <w:style w:type="paragraph" w:styleId="Heading1">
    <w:name w:val="heading 1"/>
    <w:basedOn w:val="Normal"/>
    <w:next w:val="Normal"/>
    <w:link w:val="Heading1Char"/>
    <w:uiPriority w:val="9"/>
    <w:qFormat/>
    <w:rsid w:val="006E3F74"/>
    <w:pPr>
      <w:keepNext/>
      <w:keepLines/>
      <w:spacing w:before="320" w:after="160"/>
      <w:outlineLvl w:val="0"/>
    </w:pPr>
    <w:rPr>
      <w:rFonts w:eastAsiaTheme="majorEastAsia" w:cstheme="majorBidi"/>
      <w:b/>
      <w:bCs/>
      <w:color w:val="17324D"/>
      <w:sz w:val="32"/>
      <w:szCs w:val="28"/>
    </w:rPr>
  </w:style>
  <w:style w:type="paragraph" w:styleId="Heading2">
    <w:name w:val="heading 2"/>
    <w:basedOn w:val="Normal"/>
    <w:next w:val="Normal"/>
    <w:link w:val="Heading2Char"/>
    <w:uiPriority w:val="9"/>
    <w:unhideWhenUsed/>
    <w:qFormat/>
    <w:rsid w:val="008A161B"/>
    <w:pPr>
      <w:keepNext/>
      <w:keepLines/>
      <w:spacing w:before="240" w:after="120"/>
      <w:outlineLvl w:val="1"/>
    </w:pPr>
    <w:rPr>
      <w:rFonts w:eastAsiaTheme="majorEastAsia" w:cstheme="majorBidi"/>
      <w:b/>
      <w:bCs/>
      <w:color w:val="F06C00"/>
      <w:sz w:val="28"/>
      <w:szCs w:val="26"/>
    </w:rPr>
  </w:style>
  <w:style w:type="paragraph" w:styleId="Heading3">
    <w:name w:val="heading 3"/>
    <w:basedOn w:val="Normal"/>
    <w:next w:val="Normal"/>
    <w:link w:val="Heading3Char"/>
    <w:uiPriority w:val="9"/>
    <w:unhideWhenUsed/>
    <w:qFormat/>
    <w:rsid w:val="006E3F74"/>
    <w:pPr>
      <w:keepNext/>
      <w:keepLines/>
      <w:spacing w:before="180" w:after="80"/>
      <w:outlineLvl w:val="2"/>
    </w:pPr>
    <w:rPr>
      <w:rFonts w:eastAsiaTheme="majorEastAsia" w:cstheme="majorBidi"/>
      <w:b/>
      <w:bCs/>
      <w:color w:val="17324D"/>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6E3F74"/>
    <w:rPr>
      <w:rFonts w:ascii="Arial" w:eastAsiaTheme="majorEastAsia" w:hAnsi="Arial" w:cstheme="majorBidi"/>
      <w:b/>
      <w:bCs/>
      <w:color w:val="17324D"/>
      <w:sz w:val="32"/>
      <w:szCs w:val="28"/>
    </w:rPr>
  </w:style>
  <w:style w:type="character" w:customStyle="1" w:styleId="Heading2Char">
    <w:name w:val="Heading 2 Char"/>
    <w:basedOn w:val="DefaultParagraphFont"/>
    <w:link w:val="Heading2"/>
    <w:uiPriority w:val="9"/>
    <w:rsid w:val="008A161B"/>
    <w:rPr>
      <w:rFonts w:ascii="Arial" w:eastAsiaTheme="majorEastAsia" w:hAnsi="Arial" w:cstheme="majorBidi"/>
      <w:b/>
      <w:bCs/>
      <w:color w:val="F06C00"/>
      <w:sz w:val="28"/>
      <w:szCs w:val="26"/>
    </w:rPr>
  </w:style>
  <w:style w:type="character" w:customStyle="1" w:styleId="Heading3Char">
    <w:name w:val="Heading 3 Char"/>
    <w:basedOn w:val="DefaultParagraphFont"/>
    <w:link w:val="Heading3"/>
    <w:uiPriority w:val="9"/>
    <w:rsid w:val="006E3F74"/>
    <w:rPr>
      <w:rFonts w:ascii="Arial" w:eastAsiaTheme="majorEastAsia" w:hAnsi="Arial" w:cstheme="majorBidi"/>
      <w:b/>
      <w:bCs/>
      <w:color w:val="17324D"/>
      <w:sz w:val="24"/>
    </w:rPr>
  </w:style>
  <w:style w:type="paragraph" w:styleId="Title">
    <w:name w:val="Title"/>
    <w:basedOn w:val="Normal"/>
    <w:next w:val="Normal"/>
    <w:link w:val="TitleChar"/>
    <w:uiPriority w:val="10"/>
    <w:qFormat/>
    <w:rsid w:val="00FC693F"/>
    <w:pPr>
      <w:keepNext/>
      <w:pBdr>
        <w:bottom w:val="single" w:sz="8" w:space="4" w:color="4F81BD" w:themeColor="accent1"/>
      </w:pBdr>
      <w:spacing w:after="240" w:line="240" w:lineRule="auto"/>
      <w:contextualSpacing/>
    </w:pPr>
    <w:rPr>
      <w:rFonts w:asciiTheme="majorHAnsi" w:eastAsiaTheme="majorEastAsia" w:hAnsiTheme="majorHAnsi" w:cstheme="majorBidi"/>
      <w:b/>
      <w:color w:val="17324D"/>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Custom">
    <w:name w:val="Caption Custom"/>
    <w:pPr>
      <w:keepNext/>
      <w:spacing w:before="120" w:after="60"/>
    </w:pPr>
    <w:rPr>
      <w:rFonts w:ascii="Arial" w:hAnsi="Arial"/>
      <w:b/>
      <w:color w:val="17324D"/>
      <w:sz w:val="21"/>
    </w:rPr>
  </w:style>
  <w:style w:type="paragraph" w:styleId="TOC1">
    <w:name w:val="toc 1"/>
    <w:basedOn w:val="Normal"/>
    <w:next w:val="Normal"/>
    <w:autoRedefine/>
    <w:uiPriority w:val="39"/>
    <w:unhideWhenUsed/>
    <w:rsid w:val="006E3F74"/>
    <w:pPr>
      <w:spacing w:after="100"/>
    </w:pPr>
  </w:style>
  <w:style w:type="paragraph" w:styleId="TOC2">
    <w:name w:val="toc 2"/>
    <w:basedOn w:val="Normal"/>
    <w:next w:val="Normal"/>
    <w:autoRedefine/>
    <w:uiPriority w:val="39"/>
    <w:unhideWhenUsed/>
    <w:rsid w:val="006E3F74"/>
    <w:pPr>
      <w:spacing w:after="100"/>
      <w:ind w:left="240"/>
    </w:pPr>
  </w:style>
  <w:style w:type="character" w:styleId="Hyperlink">
    <w:name w:val="Hyperlink"/>
    <w:basedOn w:val="DefaultParagraphFont"/>
    <w:uiPriority w:val="99"/>
    <w:unhideWhenUsed/>
    <w:rsid w:val="006E3F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27</Pages>
  <Words>6864</Words>
  <Characters>39125</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45898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6</cp:revision>
  <dcterms:created xsi:type="dcterms:W3CDTF">2013-12-23T23:15:00Z</dcterms:created>
  <dcterms:modified xsi:type="dcterms:W3CDTF">2026-07-16T00:10:00Z</dcterms:modified>
  <cp:category/>
</cp:coreProperties>
</file>