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E82" w:rsidRDefault="003F3E82" w:rsidP="003F3E82">
      <w:r w:rsidRPr="00F0191E">
        <w:rPr>
          <w:noProof/>
        </w:rPr>
        <w:drawing>
          <wp:inline distT="0" distB="0" distL="0" distR="0">
            <wp:extent cx="3714750" cy="1231900"/>
            <wp:effectExtent l="0" t="0" r="0" b="6350"/>
            <wp:docPr id="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rsidR="003F3E82" w:rsidRDefault="003F3E82" w:rsidP="003F3E82"/>
    <w:p w:rsidR="003F3E82" w:rsidRPr="00427418" w:rsidRDefault="003F3E82" w:rsidP="003F3E82">
      <w:pPr>
        <w:rPr>
          <w:lang w:val="bg-BG"/>
        </w:rPr>
      </w:pPr>
    </w:p>
    <w:p w:rsidR="003F3E82" w:rsidRDefault="003F3E82" w:rsidP="003F3E82"/>
    <w:p w:rsidR="003F3E82" w:rsidRPr="00F0191E" w:rsidRDefault="003F3E82" w:rsidP="003F3E82">
      <w:pPr>
        <w:jc w:val="center"/>
        <w:rPr>
          <w:b/>
          <w:bCs/>
        </w:rPr>
      </w:pPr>
      <w:r w:rsidRPr="00F0191E">
        <w:rPr>
          <w:b/>
          <w:bCs/>
        </w:rPr>
        <w:t>BA BUSINESS MANAGEMENT</w:t>
      </w:r>
    </w:p>
    <w:p w:rsidR="003F3E82" w:rsidRPr="00F0191E" w:rsidRDefault="003F3E82" w:rsidP="003F3E82">
      <w:pPr>
        <w:jc w:val="center"/>
        <w:rPr>
          <w:b/>
          <w:bCs/>
        </w:rPr>
      </w:pPr>
      <w:r>
        <w:rPr>
          <w:b/>
          <w:bCs/>
        </w:rPr>
        <w:t>Assignment 1</w:t>
      </w:r>
    </w:p>
    <w:p w:rsidR="003F3E82" w:rsidRDefault="003F3E82" w:rsidP="003F3E82"/>
    <w:p w:rsidR="003F3E82" w:rsidRDefault="003F3E82" w:rsidP="003F3E82"/>
    <w:p w:rsidR="003F3E82" w:rsidRDefault="003F3E82" w:rsidP="003F3E82"/>
    <w:p w:rsidR="003F3E82" w:rsidRDefault="003F3E82" w:rsidP="003F3E82"/>
    <w:p w:rsidR="003F3E82" w:rsidRPr="00B86B44" w:rsidRDefault="003F3E82" w:rsidP="003F3E82">
      <w:r w:rsidRPr="00F0191E">
        <w:rPr>
          <w:b/>
          <w:bCs/>
        </w:rPr>
        <w:t>Module</w:t>
      </w:r>
      <w:r w:rsidRPr="00F0191E">
        <w:t xml:space="preserve">: </w:t>
      </w:r>
      <w:r>
        <w:t>Introducing the Modern Workplace</w:t>
      </w:r>
    </w:p>
    <w:p w:rsidR="003F3E82" w:rsidRPr="00F0191E" w:rsidRDefault="003F3E82" w:rsidP="003F3E82">
      <w:r w:rsidRPr="00F0191E">
        <w:rPr>
          <w:b/>
          <w:bCs/>
        </w:rPr>
        <w:t>Code</w:t>
      </w:r>
      <w:r>
        <w:t>: LCBB4003</w:t>
      </w:r>
    </w:p>
    <w:p w:rsidR="003F3E82" w:rsidRPr="00174C1D" w:rsidRDefault="003F3E82" w:rsidP="003F3E82">
      <w:r w:rsidRPr="00F0191E">
        <w:rPr>
          <w:b/>
          <w:bCs/>
        </w:rPr>
        <w:t>Lecturer</w:t>
      </w:r>
      <w:r w:rsidRPr="00F0191E">
        <w:t xml:space="preserve">: </w:t>
      </w:r>
      <w:r>
        <w:t>Dr. Laila Maazouz</w:t>
      </w:r>
    </w:p>
    <w:p w:rsidR="003F3E82" w:rsidRPr="00F0191E" w:rsidRDefault="003F3E82" w:rsidP="003F3E82">
      <w:pPr>
        <w:tabs>
          <w:tab w:val="left" w:pos="1224"/>
        </w:tabs>
        <w:rPr>
          <w:b/>
          <w:bCs/>
        </w:rPr>
      </w:pPr>
      <w:r w:rsidRPr="00F0191E">
        <w:rPr>
          <w:b/>
          <w:bCs/>
        </w:rPr>
        <w:t xml:space="preserve">Name: </w:t>
      </w:r>
      <w:r w:rsidRPr="00F0191E">
        <w:t>Borislav Nenkov</w:t>
      </w:r>
    </w:p>
    <w:p w:rsidR="003F3E82" w:rsidRPr="00F0191E" w:rsidRDefault="003F3E82" w:rsidP="003F3E82">
      <w:pPr>
        <w:rPr>
          <w:b/>
          <w:bCs/>
        </w:rPr>
      </w:pPr>
      <w:r w:rsidRPr="00F0191E">
        <w:rPr>
          <w:b/>
          <w:bCs/>
        </w:rPr>
        <w:t xml:space="preserve">Student </w:t>
      </w:r>
      <w:r w:rsidRPr="00F0191E">
        <w:t>ID:2242940</w:t>
      </w:r>
    </w:p>
    <w:p w:rsidR="003F3E82" w:rsidRPr="009B3D9A" w:rsidRDefault="003F3E82" w:rsidP="003F3E82">
      <w:pPr>
        <w:jc w:val="center"/>
        <w:rPr>
          <w:b/>
          <w:bCs/>
        </w:rPr>
      </w:pPr>
    </w:p>
    <w:p w:rsidR="003F3E82" w:rsidRPr="009B3D9A" w:rsidRDefault="003F3E82" w:rsidP="003F3E82">
      <w:pPr>
        <w:jc w:val="center"/>
        <w:rPr>
          <w:b/>
          <w:bCs/>
        </w:rPr>
      </w:pPr>
    </w:p>
    <w:p w:rsidR="003F3E82" w:rsidRDefault="003F3E82" w:rsidP="003F3E82">
      <w:pPr>
        <w:rPr>
          <w:b/>
          <w:bCs/>
        </w:rPr>
      </w:pPr>
    </w:p>
    <w:p w:rsidR="003F3E82" w:rsidRDefault="003F3E82" w:rsidP="003F3E82">
      <w:pPr>
        <w:rPr>
          <w:b/>
          <w:bCs/>
        </w:rPr>
      </w:pPr>
    </w:p>
    <w:p w:rsidR="003F3E82" w:rsidRDefault="003F3E82" w:rsidP="003F3E82">
      <w:pPr>
        <w:rPr>
          <w:b/>
          <w:bCs/>
        </w:rPr>
      </w:pPr>
    </w:p>
    <w:p w:rsidR="003F3E82" w:rsidRDefault="003F3E82" w:rsidP="003F3E82">
      <w:pPr>
        <w:rPr>
          <w:b/>
          <w:bCs/>
        </w:rPr>
      </w:pPr>
    </w:p>
    <w:p w:rsidR="003F3E82" w:rsidRDefault="003F3E82" w:rsidP="003F3E82">
      <w:pPr>
        <w:rPr>
          <w:b/>
          <w:bCs/>
        </w:rPr>
      </w:pPr>
    </w:p>
    <w:p w:rsidR="003F3E82" w:rsidRDefault="003F3E82" w:rsidP="003F3E82">
      <w:pPr>
        <w:rPr>
          <w:b/>
          <w:bCs/>
        </w:rPr>
      </w:pPr>
    </w:p>
    <w:p w:rsidR="003F3E82" w:rsidRDefault="003F3E82" w:rsidP="003F3E82">
      <w:pPr>
        <w:rPr>
          <w:b/>
          <w:bCs/>
        </w:rPr>
      </w:pPr>
    </w:p>
    <w:p w:rsidR="003F3E82" w:rsidRPr="009B3D9A" w:rsidRDefault="003F3E82" w:rsidP="003F3E82">
      <w:pPr>
        <w:rPr>
          <w:b/>
          <w:bCs/>
        </w:rPr>
      </w:pPr>
    </w:p>
    <w:p w:rsidR="003F3E82" w:rsidRDefault="003F3E82" w:rsidP="003F3E82">
      <w:pPr>
        <w:rPr>
          <w:b/>
          <w:bCs/>
        </w:rPr>
      </w:pPr>
    </w:p>
    <w:p w:rsidR="003F3E82" w:rsidRDefault="003F3E82" w:rsidP="003F3E82">
      <w:pPr>
        <w:jc w:val="center"/>
        <w:rPr>
          <w:b/>
          <w:bCs/>
        </w:rPr>
      </w:pPr>
      <w:r w:rsidRPr="00F0191E">
        <w:rPr>
          <w:b/>
          <w:bCs/>
        </w:rPr>
        <w:t>SUBMITTED ON THE</w:t>
      </w:r>
      <w:r>
        <w:rPr>
          <w:b/>
          <w:bCs/>
        </w:rPr>
        <w:t xml:space="preserve"> 2</w:t>
      </w:r>
      <w:r w:rsidR="00673093">
        <w:rPr>
          <w:b/>
          <w:bCs/>
        </w:rPr>
        <w:t>2</w:t>
      </w:r>
      <w:r w:rsidR="00673093">
        <w:rPr>
          <w:b/>
          <w:bCs/>
          <w:vertAlign w:val="superscript"/>
        </w:rPr>
        <w:t>nd</w:t>
      </w:r>
      <w:r>
        <w:rPr>
          <w:b/>
          <w:bCs/>
        </w:rPr>
        <w:t xml:space="preserve"> April 2024</w:t>
      </w:r>
      <w:r w:rsidRPr="00F0191E">
        <w:rPr>
          <w:b/>
          <w:bCs/>
        </w:rPr>
        <w:t xml:space="preserve"> </w:t>
      </w:r>
    </w:p>
    <w:sdt>
      <w:sdtPr>
        <w:id w:val="1436711691"/>
        <w:docPartObj>
          <w:docPartGallery w:val="Table of Contents"/>
          <w:docPartUnique/>
        </w:docPartObj>
      </w:sdtPr>
      <w:sdtEndPr>
        <w:rPr>
          <w:b/>
          <w:bCs/>
        </w:rPr>
      </w:sdtEndPr>
      <w:sdtContent>
        <w:p w:rsidR="008E4BC4" w:rsidRPr="00EA6F9F" w:rsidRDefault="008E4BC4" w:rsidP="008E4BC4">
          <w:r>
            <w:rPr>
              <w:b/>
              <w:sz w:val="32"/>
              <w:szCs w:val="32"/>
            </w:rPr>
            <w:t>Table of C</w:t>
          </w:r>
          <w:r w:rsidRPr="00EA6F9F">
            <w:rPr>
              <w:b/>
              <w:sz w:val="32"/>
              <w:szCs w:val="32"/>
            </w:rPr>
            <w:t>ontent</w:t>
          </w:r>
          <w:r>
            <w:rPr>
              <w:b/>
              <w:sz w:val="32"/>
              <w:szCs w:val="32"/>
            </w:rPr>
            <w:t>s</w:t>
          </w:r>
        </w:p>
        <w:p w:rsidR="008E4BC4" w:rsidRPr="00EA6F9F" w:rsidRDefault="008E4BC4" w:rsidP="008E4BC4">
          <w:pPr>
            <w:pStyle w:val="TOC1"/>
            <w:tabs>
              <w:tab w:val="right" w:leader="dot" w:pos="9350"/>
            </w:tabs>
            <w:rPr>
              <w:rFonts w:ascii="Arial" w:hAnsi="Arial" w:cs="Arial"/>
              <w:noProof/>
            </w:rPr>
          </w:pPr>
          <w:r w:rsidRPr="00773592">
            <w:fldChar w:fldCharType="begin"/>
          </w:r>
          <w:r>
            <w:instrText xml:space="preserve"> TOC \o "1-3" \h \z \u </w:instrText>
          </w:r>
          <w:r w:rsidRPr="00773592">
            <w:fldChar w:fldCharType="separate"/>
          </w:r>
          <w:hyperlink w:anchor="_Toc152365049" w:history="1">
            <w:r w:rsidRPr="00EA6F9F">
              <w:rPr>
                <w:rStyle w:val="Hyperlink"/>
                <w:rFonts w:ascii="Arial" w:hAnsi="Arial" w:cs="Arial"/>
                <w:noProof/>
              </w:rPr>
              <w:t>Introduction</w:t>
            </w:r>
            <w:r w:rsidRPr="00EA6F9F">
              <w:rPr>
                <w:rFonts w:ascii="Arial" w:hAnsi="Arial" w:cs="Arial"/>
                <w:noProof/>
                <w:webHidden/>
              </w:rPr>
              <w:tab/>
            </w:r>
            <w:r>
              <w:rPr>
                <w:rFonts w:ascii="Arial" w:hAnsi="Arial" w:cs="Arial"/>
                <w:noProof/>
                <w:webHidden/>
              </w:rPr>
              <w:t>3</w:t>
            </w:r>
          </w:hyperlink>
        </w:p>
        <w:p w:rsidR="008E4BC4" w:rsidRPr="00EA6F9F" w:rsidRDefault="008E4BC4" w:rsidP="008E4BC4">
          <w:pPr>
            <w:pStyle w:val="TOC1"/>
            <w:tabs>
              <w:tab w:val="right" w:leader="dot" w:pos="9350"/>
            </w:tabs>
            <w:rPr>
              <w:rFonts w:ascii="Arial" w:hAnsi="Arial" w:cs="Arial"/>
              <w:noProof/>
            </w:rPr>
          </w:pPr>
          <w:hyperlink w:anchor="_Toc152365050" w:history="1">
            <w:r w:rsidR="00673093">
              <w:rPr>
                <w:rStyle w:val="Hyperlink"/>
                <w:rFonts w:ascii="Arial" w:hAnsi="Arial" w:cs="Arial"/>
                <w:noProof/>
              </w:rPr>
              <w:t>HSBC structure</w:t>
            </w:r>
            <w:r w:rsidRPr="00EA6F9F">
              <w:rPr>
                <w:rFonts w:ascii="Arial" w:hAnsi="Arial" w:cs="Arial"/>
                <w:noProof/>
                <w:webHidden/>
              </w:rPr>
              <w:tab/>
            </w:r>
            <w:r>
              <w:rPr>
                <w:rFonts w:ascii="Arial" w:hAnsi="Arial" w:cs="Arial"/>
                <w:noProof/>
                <w:webHidden/>
              </w:rPr>
              <w:t>3</w:t>
            </w:r>
          </w:hyperlink>
        </w:p>
        <w:p w:rsidR="008E4BC4" w:rsidRPr="00EA6F9F" w:rsidRDefault="008E4BC4" w:rsidP="008E4BC4">
          <w:pPr>
            <w:pStyle w:val="TOC1"/>
            <w:tabs>
              <w:tab w:val="right" w:leader="dot" w:pos="9350"/>
            </w:tabs>
            <w:rPr>
              <w:rFonts w:ascii="Arial" w:hAnsi="Arial" w:cs="Arial"/>
              <w:noProof/>
            </w:rPr>
          </w:pPr>
          <w:hyperlink w:anchor="_Toc152365051" w:history="1">
            <w:r w:rsidR="00673093">
              <w:rPr>
                <w:rStyle w:val="Hyperlink"/>
                <w:rFonts w:ascii="Arial" w:hAnsi="Arial" w:cs="Arial"/>
                <w:noProof/>
              </w:rPr>
              <w:t>Culture</w:t>
            </w:r>
            <w:r w:rsidRPr="00EA6F9F">
              <w:rPr>
                <w:rFonts w:ascii="Arial" w:hAnsi="Arial" w:cs="Arial"/>
                <w:noProof/>
                <w:webHidden/>
              </w:rPr>
              <w:tab/>
            </w:r>
            <w:r w:rsidR="00673093">
              <w:rPr>
                <w:rFonts w:ascii="Arial" w:hAnsi="Arial" w:cs="Arial"/>
                <w:noProof/>
                <w:webHidden/>
              </w:rPr>
              <w:t>4</w:t>
            </w:r>
          </w:hyperlink>
        </w:p>
        <w:p w:rsidR="008E4BC4" w:rsidRPr="00EA6F9F" w:rsidRDefault="008E4BC4" w:rsidP="00673093">
          <w:pPr>
            <w:pStyle w:val="TOC1"/>
            <w:tabs>
              <w:tab w:val="right" w:leader="dot" w:pos="9350"/>
            </w:tabs>
            <w:rPr>
              <w:rFonts w:ascii="Arial" w:hAnsi="Arial" w:cs="Arial"/>
              <w:noProof/>
            </w:rPr>
          </w:pPr>
          <w:hyperlink w:anchor="_Toc152365052" w:history="1">
            <w:r w:rsidR="00673093" w:rsidRPr="00673093">
              <w:rPr>
                <w:rStyle w:val="Hyperlink"/>
                <w:rFonts w:ascii="Arial" w:hAnsi="Arial" w:cs="Arial"/>
                <w:noProof/>
              </w:rPr>
              <w:t>Performance of the organisation and employee motivation</w:t>
            </w:r>
            <w:r w:rsidRPr="00EA6F9F">
              <w:rPr>
                <w:rFonts w:ascii="Arial" w:hAnsi="Arial" w:cs="Arial"/>
                <w:noProof/>
                <w:webHidden/>
              </w:rPr>
              <w:tab/>
            </w:r>
            <w:r w:rsidR="00673093">
              <w:rPr>
                <w:rFonts w:ascii="Arial" w:hAnsi="Arial" w:cs="Arial"/>
                <w:noProof/>
                <w:webHidden/>
              </w:rPr>
              <w:t>5</w:t>
            </w:r>
          </w:hyperlink>
        </w:p>
        <w:p w:rsidR="008E4BC4" w:rsidRPr="00EA6F9F" w:rsidRDefault="008E4BC4" w:rsidP="008E4BC4">
          <w:pPr>
            <w:pStyle w:val="TOC1"/>
            <w:tabs>
              <w:tab w:val="right" w:leader="dot" w:pos="9350"/>
            </w:tabs>
            <w:rPr>
              <w:rFonts w:ascii="Arial" w:hAnsi="Arial" w:cs="Arial"/>
              <w:noProof/>
            </w:rPr>
          </w:pPr>
          <w:hyperlink w:anchor="_Toc152365054" w:history="1">
            <w:r>
              <w:rPr>
                <w:rStyle w:val="Hyperlink"/>
                <w:rFonts w:ascii="Arial" w:hAnsi="Arial" w:cs="Arial"/>
                <w:noProof/>
              </w:rPr>
              <w:t>Conclusion</w:t>
            </w:r>
            <w:r w:rsidRPr="00EA6F9F">
              <w:rPr>
                <w:rFonts w:ascii="Arial" w:hAnsi="Arial" w:cs="Arial"/>
                <w:noProof/>
                <w:webHidden/>
              </w:rPr>
              <w:tab/>
            </w:r>
            <w:r w:rsidR="00673093">
              <w:rPr>
                <w:rFonts w:ascii="Arial" w:hAnsi="Arial" w:cs="Arial"/>
                <w:noProof/>
                <w:webHidden/>
              </w:rPr>
              <w:t>8</w:t>
            </w:r>
          </w:hyperlink>
        </w:p>
        <w:p w:rsidR="008E4BC4" w:rsidRDefault="008E4BC4" w:rsidP="008E4BC4">
          <w:pPr>
            <w:pStyle w:val="TOC1"/>
            <w:tabs>
              <w:tab w:val="right" w:leader="dot" w:pos="9350"/>
            </w:tabs>
            <w:rPr>
              <w:noProof/>
            </w:rPr>
          </w:pPr>
          <w:hyperlink w:anchor="_Toc152365056" w:history="1">
            <w:r w:rsidRPr="00EA6F9F">
              <w:rPr>
                <w:rStyle w:val="Hyperlink"/>
                <w:rFonts w:ascii="Arial" w:hAnsi="Arial" w:cs="Arial"/>
                <w:noProof/>
              </w:rPr>
              <w:t>Reference</w:t>
            </w:r>
            <w:r>
              <w:rPr>
                <w:rStyle w:val="Hyperlink"/>
                <w:rFonts w:ascii="Arial" w:hAnsi="Arial" w:cs="Arial"/>
                <w:noProof/>
              </w:rPr>
              <w:t>s</w:t>
            </w:r>
            <w:r w:rsidRPr="00EA6F9F">
              <w:rPr>
                <w:rFonts w:ascii="Arial" w:hAnsi="Arial" w:cs="Arial"/>
                <w:noProof/>
                <w:webHidden/>
              </w:rPr>
              <w:tab/>
            </w:r>
            <w:r>
              <w:rPr>
                <w:rFonts w:ascii="Arial" w:hAnsi="Arial" w:cs="Arial"/>
                <w:noProof/>
                <w:webHidden/>
              </w:rPr>
              <w:t>9</w:t>
            </w:r>
          </w:hyperlink>
        </w:p>
        <w:p w:rsidR="008E4BC4" w:rsidRDefault="008E4BC4" w:rsidP="008E4BC4">
          <w:pPr>
            <w:spacing w:after="200"/>
            <w:jc w:val="center"/>
            <w:rPr>
              <w:b/>
              <w:bCs/>
            </w:rPr>
          </w:pPr>
          <w:r>
            <w:rPr>
              <w:b/>
              <w:bCs/>
            </w:rPr>
            <w:fldChar w:fldCharType="end"/>
          </w:r>
        </w:p>
      </w:sdtContent>
    </w:sdt>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A35882" w:rsidRDefault="00A35882">
      <w:pPr>
        <w:rPr>
          <w:sz w:val="22"/>
          <w:szCs w:val="22"/>
        </w:rPr>
      </w:pPr>
    </w:p>
    <w:p w:rsidR="008E4BC4" w:rsidRDefault="008E4BC4">
      <w:pPr>
        <w:rPr>
          <w:sz w:val="22"/>
          <w:szCs w:val="22"/>
        </w:rPr>
      </w:pPr>
    </w:p>
    <w:p w:rsidR="00673093" w:rsidRDefault="00673093">
      <w:pPr>
        <w:rPr>
          <w:b/>
          <w:sz w:val="28"/>
          <w:szCs w:val="28"/>
        </w:rPr>
      </w:pPr>
    </w:p>
    <w:p w:rsidR="00673093" w:rsidRDefault="00673093">
      <w:pPr>
        <w:rPr>
          <w:b/>
          <w:sz w:val="28"/>
          <w:szCs w:val="28"/>
        </w:rPr>
      </w:pPr>
    </w:p>
    <w:p w:rsidR="00A35882" w:rsidRPr="008E4BC4" w:rsidRDefault="008E4BC4">
      <w:pPr>
        <w:rPr>
          <w:b/>
          <w:sz w:val="28"/>
          <w:szCs w:val="28"/>
        </w:rPr>
      </w:pPr>
      <w:r w:rsidRPr="008E4BC4">
        <w:rPr>
          <w:b/>
          <w:sz w:val="28"/>
          <w:szCs w:val="28"/>
        </w:rPr>
        <w:lastRenderedPageBreak/>
        <w:t>Introduction</w:t>
      </w:r>
    </w:p>
    <w:p w:rsidR="00A35882" w:rsidRDefault="00A35882">
      <w:pPr>
        <w:rPr>
          <w:sz w:val="22"/>
          <w:szCs w:val="22"/>
        </w:rPr>
      </w:pPr>
    </w:p>
    <w:p w:rsidR="00FC7749" w:rsidRDefault="00AB1599">
      <w:pPr>
        <w:rPr>
          <w:sz w:val="22"/>
          <w:szCs w:val="22"/>
        </w:rPr>
      </w:pPr>
      <w:r w:rsidRPr="003F3E82">
        <w:rPr>
          <w:sz w:val="22"/>
          <w:szCs w:val="22"/>
        </w:rPr>
        <w:t>The global reach of HSBC, one of the world's leading banks by total assets, extends over 64 nations and territories in regions as diverse as the Middle East, North and Latin America, Asia, and Europe. HSBC has operations in 62 countries and an asset value of $3 trillion (HSBC, 2023). The Hong Kong and Shanghai Banking Corporation (HSBC) has been involved in facilitating Asian-European commerce from its inception in 1865 in Hong Kong, when it was known as the Hongkong and Shanghai Banking Corporation Limited (Morris, 2015). Ever since then, it has grown steadily via internal growth and external acquisitions, eventually becoming a truly global bank based in London. Retail Banking and Wealth Management, Commercial Banking, Global Private Banking, and Worldwide Banking and Markets are the four global businesses that HSBC runs. Nearly forty million people rely on the services offered by these businesses. The purpose of this essay is to examine the relationship between HSBC's organisational culture and structure and the company's financial performance. To begin, it will examine HSBC's regional and divisional structure and how it affects the outcomes by applying Galbraith's Star Model for structure design. Using the concepts of Deal and Kennedy's cultural framework, the next phase of the analysis is to assess the impact of HSBC's risk-averse and customer-centric culture on performance.</w:t>
      </w:r>
    </w:p>
    <w:p w:rsidR="00673093" w:rsidRDefault="00673093">
      <w:pPr>
        <w:rPr>
          <w:sz w:val="22"/>
          <w:szCs w:val="22"/>
        </w:rPr>
      </w:pPr>
    </w:p>
    <w:p w:rsidR="00673093" w:rsidRPr="00673093" w:rsidRDefault="00673093">
      <w:pPr>
        <w:rPr>
          <w:b/>
          <w:bCs/>
          <w:sz w:val="28"/>
          <w:szCs w:val="28"/>
        </w:rPr>
      </w:pPr>
      <w:r w:rsidRPr="00673093">
        <w:rPr>
          <w:b/>
          <w:sz w:val="28"/>
          <w:szCs w:val="28"/>
        </w:rPr>
        <w:t>HSBC structure</w:t>
      </w:r>
    </w:p>
    <w:p w:rsidR="00FC7749" w:rsidRPr="003F3E82" w:rsidRDefault="00FC7749">
      <w:pPr>
        <w:rPr>
          <w:sz w:val="22"/>
          <w:szCs w:val="22"/>
        </w:rPr>
      </w:pPr>
    </w:p>
    <w:p w:rsidR="00FC7749" w:rsidRPr="003F3E82" w:rsidRDefault="00AB1599">
      <w:pPr>
        <w:rPr>
          <w:sz w:val="22"/>
          <w:szCs w:val="22"/>
        </w:rPr>
      </w:pPr>
      <w:bookmarkStart w:id="0" w:name="_xluql0id755u" w:colFirst="0" w:colLast="0"/>
      <w:bookmarkEnd w:id="0"/>
      <w:r w:rsidRPr="003F3E82">
        <w:rPr>
          <w:sz w:val="22"/>
          <w:szCs w:val="22"/>
        </w:rPr>
        <w:t xml:space="preserve">Geographical and functional divisions make up HSBC's organisational structure; global corporations oversee the bank as a whole, while regional divisions are responsible for certain markets. The four main worldwide firms that make up HSBC provide banking and financial services to customers all over the globe (Clarke, 2021). These companies operate on a worldwide scale. This branch of banking encompasses four distinct specialisations: retail, wealth management, commercial, and worldwide private banking. Retail banking is in charge of individual clients' financial requirements, as opposed to the commercial and institutional clients served by commercial banking (Amala, 2021). On the other hand, Global Banking and Markets offers a variety of services to investors, financial institutions, and international corporations, including capital raising, advising services, and risk management. Global Private Banking oversees the financial planning and asset management of extremely wealthy individuals. The three main divisions of HSBC are Europe, Asia, and Americas region (Lumley, 2023). It is the </w:t>
      </w:r>
      <w:r w:rsidRPr="003F3E82">
        <w:rPr>
          <w:sz w:val="22"/>
          <w:szCs w:val="22"/>
        </w:rPr>
        <w:lastRenderedPageBreak/>
        <w:t>responsibility of each regional division to handle local market activities within their own geographic zones. The Asia region encompasses a number of major local market units, including Greater China, India, the ASEAN nations, and Hong Kong. European countries with strong economies, such as Germany, France, and the UK, host local banking subsidiaries. In this geographical setup, global coordination is possible via group-wide activities, while local relevance is preserved by operations tailored to specific regions' marketplaces.</w:t>
      </w:r>
    </w:p>
    <w:p w:rsidR="00FC7749" w:rsidRPr="003F3E82" w:rsidRDefault="00AB1599">
      <w:pPr>
        <w:rPr>
          <w:sz w:val="22"/>
          <w:szCs w:val="22"/>
        </w:rPr>
      </w:pPr>
      <w:r w:rsidRPr="003F3E82">
        <w:rPr>
          <w:sz w:val="22"/>
          <w:szCs w:val="22"/>
        </w:rPr>
        <w:tab/>
      </w:r>
    </w:p>
    <w:p w:rsidR="00FC7749" w:rsidRDefault="00AB1599">
      <w:pPr>
        <w:rPr>
          <w:sz w:val="22"/>
          <w:szCs w:val="22"/>
        </w:rPr>
      </w:pPr>
      <w:bookmarkStart w:id="1" w:name="_8dkxp4yy6n9u" w:colFirst="0" w:colLast="0"/>
      <w:bookmarkEnd w:id="1"/>
      <w:r w:rsidRPr="003F3E82">
        <w:rPr>
          <w:sz w:val="22"/>
          <w:szCs w:val="22"/>
        </w:rPr>
        <w:t>The Galbraith Star Model is a framework that links organisational strategy with design. Organisational structures should be aligned along three main dimensions: scope, variety, and unpredictability, in light of this (Galbraith, 2017). The divisional and regional structure by which HSBC operates is able to describe the organisation’s structure through the aforementioned star model. Disaggregation into regions allows countries to react to economic shocks or emergencies on a more local level. Nevertheless, it is critical to keep the strategy coherent by coordinating on a global scale through group functions. Global monitoring helps to limit risks caused by regional volatility, while local units are offered the possibility for flexibility under this framework. The empirical evidence shows that HSBC does better than its rivals when the economy is severely stressed, suggesting that the company's structural flexibility allows it to endure the adverse conditions of outside influences. Thus, HSBC's "Star" design, which promotes both consolidation and decentralisation, has shown to be flexible enough to accommodate the wide variety of markets in which it operates as well as the ever-changing nature of the risks it encounters. Because of this, it is better positioned compared to competitors over cycles, which improves performance.</w:t>
      </w:r>
    </w:p>
    <w:p w:rsidR="00673093" w:rsidRDefault="00673093">
      <w:pPr>
        <w:rPr>
          <w:sz w:val="22"/>
          <w:szCs w:val="22"/>
        </w:rPr>
      </w:pPr>
    </w:p>
    <w:p w:rsidR="00673093" w:rsidRPr="00673093" w:rsidRDefault="00673093">
      <w:pPr>
        <w:rPr>
          <w:b/>
          <w:sz w:val="28"/>
          <w:szCs w:val="28"/>
        </w:rPr>
      </w:pPr>
      <w:r w:rsidRPr="00673093">
        <w:rPr>
          <w:b/>
          <w:sz w:val="28"/>
          <w:szCs w:val="28"/>
        </w:rPr>
        <w:t>Culture</w:t>
      </w:r>
    </w:p>
    <w:p w:rsidR="00FC7749" w:rsidRPr="003F3E82" w:rsidRDefault="00FC7749">
      <w:pPr>
        <w:rPr>
          <w:sz w:val="22"/>
          <w:szCs w:val="22"/>
        </w:rPr>
      </w:pPr>
    </w:p>
    <w:p w:rsidR="00FC7749" w:rsidRPr="003F3E82" w:rsidRDefault="00AB1599">
      <w:pPr>
        <w:rPr>
          <w:sz w:val="22"/>
          <w:szCs w:val="22"/>
        </w:rPr>
      </w:pPr>
      <w:bookmarkStart w:id="2" w:name="_ksmk4sjo61k6" w:colFirst="0" w:colLast="0"/>
      <w:bookmarkEnd w:id="2"/>
      <w:r w:rsidRPr="003F3E82">
        <w:rPr>
          <w:sz w:val="22"/>
          <w:szCs w:val="22"/>
        </w:rPr>
        <w:t xml:space="preserve">The distinctive organisational culture of HSBC is defined by the risk-averse and customer-centric strategy the bank employs. The bank's foundation is financing trade in the very unpredictable Asian markets, so it understands the need of managing risks and maintaining stability. Two main ways that risk taking is strictly restricted are through careful credit rules and conservative investment practices. Consistency and accountability in corporate practices are ensured via the steadfast emphasis on conservatism at every level (Saleh and Tuwaijri, 2022). The needs of HSBC's clients are paramount to the business, according to the customer-centric culture that permeates the organisation. The bank is aware of its capacity to know its customers inside and out and build reliable, long-term relationships with them through individualised </w:t>
      </w:r>
      <w:r w:rsidRPr="003F3E82">
        <w:rPr>
          <w:sz w:val="22"/>
          <w:szCs w:val="22"/>
        </w:rPr>
        <w:lastRenderedPageBreak/>
        <w:t>service. A number of distinctive features define HSBC's service philosophy. These include being respectful, attentive to individual requirements, and helpful in achieving customer goals. From the professional retail bank tellers to the personalised investment solutions created by wealth advisers, every member of staff embodies this customer-first ethos. Consistency, unfaltering honesty, and mutually beneficial connections with clients are hallmarks of HSBC's organisational culture, which is built around its long-standing aversion to risk and its steadfast dedication to meeting customer demands.</w:t>
      </w:r>
    </w:p>
    <w:p w:rsidR="00FC7749" w:rsidRPr="003F3E82" w:rsidRDefault="00FC7749">
      <w:pPr>
        <w:rPr>
          <w:sz w:val="22"/>
          <w:szCs w:val="22"/>
        </w:rPr>
      </w:pPr>
    </w:p>
    <w:p w:rsidR="00FC7749" w:rsidRDefault="00AB1599">
      <w:pPr>
        <w:rPr>
          <w:sz w:val="22"/>
          <w:szCs w:val="22"/>
        </w:rPr>
      </w:pPr>
      <w:bookmarkStart w:id="3" w:name="_toqb1jg0l6gw" w:colFirst="0" w:colLast="0"/>
      <w:bookmarkEnd w:id="3"/>
      <w:r w:rsidRPr="003F3E82">
        <w:rPr>
          <w:sz w:val="22"/>
          <w:szCs w:val="22"/>
        </w:rPr>
        <w:t>In their classification of cultural norms, Deal and Kennedy identify four distinct types: power cultures, role cultures, success cultures, and support cultures (Ebadollah, 2011). The corporate culture of HSBC seems to be a hybrid of success and support cultures. Utilising a balanced scorecard system to set high performance criteria and targets and to reward people for reaching them helps to cultivate an achievement culture. For example, in the banking sector, employees might expect to get more rewards if they meet their cross-selling sales targets. This has a direct impact on the bottom line as it raises individual productivity (Yu, 2023). The necessity of setting ambitious goals and objectives is highly valued at HSBC, a corporation with a culture that appreciates success. Using a balanced scorecard system allows for the cascading of objectives from senior leadership to individual staff levels. The intended results cover a broad variety of critical operational and financial metrics, such as customer satisfaction indices, cross-selling statistics, returns, deposits, and loans extended. Governments are typically risk-averse, which helps explain why their requirements are so high.</w:t>
      </w:r>
    </w:p>
    <w:p w:rsidR="00673093" w:rsidRDefault="00673093">
      <w:pPr>
        <w:rPr>
          <w:sz w:val="22"/>
          <w:szCs w:val="22"/>
        </w:rPr>
      </w:pPr>
    </w:p>
    <w:p w:rsidR="00673093" w:rsidRPr="00673093" w:rsidRDefault="00673093" w:rsidP="00673093">
      <w:pPr>
        <w:rPr>
          <w:b/>
          <w:sz w:val="28"/>
          <w:szCs w:val="28"/>
        </w:rPr>
      </w:pPr>
      <w:r>
        <w:rPr>
          <w:b/>
          <w:sz w:val="28"/>
          <w:szCs w:val="28"/>
        </w:rPr>
        <w:t>P</w:t>
      </w:r>
      <w:r w:rsidRPr="00673093">
        <w:rPr>
          <w:b/>
          <w:sz w:val="28"/>
          <w:szCs w:val="28"/>
        </w:rPr>
        <w:t>erformance of the organisation</w:t>
      </w:r>
      <w:r>
        <w:rPr>
          <w:b/>
          <w:sz w:val="28"/>
          <w:szCs w:val="28"/>
        </w:rPr>
        <w:t xml:space="preserve"> and employee motivation</w:t>
      </w:r>
    </w:p>
    <w:p w:rsidR="00FC7749" w:rsidRPr="003F3E82" w:rsidRDefault="00FC7749">
      <w:pPr>
        <w:rPr>
          <w:sz w:val="22"/>
          <w:szCs w:val="22"/>
        </w:rPr>
      </w:pPr>
    </w:p>
    <w:p w:rsidR="00FC7749" w:rsidRDefault="00AB1599">
      <w:pPr>
        <w:rPr>
          <w:sz w:val="22"/>
          <w:szCs w:val="22"/>
        </w:rPr>
      </w:pPr>
      <w:r w:rsidRPr="003F3E82">
        <w:rPr>
          <w:sz w:val="22"/>
          <w:szCs w:val="22"/>
        </w:rPr>
        <w:t xml:space="preserve">Performance is closely monitored, and those who accomplish ambitious goals are duly acknowledged for their hard work. When relationship managers reach sales goals, such as a certain number of monthly credit card enrollments or a certain amount of investment switch transactions, they are eligible for additional income. Similarly, branch tellers might get salary raises depending on their performance if they handle more transactions each day. Employees are motivated to reach new heights and make direct contributions to the expansion of the bottom line as a result of this results-oriented mindset. Meanwhile, HSBC has a remarkable number of support cultural traits. The company's regional divisional structure promotes teamwork by breaking it down into local divisions based on client or industry specialisations. Teams are given authority so that they may address problems that consumers are facing and </w:t>
      </w:r>
      <w:r w:rsidRPr="003F3E82">
        <w:rPr>
          <w:sz w:val="22"/>
          <w:szCs w:val="22"/>
        </w:rPr>
        <w:lastRenderedPageBreak/>
        <w:t>keep their specialist knowledge of their specific areas up to date. Additionally, this risk-averse organisation's foundations promote long-term stability. In order to keep things running smoothly, it is quite unusual for employees to be transferred from one position to another, with the exception of promotions. The organisation is able to keep a high degree of industry expertise thanks to its employees, who often stay for more than ten years. Because it helps to build trustworthy relationships that are hard to break, keeping a steady staff is crucial to the banking industry. Standard &amp; Poor's credit ratings for HSBC emphasise the bank's "stable and experienced management team" as a reason for its strong financial risk profile. It gains a competitive advantage in defence due to these traits. Financial institutions with a track record of stability, like HSBC, are better able to endure economic struggles such as the one going on in the UK. For this reason, the hybrid culture it uses, which is performance-based, has served the company well in its expansion and protection efforts.</w:t>
      </w:r>
    </w:p>
    <w:p w:rsidR="00FC7749" w:rsidRPr="003F3E82" w:rsidRDefault="00FC7749">
      <w:pPr>
        <w:rPr>
          <w:sz w:val="22"/>
          <w:szCs w:val="22"/>
        </w:rPr>
      </w:pPr>
      <w:bookmarkStart w:id="4" w:name="_dh73g1sqnlxo" w:colFirst="0" w:colLast="0"/>
      <w:bookmarkEnd w:id="4"/>
    </w:p>
    <w:p w:rsidR="00FC7749" w:rsidRPr="003F3E82" w:rsidRDefault="00AB1599">
      <w:pPr>
        <w:rPr>
          <w:sz w:val="22"/>
          <w:szCs w:val="22"/>
        </w:rPr>
      </w:pPr>
      <w:r w:rsidRPr="003F3E82">
        <w:rPr>
          <w:sz w:val="22"/>
          <w:szCs w:val="22"/>
        </w:rPr>
        <w:t>HSBC must be able to motivate its enormous global staff if it wants to continue to succeed. Renowned theories of motivation inform the bank's strategies, which include a range of intrinsic and extrinsic ways that are combined. Extrinsically, HSBC aims to provide basic needs by offering competitive salaries that are measured against local markets. Bonuses are given out to employees when they reach certain goals. These goals are based on balanced scorecard targets, which are set across critical characteristics including growth, efficiency, and sales (The Business Times, 2024). This allows top performers to see a rise in their salaries, which is crucial to the valence principle proposed by Vroom. There is also a focus on professional growth and training to meet valence. The HSBC University programmes, global rotations, and classes all contribute to this goal.</w:t>
      </w:r>
    </w:p>
    <w:p w:rsidR="00FC7749" w:rsidRPr="003F3E82" w:rsidRDefault="00FC7749">
      <w:pPr>
        <w:rPr>
          <w:sz w:val="22"/>
          <w:szCs w:val="22"/>
        </w:rPr>
      </w:pPr>
    </w:p>
    <w:p w:rsidR="00FC7749" w:rsidRPr="003F3E82" w:rsidRDefault="00AB1599">
      <w:pPr>
        <w:rPr>
          <w:sz w:val="22"/>
          <w:szCs w:val="22"/>
        </w:rPr>
      </w:pPr>
      <w:r w:rsidRPr="003F3E82">
        <w:rPr>
          <w:sz w:val="22"/>
          <w:szCs w:val="22"/>
        </w:rPr>
        <w:t xml:space="preserve">Regardless, Herzberg stressed that people are not inspired by outward hygiene factors alone in the long run. On top of that, HSBC considers inherent elements that are very attractive to requests for higher-order growth. In line with Maslow's theory, the company's success culture promotes self-actualization by giving people freedom and responsibility in how objectives are accomplished. Regional divisions, in keeping with Maslow's theory, form teams according to client expertise; the objective is to foster supportive ties and a feeling of belonging via teamwork. HSBC's employees have long tenures, which not only meets the security criteria but also accentuates the bank's stability, which is valued in a risk-averse society. The bank also meets the criteria for expansion through recognition. Those who have earned the admiration of their colleagues and superiors via outstanding customer service—for example, by handling </w:t>
      </w:r>
      <w:r w:rsidRPr="003F3E82">
        <w:rPr>
          <w:sz w:val="22"/>
          <w:szCs w:val="22"/>
        </w:rPr>
        <w:lastRenderedPageBreak/>
        <w:t>difficult issues with grace or by bringing in new clients—are feted each year with the Champions Awards. Vroom argues that internal psychological incentives directly linked to success are more efficient than extrinsic compensation in driving higher effort-to-performance expectations.</w:t>
      </w:r>
    </w:p>
    <w:p w:rsidR="00FC7749" w:rsidRPr="003F3E82" w:rsidRDefault="00FC7749">
      <w:pPr>
        <w:rPr>
          <w:sz w:val="22"/>
          <w:szCs w:val="22"/>
        </w:rPr>
      </w:pPr>
    </w:p>
    <w:p w:rsidR="00FC7749" w:rsidRPr="003F3E82" w:rsidRDefault="00AB1599">
      <w:pPr>
        <w:rPr>
          <w:sz w:val="22"/>
          <w:szCs w:val="22"/>
        </w:rPr>
      </w:pPr>
      <w:r w:rsidRPr="003F3E82">
        <w:rPr>
          <w:sz w:val="22"/>
          <w:szCs w:val="22"/>
        </w:rPr>
        <w:t>Research shows that these methods are helping HSBC retain a considerably larger percentage of its employees than its rivals, lending credence to the idea that they are beneficial. Low turnover is an indication of both the inherent congruence between human goals and company objectives and the organisational commitment present inside the organisation, according to Vroom's force theory, which asserts that motives and culture are mutually supporting. In order to evaluate morale and identify problem areas, the organisation surveys workers every three months to assess their degree of involvement (The Business Times, 2024). The objective is to progressively raise satisfaction levels. As a result, HSBC's systematic and individualised motivational plan integrates lower- and higher-order needs via the use of an equilibrium of intrinsic and extrinsic variables grounded in motivation theory. This competitive edge allows it to retain top-tier talent, which in turn boosts performance.</w:t>
      </w:r>
    </w:p>
    <w:p w:rsidR="00FC7749" w:rsidRPr="003F3E82" w:rsidRDefault="00FC7749">
      <w:pPr>
        <w:rPr>
          <w:sz w:val="22"/>
          <w:szCs w:val="22"/>
        </w:rPr>
      </w:pPr>
    </w:p>
    <w:p w:rsidR="00673093" w:rsidRDefault="00AB1599">
      <w:pPr>
        <w:rPr>
          <w:sz w:val="22"/>
          <w:szCs w:val="22"/>
        </w:rPr>
      </w:pPr>
      <w:bookmarkStart w:id="5" w:name="_vvbps78enjim" w:colFirst="0" w:colLast="0"/>
      <w:bookmarkEnd w:id="5"/>
      <w:r w:rsidRPr="003F3E82">
        <w:rPr>
          <w:sz w:val="22"/>
          <w:szCs w:val="22"/>
        </w:rPr>
        <w:t>The current employee incentive strategies used by HSBC have shown to be mostly effective; yet, there is room for improvement. A possible solution is for managers to offer more guidance and support to employees in order to boost their involvement. The current goals have a good cascade effect, but Vroom argues that direct supervisors should provide more coaching and advice to further solidify the effort-performance expectations. Motivated workers who are interested in advancing their careers could benefit from informal career path discussions and coaching on various skill development subjects. Another possible strategy to boost motivation is peer recognition that extends beyond yearly prizes. Instant gratification and self-actualization are the immediate outcomes of spot awards that recognise teamwork, training, or creative thinking (Lumley, 2023). It is critical to diversify development courses with rising subjects like data analytics, artificial intelligence, or digital banking to ensure that all employees continue to regard career options as relevant. Overall, it is essential to better adapt to the constantly evolving needs by conducting pulse surveys on a regular basis alongside annual reviews. Questions about work-life balance, perspectives on inclusivity, and challenges faced on the job are included in standard surveys. It is important to handle any issues that may emerge to ensure that both the intrinsic and extrinsic components suitably meet lower and higher level needs.</w:t>
      </w:r>
    </w:p>
    <w:p w:rsidR="00673093" w:rsidRDefault="00673093">
      <w:pPr>
        <w:rPr>
          <w:sz w:val="22"/>
          <w:szCs w:val="22"/>
        </w:rPr>
      </w:pPr>
    </w:p>
    <w:p w:rsidR="008E4BC4" w:rsidRDefault="008E4BC4">
      <w:pPr>
        <w:rPr>
          <w:b/>
          <w:sz w:val="28"/>
          <w:szCs w:val="28"/>
        </w:rPr>
      </w:pPr>
      <w:r w:rsidRPr="008E4BC4">
        <w:rPr>
          <w:b/>
          <w:sz w:val="28"/>
          <w:szCs w:val="28"/>
        </w:rPr>
        <w:lastRenderedPageBreak/>
        <w:t>Conclusion</w:t>
      </w:r>
    </w:p>
    <w:p w:rsidR="008E4BC4" w:rsidRPr="008E4BC4" w:rsidRDefault="008E4BC4">
      <w:pPr>
        <w:rPr>
          <w:b/>
          <w:sz w:val="28"/>
          <w:szCs w:val="28"/>
        </w:rPr>
      </w:pPr>
    </w:p>
    <w:p w:rsidR="00FC7749" w:rsidRPr="003F3E82" w:rsidRDefault="00AB1599">
      <w:pPr>
        <w:rPr>
          <w:sz w:val="22"/>
          <w:szCs w:val="22"/>
        </w:rPr>
      </w:pPr>
      <w:bookmarkStart w:id="6" w:name="_9lci2wwkh3lm" w:colFirst="0" w:colLast="0"/>
      <w:bookmarkEnd w:id="6"/>
      <w:r w:rsidRPr="003F3E82">
        <w:rPr>
          <w:sz w:val="22"/>
          <w:szCs w:val="22"/>
        </w:rPr>
        <w:t>Finally, the employee incentive programmes that HSBC has established show that the theory of motivation has been effective in engaging the massive global workforce that the corporation employs. A mixed intrinsic-extrinsic approach is optimal for meeting both basic and complex desires. This has resulted in consistently high retention rates when compared to other companies in the field. More targeted recognition, more direction, more diversified training, and frequent surveys may all contribute to continual growth, which in turn will make it easier to maintain motivation levels despite changes in the industry. A competitive advantage is provided to HSBC by both its aim to become the world's leading international bank and its ability to motivate its workers.</w:t>
      </w:r>
      <w:bookmarkStart w:id="7" w:name="_vfa1kvemhlan" w:colFirst="0" w:colLast="0"/>
      <w:bookmarkEnd w:id="7"/>
    </w:p>
    <w:p w:rsidR="00FC7749" w:rsidRDefault="00AB1599">
      <w:r>
        <w:br w:type="page"/>
      </w:r>
    </w:p>
    <w:p w:rsidR="00FC7749" w:rsidRPr="008E4BC4" w:rsidRDefault="00AB1599">
      <w:pPr>
        <w:pStyle w:val="Heading1"/>
        <w:rPr>
          <w:sz w:val="28"/>
          <w:szCs w:val="28"/>
        </w:rPr>
      </w:pPr>
      <w:r w:rsidRPr="008E4BC4">
        <w:rPr>
          <w:sz w:val="28"/>
          <w:szCs w:val="28"/>
        </w:rPr>
        <w:lastRenderedPageBreak/>
        <w:t>References</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Amala, J. (2021). </w:t>
      </w:r>
      <w:r w:rsidRPr="008C12DE">
        <w:rPr>
          <w:i/>
          <w:sz w:val="22"/>
          <w:szCs w:val="22"/>
        </w:rPr>
        <w:t>HSBC to revamp top management to shed ‘hierarchical culture’</w:t>
      </w:r>
      <w:r w:rsidRPr="008C12DE">
        <w:rPr>
          <w:sz w:val="22"/>
          <w:szCs w:val="22"/>
        </w:rPr>
        <w:t xml:space="preserve">. Private Banker International. Available at: </w:t>
      </w:r>
      <w:hyperlink r:id="rId8" w:history="1">
        <w:r w:rsidR="00217F9B" w:rsidRPr="008C12DE">
          <w:rPr>
            <w:rStyle w:val="Hyperlink"/>
            <w:sz w:val="22"/>
            <w:szCs w:val="22"/>
          </w:rPr>
          <w:t>https://www.privatebankerinternational.com/news/hsbc-to-revamp-top-management-to-shed-hierarchical-cu</w:t>
        </w:r>
        <w:r w:rsidR="00217F9B" w:rsidRPr="008C12DE">
          <w:rPr>
            <w:rStyle w:val="Hyperlink"/>
            <w:sz w:val="22"/>
            <w:szCs w:val="22"/>
          </w:rPr>
          <w:t>l</w:t>
        </w:r>
        <w:r w:rsidR="00217F9B" w:rsidRPr="008C12DE">
          <w:rPr>
            <w:rStyle w:val="Hyperlink"/>
            <w:sz w:val="22"/>
            <w:szCs w:val="22"/>
          </w:rPr>
          <w:t>ture/</w:t>
        </w:r>
      </w:hyperlink>
      <w:r w:rsidRPr="008C12DE">
        <w:rPr>
          <w:sz w:val="22"/>
          <w:szCs w:val="22"/>
        </w:rPr>
        <w:t>.</w:t>
      </w:r>
      <w:r w:rsidR="00217F9B" w:rsidRPr="008C12DE">
        <w:rPr>
          <w:sz w:val="22"/>
          <w:szCs w:val="22"/>
        </w:rPr>
        <w:t xml:space="preserve"> (Accessed 20.04.2024)</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Clarke, P. (2021). </w:t>
      </w:r>
      <w:r w:rsidRPr="008C12DE">
        <w:rPr>
          <w:i/>
          <w:sz w:val="22"/>
          <w:szCs w:val="22"/>
        </w:rPr>
        <w:t>HSBC strips out management layers to ‘reduce hierarchy’</w:t>
      </w:r>
      <w:r w:rsidRPr="008C12DE">
        <w:rPr>
          <w:sz w:val="22"/>
          <w:szCs w:val="22"/>
        </w:rPr>
        <w:t xml:space="preserve">. www.fnlondon.com. Available at: </w:t>
      </w:r>
      <w:hyperlink r:id="rId9" w:history="1">
        <w:r w:rsidR="00A35882" w:rsidRPr="00AB3149">
          <w:rPr>
            <w:rStyle w:val="Hyperlink"/>
            <w:sz w:val="22"/>
            <w:szCs w:val="22"/>
          </w:rPr>
          <w:t>https://www.fnlondon.com/articles/hsbc-strips-out-management-layers-to-reduce-hierarchy-20</w:t>
        </w:r>
        <w:r w:rsidR="00A35882" w:rsidRPr="00AB3149">
          <w:rPr>
            <w:rStyle w:val="Hyperlink"/>
            <w:sz w:val="22"/>
            <w:szCs w:val="22"/>
          </w:rPr>
          <w:t>2</w:t>
        </w:r>
        <w:r w:rsidR="00A35882" w:rsidRPr="00AB3149">
          <w:rPr>
            <w:rStyle w:val="Hyperlink"/>
            <w:sz w:val="22"/>
            <w:szCs w:val="22"/>
          </w:rPr>
          <w:t>10709</w:t>
        </w:r>
      </w:hyperlink>
      <w:r w:rsidR="00A35882">
        <w:rPr>
          <w:sz w:val="22"/>
          <w:szCs w:val="22"/>
        </w:rPr>
        <w:t xml:space="preserve"> (Accessed 19.04.2024)</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Ebadollah, A. (2011). Organizational culture and productivity. </w:t>
      </w:r>
      <w:r w:rsidRPr="008C12DE">
        <w:rPr>
          <w:i/>
          <w:sz w:val="22"/>
          <w:szCs w:val="22"/>
        </w:rPr>
        <w:t>Procedia - Social and Behavioral Sciences</w:t>
      </w:r>
      <w:r w:rsidRPr="008C12DE">
        <w:rPr>
          <w:sz w:val="22"/>
          <w:szCs w:val="22"/>
        </w:rPr>
        <w:t>, 15, pp.772–776. doi:</w:t>
      </w:r>
      <w:r w:rsidR="008E4BC4">
        <w:rPr>
          <w:sz w:val="22"/>
          <w:szCs w:val="22"/>
        </w:rPr>
        <w:t xml:space="preserve"> </w:t>
      </w:r>
      <w:r w:rsidRPr="008C12DE">
        <w:rPr>
          <w:sz w:val="22"/>
          <w:szCs w:val="22"/>
        </w:rPr>
        <w:t>https://doi.o</w:t>
      </w:r>
      <w:r w:rsidR="008E4BC4">
        <w:rPr>
          <w:sz w:val="22"/>
          <w:szCs w:val="22"/>
        </w:rPr>
        <w:t xml:space="preserve">rg/10.1016/j.sbspro.2011.03.182 </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Galbraith, S. (2017). Jay R. Galbraith: Master of Organization Design – Recognizing Patterns from Living, Breathing Organizations. </w:t>
      </w:r>
      <w:r w:rsidRPr="008C12DE">
        <w:rPr>
          <w:i/>
          <w:sz w:val="22"/>
          <w:szCs w:val="22"/>
        </w:rPr>
        <w:t>The Palgrave Handbook of Organizational Change Thinkers</w:t>
      </w:r>
      <w:r w:rsidRPr="008C12DE">
        <w:rPr>
          <w:sz w:val="22"/>
          <w:szCs w:val="22"/>
        </w:rPr>
        <w:t>, pp.507–526. doi:</w:t>
      </w:r>
      <w:r w:rsidR="008E4BC4">
        <w:rPr>
          <w:sz w:val="22"/>
          <w:szCs w:val="22"/>
        </w:rPr>
        <w:t xml:space="preserve"> </w:t>
      </w:r>
      <w:r w:rsidRPr="008C12DE">
        <w:rPr>
          <w:sz w:val="22"/>
          <w:szCs w:val="22"/>
        </w:rPr>
        <w:t>https://doi.o</w:t>
      </w:r>
      <w:r w:rsidR="008E4BC4">
        <w:rPr>
          <w:sz w:val="22"/>
          <w:szCs w:val="22"/>
        </w:rPr>
        <w:t>rg/10.1007/978-3-319-52878-6_39</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HSBC. (2023). </w:t>
      </w:r>
      <w:r w:rsidRPr="008C12DE">
        <w:rPr>
          <w:i/>
          <w:sz w:val="22"/>
          <w:szCs w:val="22"/>
        </w:rPr>
        <w:t>Our investment case | HSBC Holdings plc</w:t>
      </w:r>
      <w:r w:rsidRPr="008C12DE">
        <w:rPr>
          <w:sz w:val="22"/>
          <w:szCs w:val="22"/>
        </w:rPr>
        <w:t>. Available at: https://www.hsbc.com/investors/investing-in-hsbc/our-investment-case#:~:text</w:t>
      </w:r>
      <w:r w:rsidR="007D5381" w:rsidRPr="008C12DE">
        <w:rPr>
          <w:sz w:val="22"/>
          <w:szCs w:val="22"/>
        </w:rPr>
        <w:t>=With%20assets%20of%20%243.0tn (Accessed 20.04.2024)</w:t>
      </w:r>
      <w:r w:rsidRPr="008C12DE">
        <w:rPr>
          <w:sz w:val="22"/>
          <w:szCs w:val="22"/>
        </w:rPr>
        <w:t>.</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Isaac, A. (2023). Investors force HSBC shareholder vote on structural overhaul. </w:t>
      </w:r>
      <w:r w:rsidRPr="008C12DE">
        <w:rPr>
          <w:i/>
          <w:sz w:val="22"/>
          <w:szCs w:val="22"/>
        </w:rPr>
        <w:t>The Guardian</w:t>
      </w:r>
      <w:r w:rsidRPr="008C12DE">
        <w:rPr>
          <w:sz w:val="22"/>
          <w:szCs w:val="22"/>
        </w:rPr>
        <w:t xml:space="preserve">. Available at: </w:t>
      </w:r>
      <w:hyperlink r:id="rId10" w:history="1">
        <w:r w:rsidR="007D5381" w:rsidRPr="008C12DE">
          <w:rPr>
            <w:rStyle w:val="Hyperlink"/>
            <w:sz w:val="22"/>
            <w:szCs w:val="22"/>
          </w:rPr>
          <w:t>https://www.theguardian.com/business/2023/mar/26/investors-force-hsbc-shareholder-vote-on-structural-ov</w:t>
        </w:r>
        <w:r w:rsidR="007D5381" w:rsidRPr="008C12DE">
          <w:rPr>
            <w:rStyle w:val="Hyperlink"/>
            <w:sz w:val="22"/>
            <w:szCs w:val="22"/>
          </w:rPr>
          <w:t>e</w:t>
        </w:r>
        <w:r w:rsidR="007D5381" w:rsidRPr="008C12DE">
          <w:rPr>
            <w:rStyle w:val="Hyperlink"/>
            <w:sz w:val="22"/>
            <w:szCs w:val="22"/>
          </w:rPr>
          <w:t>rhaul</w:t>
        </w:r>
      </w:hyperlink>
      <w:r w:rsidR="007D5381" w:rsidRPr="008C12DE">
        <w:rPr>
          <w:sz w:val="22"/>
          <w:szCs w:val="22"/>
        </w:rPr>
        <w:t xml:space="preserve"> (Accessed 19.04.2024)</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Lumley, L. (2023). </w:t>
      </w:r>
      <w:r w:rsidRPr="008C12DE">
        <w:rPr>
          <w:i/>
          <w:sz w:val="22"/>
          <w:szCs w:val="22"/>
        </w:rPr>
        <w:t>Heritage, footprint and presence fuel HSBC’s promises to international customers</w:t>
      </w:r>
      <w:r w:rsidRPr="008C12DE">
        <w:rPr>
          <w:sz w:val="22"/>
          <w:szCs w:val="22"/>
        </w:rPr>
        <w:t xml:space="preserve">. Available at: </w:t>
      </w:r>
      <w:hyperlink r:id="rId11" w:history="1">
        <w:r w:rsidR="008E4BC4" w:rsidRPr="00AB3149">
          <w:rPr>
            <w:rStyle w:val="Hyperlink"/>
            <w:sz w:val="22"/>
            <w:szCs w:val="22"/>
          </w:rPr>
          <w:t>https://www.thebanker.com/Heritage-footprint-and-presence-fuel-HSBC-s-promises-to-international-customers-1679301757</w:t>
        </w:r>
      </w:hyperlink>
      <w:r w:rsidR="008E4BC4">
        <w:rPr>
          <w:sz w:val="22"/>
          <w:szCs w:val="22"/>
        </w:rPr>
        <w:t xml:space="preserve"> (Accessed 20.04.2024)</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Morris, I. (2015). The Lion Wakes: A Modern History of HSBC by David Kynaston and Richard Roberts review – exhaustive and exhausting. </w:t>
      </w:r>
      <w:r w:rsidRPr="008C12DE">
        <w:rPr>
          <w:i/>
          <w:sz w:val="22"/>
          <w:szCs w:val="22"/>
        </w:rPr>
        <w:t>The Observer</w:t>
      </w:r>
      <w:r w:rsidRPr="008C12DE">
        <w:rPr>
          <w:sz w:val="22"/>
          <w:szCs w:val="22"/>
        </w:rPr>
        <w:t>. Available at: https://www.theguardian.com/books/2015/mar/15/lion-wakes-hsbc-david-kynaston-richard-roberts-review?CMP=gu_com (Accessed 2</w:t>
      </w:r>
      <w:r w:rsidR="008E4BC4">
        <w:rPr>
          <w:sz w:val="22"/>
          <w:szCs w:val="22"/>
        </w:rPr>
        <w:t>0</w:t>
      </w:r>
      <w:r w:rsidRPr="008C12DE">
        <w:rPr>
          <w:sz w:val="22"/>
          <w:szCs w:val="22"/>
        </w:rPr>
        <w:t>.04.2024).</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Saleh, N.A. and Tuwaijri, N.A. (2022). Overseas Risks Leading to Business Failure in Foreign Markets: Study Case of HSBC in France. </w:t>
      </w:r>
      <w:r w:rsidRPr="008C12DE">
        <w:rPr>
          <w:i/>
          <w:sz w:val="22"/>
          <w:szCs w:val="22"/>
        </w:rPr>
        <w:t>Open Journal of Business and Management</w:t>
      </w:r>
      <w:r w:rsidRPr="008C12DE">
        <w:rPr>
          <w:sz w:val="22"/>
          <w:szCs w:val="22"/>
        </w:rPr>
        <w:t>, 10(05), pp.2209–2241. doi:</w:t>
      </w:r>
      <w:r w:rsidR="008E4BC4">
        <w:rPr>
          <w:sz w:val="22"/>
          <w:szCs w:val="22"/>
        </w:rPr>
        <w:t xml:space="preserve"> </w:t>
      </w:r>
      <w:r w:rsidRPr="008C12DE">
        <w:rPr>
          <w:sz w:val="22"/>
          <w:szCs w:val="22"/>
        </w:rPr>
        <w:t>https://doi.org/1</w:t>
      </w:r>
      <w:r w:rsidR="008E4BC4">
        <w:rPr>
          <w:sz w:val="22"/>
          <w:szCs w:val="22"/>
        </w:rPr>
        <w:t>0.4236/ojbm.2022.105112</w:t>
      </w:r>
    </w:p>
    <w:p w:rsidR="003F3E82" w:rsidRPr="008C12DE" w:rsidRDefault="003F3E82" w:rsidP="008C12DE">
      <w:pPr>
        <w:pStyle w:val="ListParagraph"/>
        <w:numPr>
          <w:ilvl w:val="0"/>
          <w:numId w:val="1"/>
        </w:numPr>
        <w:spacing w:after="240"/>
        <w:rPr>
          <w:sz w:val="22"/>
          <w:szCs w:val="22"/>
        </w:rPr>
      </w:pPr>
      <w:r w:rsidRPr="008C12DE">
        <w:rPr>
          <w:sz w:val="22"/>
          <w:szCs w:val="22"/>
        </w:rPr>
        <w:t xml:space="preserve">The Business Times. (2024). </w:t>
      </w:r>
      <w:r w:rsidRPr="008C12DE">
        <w:rPr>
          <w:i/>
          <w:sz w:val="22"/>
          <w:szCs w:val="22"/>
        </w:rPr>
        <w:t>HSBC introduces new bonus system for most junior employees</w:t>
      </w:r>
      <w:r w:rsidRPr="008C12DE">
        <w:rPr>
          <w:sz w:val="22"/>
          <w:szCs w:val="22"/>
        </w:rPr>
        <w:t>. Available at: https://www.businesstimes.com.sg/companies-</w:t>
      </w:r>
      <w:r w:rsidRPr="008C12DE">
        <w:rPr>
          <w:sz w:val="22"/>
          <w:szCs w:val="22"/>
        </w:rPr>
        <w:lastRenderedPageBreak/>
        <w:t>markets/banking-finance/hsbc-introduces-new-bonus-system-most-junior-employees (Accessed 20.04.2024).</w:t>
      </w:r>
    </w:p>
    <w:p w:rsidR="003F3E82" w:rsidRPr="008C12DE" w:rsidRDefault="00A35882" w:rsidP="008C12DE">
      <w:pPr>
        <w:pStyle w:val="ListParagraph"/>
        <w:numPr>
          <w:ilvl w:val="0"/>
          <w:numId w:val="1"/>
        </w:numPr>
        <w:spacing w:after="240"/>
        <w:rPr>
          <w:sz w:val="22"/>
          <w:szCs w:val="22"/>
        </w:rPr>
      </w:pPr>
      <w:r>
        <w:rPr>
          <w:sz w:val="22"/>
          <w:szCs w:val="22"/>
        </w:rPr>
        <w:t xml:space="preserve"> </w:t>
      </w:r>
      <w:r w:rsidR="003F3E82" w:rsidRPr="008C12DE">
        <w:rPr>
          <w:sz w:val="22"/>
          <w:szCs w:val="22"/>
        </w:rPr>
        <w:t>Yu,</w:t>
      </w:r>
      <w:r w:rsidR="008E4BC4">
        <w:rPr>
          <w:sz w:val="22"/>
          <w:szCs w:val="22"/>
        </w:rPr>
        <w:t xml:space="preserve"> E. and </w:t>
      </w:r>
      <w:r w:rsidR="003F3E82" w:rsidRPr="008C12DE">
        <w:rPr>
          <w:sz w:val="22"/>
          <w:szCs w:val="22"/>
        </w:rPr>
        <w:t>M</w:t>
      </w:r>
      <w:r w:rsidR="008E4BC4">
        <w:rPr>
          <w:sz w:val="22"/>
          <w:szCs w:val="22"/>
        </w:rPr>
        <w:t>itchell, J</w:t>
      </w:r>
      <w:r w:rsidR="003F3E82" w:rsidRPr="008C12DE">
        <w:rPr>
          <w:sz w:val="22"/>
          <w:szCs w:val="22"/>
        </w:rPr>
        <w:t xml:space="preserve">. (2023). HSBC Posts $10 Billion Profit on Higher Rates and China Reopening. </w:t>
      </w:r>
      <w:r w:rsidR="003F3E82" w:rsidRPr="008C12DE">
        <w:rPr>
          <w:i/>
          <w:sz w:val="22"/>
          <w:szCs w:val="22"/>
        </w:rPr>
        <w:t>WSJ</w:t>
      </w:r>
      <w:r w:rsidR="003F3E82" w:rsidRPr="008C12DE">
        <w:rPr>
          <w:sz w:val="22"/>
          <w:szCs w:val="22"/>
        </w:rPr>
        <w:t xml:space="preserve">. Available at: </w:t>
      </w:r>
      <w:hyperlink r:id="rId12" w:history="1">
        <w:r w:rsidR="008E4BC4" w:rsidRPr="00AB3149">
          <w:rPr>
            <w:rStyle w:val="Hyperlink"/>
            <w:sz w:val="22"/>
            <w:szCs w:val="22"/>
          </w:rPr>
          <w:t>https://www.wsj.com/articles/hsbc-q1-earnings-report-2023-</w:t>
        </w:r>
        <w:r w:rsidR="008E4BC4" w:rsidRPr="00AB3149">
          <w:rPr>
            <w:rStyle w:val="Hyperlink"/>
            <w:sz w:val="22"/>
            <w:szCs w:val="22"/>
          </w:rPr>
          <w:t>b</w:t>
        </w:r>
        <w:r w:rsidR="008E4BC4" w:rsidRPr="00AB3149">
          <w:rPr>
            <w:rStyle w:val="Hyperlink"/>
            <w:sz w:val="22"/>
            <w:szCs w:val="22"/>
          </w:rPr>
          <w:t>ead6</w:t>
        </w:r>
        <w:r w:rsidR="008E4BC4" w:rsidRPr="00AB3149">
          <w:rPr>
            <w:rStyle w:val="Hyperlink"/>
            <w:sz w:val="22"/>
            <w:szCs w:val="22"/>
          </w:rPr>
          <w:t>9</w:t>
        </w:r>
        <w:r w:rsidR="008E4BC4" w:rsidRPr="00AB3149">
          <w:rPr>
            <w:rStyle w:val="Hyperlink"/>
            <w:sz w:val="22"/>
            <w:szCs w:val="22"/>
          </w:rPr>
          <w:t>cb</w:t>
        </w:r>
      </w:hyperlink>
      <w:r w:rsidR="008E4BC4">
        <w:rPr>
          <w:sz w:val="22"/>
          <w:szCs w:val="22"/>
        </w:rPr>
        <w:t xml:space="preserve"> (Accessed 20.04.2024)</w:t>
      </w:r>
    </w:p>
    <w:p w:rsidR="00FC7749" w:rsidRDefault="00FC7749"/>
    <w:p w:rsidR="00FC7749" w:rsidRDefault="00FC7749"/>
    <w:p w:rsidR="00FC7749" w:rsidRDefault="00FC7749"/>
    <w:p w:rsidR="00FC7749" w:rsidRDefault="00FC7749"/>
    <w:p w:rsidR="00FC7749" w:rsidRDefault="00FC7749"/>
    <w:p w:rsidR="00FC7749" w:rsidRDefault="00FC7749"/>
    <w:sectPr w:rsidR="00FC7749" w:rsidSect="003F3E82">
      <w:footerReference w:type="default" r:id="rId13"/>
      <w:pgSz w:w="12240" w:h="15840"/>
      <w:pgMar w:top="1440" w:right="1440" w:bottom="1440" w:left="1440"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4AF1" w:rsidRDefault="000F4AF1">
      <w:pPr>
        <w:spacing w:line="240" w:lineRule="auto"/>
      </w:pPr>
      <w:r>
        <w:separator/>
      </w:r>
    </w:p>
  </w:endnote>
  <w:endnote w:type="continuationSeparator" w:id="1">
    <w:p w:rsidR="000F4AF1" w:rsidRDefault="000F4AF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0475674"/>
      <w:docPartObj>
        <w:docPartGallery w:val="Page Numbers (Bottom of Page)"/>
        <w:docPartUnique/>
      </w:docPartObj>
    </w:sdtPr>
    <w:sdtContent>
      <w:p w:rsidR="003F3E82" w:rsidRDefault="000D1D75">
        <w:pPr>
          <w:pStyle w:val="Footer"/>
          <w:jc w:val="center"/>
        </w:pPr>
        <w:r w:rsidRPr="003F3E82">
          <w:rPr>
            <w:sz w:val="22"/>
            <w:szCs w:val="22"/>
          </w:rPr>
          <w:fldChar w:fldCharType="begin"/>
        </w:r>
        <w:r w:rsidR="003F3E82" w:rsidRPr="003F3E82">
          <w:rPr>
            <w:sz w:val="22"/>
            <w:szCs w:val="22"/>
          </w:rPr>
          <w:instrText xml:space="preserve"> PAGE   \* MERGEFORMAT </w:instrText>
        </w:r>
        <w:r w:rsidRPr="003F3E82">
          <w:rPr>
            <w:sz w:val="22"/>
            <w:szCs w:val="22"/>
          </w:rPr>
          <w:fldChar w:fldCharType="separate"/>
        </w:r>
        <w:r w:rsidR="003E03CB">
          <w:rPr>
            <w:noProof/>
            <w:sz w:val="22"/>
            <w:szCs w:val="22"/>
          </w:rPr>
          <w:t>2</w:t>
        </w:r>
        <w:r w:rsidRPr="003F3E82">
          <w:rPr>
            <w:sz w:val="22"/>
            <w:szCs w:val="22"/>
          </w:rPr>
          <w:fldChar w:fldCharType="end"/>
        </w:r>
      </w:p>
    </w:sdtContent>
  </w:sdt>
  <w:p w:rsidR="00FC7749" w:rsidRDefault="00FC77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4AF1" w:rsidRDefault="000F4AF1">
      <w:pPr>
        <w:spacing w:line="240" w:lineRule="auto"/>
      </w:pPr>
      <w:r>
        <w:separator/>
      </w:r>
    </w:p>
  </w:footnote>
  <w:footnote w:type="continuationSeparator" w:id="1">
    <w:p w:rsidR="000F4AF1" w:rsidRDefault="000F4AF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246D9"/>
    <w:multiLevelType w:val="hybridMultilevel"/>
    <w:tmpl w:val="89C6E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drawingGridHorizontalSpacing w:val="12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FC7749"/>
    <w:rsid w:val="000D1D75"/>
    <w:rsid w:val="000F4AF1"/>
    <w:rsid w:val="00217F9B"/>
    <w:rsid w:val="003E03CB"/>
    <w:rsid w:val="003F3E82"/>
    <w:rsid w:val="00673093"/>
    <w:rsid w:val="007D5381"/>
    <w:rsid w:val="008C12DE"/>
    <w:rsid w:val="008E4BC4"/>
    <w:rsid w:val="00A35882"/>
    <w:rsid w:val="00AB1599"/>
    <w:rsid w:val="00FC774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749"/>
  </w:style>
  <w:style w:type="paragraph" w:styleId="Heading1">
    <w:name w:val="heading 1"/>
    <w:basedOn w:val="Normal"/>
    <w:next w:val="Normal"/>
    <w:uiPriority w:val="9"/>
    <w:qFormat/>
    <w:rsid w:val="00FC7749"/>
    <w:pPr>
      <w:keepNext/>
      <w:keepLines/>
      <w:outlineLvl w:val="0"/>
    </w:pPr>
    <w:rPr>
      <w:b/>
      <w:sz w:val="32"/>
      <w:szCs w:val="32"/>
    </w:rPr>
  </w:style>
  <w:style w:type="paragraph" w:styleId="Heading2">
    <w:name w:val="heading 2"/>
    <w:basedOn w:val="Normal"/>
    <w:next w:val="Normal"/>
    <w:uiPriority w:val="9"/>
    <w:unhideWhenUsed/>
    <w:qFormat/>
    <w:rsid w:val="00FC7749"/>
    <w:pPr>
      <w:keepNext/>
      <w:keepLines/>
      <w:outlineLvl w:val="1"/>
    </w:pPr>
    <w:rPr>
      <w:b/>
      <w:sz w:val="28"/>
      <w:szCs w:val="28"/>
    </w:rPr>
  </w:style>
  <w:style w:type="paragraph" w:styleId="Heading3">
    <w:name w:val="heading 3"/>
    <w:basedOn w:val="Normal"/>
    <w:next w:val="Normal"/>
    <w:uiPriority w:val="9"/>
    <w:semiHidden/>
    <w:unhideWhenUsed/>
    <w:qFormat/>
    <w:rsid w:val="00FC7749"/>
    <w:pPr>
      <w:keepNext/>
      <w:keepLines/>
      <w:outlineLvl w:val="2"/>
    </w:pPr>
    <w:rPr>
      <w:b/>
      <w:sz w:val="26"/>
      <w:szCs w:val="26"/>
    </w:rPr>
  </w:style>
  <w:style w:type="paragraph" w:styleId="Heading4">
    <w:name w:val="heading 4"/>
    <w:basedOn w:val="Normal"/>
    <w:next w:val="Normal"/>
    <w:uiPriority w:val="9"/>
    <w:semiHidden/>
    <w:unhideWhenUsed/>
    <w:qFormat/>
    <w:rsid w:val="00FC7749"/>
    <w:pPr>
      <w:keepNext/>
      <w:keepLines/>
      <w:spacing w:before="280" w:after="80"/>
      <w:outlineLvl w:val="3"/>
    </w:pPr>
    <w:rPr>
      <w:color w:val="666666"/>
    </w:rPr>
  </w:style>
  <w:style w:type="paragraph" w:styleId="Heading5">
    <w:name w:val="heading 5"/>
    <w:basedOn w:val="Normal"/>
    <w:next w:val="Normal"/>
    <w:uiPriority w:val="9"/>
    <w:semiHidden/>
    <w:unhideWhenUsed/>
    <w:qFormat/>
    <w:rsid w:val="00FC7749"/>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FC7749"/>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C7749"/>
    <w:pPr>
      <w:keepNext/>
      <w:keepLines/>
      <w:spacing w:after="60"/>
    </w:pPr>
    <w:rPr>
      <w:sz w:val="52"/>
      <w:szCs w:val="52"/>
    </w:rPr>
  </w:style>
  <w:style w:type="paragraph" w:styleId="Subtitle">
    <w:name w:val="Subtitle"/>
    <w:basedOn w:val="Normal"/>
    <w:next w:val="Normal"/>
    <w:uiPriority w:val="11"/>
    <w:qFormat/>
    <w:rsid w:val="00FC7749"/>
    <w:pPr>
      <w:keepNext/>
      <w:keepLines/>
      <w:spacing w:after="320"/>
    </w:pPr>
    <w:rPr>
      <w:color w:val="666666"/>
      <w:sz w:val="30"/>
      <w:szCs w:val="30"/>
    </w:rPr>
  </w:style>
  <w:style w:type="paragraph" w:styleId="Header">
    <w:name w:val="header"/>
    <w:basedOn w:val="Normal"/>
    <w:link w:val="HeaderChar"/>
    <w:uiPriority w:val="99"/>
    <w:unhideWhenUsed/>
    <w:rsid w:val="00FC7749"/>
    <w:pPr>
      <w:tabs>
        <w:tab w:val="center" w:pos="4513"/>
        <w:tab w:val="right" w:pos="9026"/>
      </w:tabs>
      <w:spacing w:line="240" w:lineRule="auto"/>
    </w:pPr>
  </w:style>
  <w:style w:type="character" w:customStyle="1" w:styleId="HeaderChar">
    <w:name w:val="Header Char"/>
    <w:basedOn w:val="DefaultParagraphFont"/>
    <w:link w:val="Header"/>
    <w:uiPriority w:val="99"/>
    <w:rsid w:val="00FC7749"/>
  </w:style>
  <w:style w:type="paragraph" w:styleId="Footer">
    <w:name w:val="footer"/>
    <w:basedOn w:val="Normal"/>
    <w:link w:val="FooterChar"/>
    <w:uiPriority w:val="99"/>
    <w:unhideWhenUsed/>
    <w:rsid w:val="00FC7749"/>
    <w:pPr>
      <w:tabs>
        <w:tab w:val="center" w:pos="4513"/>
        <w:tab w:val="right" w:pos="9026"/>
      </w:tabs>
      <w:spacing w:line="240" w:lineRule="auto"/>
    </w:pPr>
  </w:style>
  <w:style w:type="character" w:customStyle="1" w:styleId="FooterChar">
    <w:name w:val="Footer Char"/>
    <w:basedOn w:val="DefaultParagraphFont"/>
    <w:link w:val="Footer"/>
    <w:uiPriority w:val="99"/>
    <w:rsid w:val="00FC7749"/>
  </w:style>
  <w:style w:type="paragraph" w:styleId="BalloonText">
    <w:name w:val="Balloon Text"/>
    <w:basedOn w:val="Normal"/>
    <w:link w:val="BalloonTextChar"/>
    <w:uiPriority w:val="99"/>
    <w:semiHidden/>
    <w:unhideWhenUsed/>
    <w:rsid w:val="003F3E8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E82"/>
    <w:rPr>
      <w:rFonts w:ascii="Tahoma" w:hAnsi="Tahoma" w:cs="Tahoma"/>
      <w:sz w:val="16"/>
      <w:szCs w:val="16"/>
    </w:rPr>
  </w:style>
  <w:style w:type="character" w:styleId="Hyperlink">
    <w:name w:val="Hyperlink"/>
    <w:basedOn w:val="DefaultParagraphFont"/>
    <w:uiPriority w:val="99"/>
    <w:unhideWhenUsed/>
    <w:rsid w:val="007D5381"/>
    <w:rPr>
      <w:color w:val="0000FF" w:themeColor="hyperlink"/>
      <w:u w:val="single"/>
    </w:rPr>
  </w:style>
  <w:style w:type="paragraph" w:styleId="ListParagraph">
    <w:name w:val="List Paragraph"/>
    <w:basedOn w:val="Normal"/>
    <w:uiPriority w:val="34"/>
    <w:qFormat/>
    <w:rsid w:val="008C12DE"/>
    <w:pPr>
      <w:ind w:left="720"/>
      <w:contextualSpacing/>
    </w:pPr>
  </w:style>
  <w:style w:type="character" w:styleId="FollowedHyperlink">
    <w:name w:val="FollowedHyperlink"/>
    <w:basedOn w:val="DefaultParagraphFont"/>
    <w:uiPriority w:val="99"/>
    <w:semiHidden/>
    <w:unhideWhenUsed/>
    <w:rsid w:val="00A35882"/>
    <w:rPr>
      <w:color w:val="800080" w:themeColor="followedHyperlink"/>
      <w:u w:val="single"/>
    </w:rPr>
  </w:style>
  <w:style w:type="paragraph" w:styleId="TOC1">
    <w:name w:val="toc 1"/>
    <w:basedOn w:val="Normal"/>
    <w:next w:val="Normal"/>
    <w:autoRedefine/>
    <w:uiPriority w:val="39"/>
    <w:unhideWhenUsed/>
    <w:rsid w:val="008E4BC4"/>
    <w:pPr>
      <w:spacing w:after="100" w:line="276" w:lineRule="auto"/>
      <w:jc w:val="left"/>
    </w:pPr>
    <w:rPr>
      <w:rFonts w:ascii="Times New Roman" w:eastAsiaTheme="minorHAnsi" w:hAnsi="Times New Roman" w:cstheme="minorBidi"/>
      <w:kern w:val="2"/>
      <w:szCs w:val="22"/>
      <w:lang w:eastAsia="en-US"/>
    </w:rPr>
  </w:style>
</w:styles>
</file>

<file path=word/webSettings.xml><?xml version="1.0" encoding="utf-8"?>
<w:webSettings xmlns:r="http://schemas.openxmlformats.org/officeDocument/2006/relationships" xmlns:w="http://schemas.openxmlformats.org/wordprocessingml/2006/main">
  <w:divs>
    <w:div w:id="199585551">
      <w:bodyDiv w:val="1"/>
      <w:marLeft w:val="0"/>
      <w:marRight w:val="0"/>
      <w:marTop w:val="0"/>
      <w:marBottom w:val="0"/>
      <w:divBdr>
        <w:top w:val="none" w:sz="0" w:space="0" w:color="auto"/>
        <w:left w:val="none" w:sz="0" w:space="0" w:color="auto"/>
        <w:bottom w:val="none" w:sz="0" w:space="0" w:color="auto"/>
        <w:right w:val="none" w:sz="0" w:space="0" w:color="auto"/>
      </w:divBdr>
    </w:div>
    <w:div w:id="8193473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vatebankerinternational.com/news/hsbc-to-revamp-top-management-to-shed-hierarchical-cultur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sj.com/articles/hsbc-q1-earnings-report-2023-bead69c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anker.com/Heritage-footprint-and-presence-fuel-HSBC-s-promises-to-international-customers-167930175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guardian.com/business/2023/mar/26/investors-force-hsbc-shareholder-vote-on-structural-overhaul" TargetMode="External"/><Relationship Id="rId4" Type="http://schemas.openxmlformats.org/officeDocument/2006/relationships/webSettings" Target="webSettings.xml"/><Relationship Id="rId9" Type="http://schemas.openxmlformats.org/officeDocument/2006/relationships/hyperlink" Target="https://www.fnlondon.com/articles/hsbc-strips-out-management-layers-to-reduce-hierarchy-2021070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2724</Words>
  <Characters>15530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2024-04-21T05:26:00Z</dcterms:created>
  <dcterms:modified xsi:type="dcterms:W3CDTF">2024-04-22T18:11:00Z</dcterms:modified>
</cp:coreProperties>
</file>