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Dr Nalda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408CA70"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It is expected that students will present work that is proof read</w:t>
            </w:r>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r w:rsidR="00A07500" w:rsidRPr="006C710C">
              <w:rPr>
                <w:rFonts w:asciiTheme="minorHAnsi" w:hAnsiTheme="minorHAnsi" w:cstheme="minorHAnsi"/>
                <w:b/>
                <w:bCs/>
                <w:sz w:val="18"/>
                <w:szCs w:val="18"/>
                <w:u w:val="none"/>
              </w:rPr>
              <w:t>Nalda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7396C13B" w14:textId="77777777" w:rsidR="00D6095A" w:rsidRPr="006C710C" w:rsidRDefault="00D6095A" w:rsidP="00D6095A">
      <w:pPr>
        <w:rPr>
          <w:rFonts w:cstheme="minorHAnsi"/>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1D726E61" w:rsidR="007F5D40" w:rsidRDefault="00D6095A" w:rsidP="004150A6">
      <w:pPr>
        <w:jc w:val="center"/>
        <w:rPr>
          <w:b/>
          <w:sz w:val="52"/>
        </w:rPr>
      </w:pPr>
      <w:r w:rsidRPr="007F7CF1">
        <w:rPr>
          <w:b/>
          <w:sz w:val="52"/>
        </w:rPr>
        <w:t>Failure to follow these guidelines will cost you marks!</w:t>
      </w:r>
    </w:p>
    <w:p w14:paraId="7817A4CC" w14:textId="77777777" w:rsidR="007F5D40" w:rsidRPr="007F5D40" w:rsidRDefault="007F5D40" w:rsidP="007F5D40">
      <w:pPr>
        <w:jc w:val="center"/>
        <w:rPr>
          <w:rFonts w:asciiTheme="majorBidi" w:hAnsiTheme="majorBidi" w:cstheme="majorBidi"/>
          <w:b/>
          <w:bCs/>
          <w:sz w:val="28"/>
          <w:szCs w:val="28"/>
          <w:u w:val="single"/>
        </w:rPr>
      </w:pPr>
      <w:r>
        <w:rPr>
          <w:b/>
          <w:sz w:val="52"/>
        </w:rPr>
        <w:br w:type="page"/>
      </w:r>
      <w:r w:rsidRPr="007F5D40">
        <w:rPr>
          <w:rFonts w:asciiTheme="majorBidi" w:hAnsiTheme="majorBidi" w:cstheme="majorBidi"/>
          <w:b/>
          <w:bCs/>
          <w:sz w:val="28"/>
          <w:szCs w:val="28"/>
          <w:u w:val="single"/>
        </w:rPr>
        <w:lastRenderedPageBreak/>
        <w:t>Developing and Supporting Physical development in early childhood.</w:t>
      </w:r>
    </w:p>
    <w:p w14:paraId="3E1A2989" w14:textId="77777777" w:rsidR="007F5D40" w:rsidRPr="007F5D40" w:rsidRDefault="007F5D40" w:rsidP="007F5D40">
      <w:pPr>
        <w:rPr>
          <w:rFonts w:asciiTheme="majorBidi" w:hAnsiTheme="majorBidi" w:cstheme="majorBidi"/>
          <w:b/>
          <w:bCs/>
          <w:sz w:val="24"/>
          <w:szCs w:val="24"/>
          <w:u w:val="single"/>
        </w:rPr>
      </w:pPr>
    </w:p>
    <w:p w14:paraId="122F3ABB"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As an Active Young People Officer for Carmarthenshire County Council my role is to support and implement programmes and projects within preschool and primary school settings within a geographical area of the county.</w:t>
      </w:r>
    </w:p>
    <w:p w14:paraId="38ECC7AA"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One of those programmes is ‘Amser Actif’ which was developed following insight in rurally and economically deprived areas of the county which showed that the pandemic had a detrimental effect on opportunities for young people to be physical active. These projects are more important now as Goddard &amp; Blythe state “We have seen how movement is an essential ingredient for a child’s development and capacity to learn, but children of today have less movement opportunities in their daily lives than any other generation.” (Goddard Blythe, 2005: p130). Following the pandemic, the reliance on technology and the developments that have happened has had a negative impact on children in the foundation phase.</w:t>
      </w:r>
    </w:p>
    <w:p w14:paraId="6EB49348"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The purpose of the project was to educate and mentor schools staff working with pupils within the foundation phase to deliver 2 x 30 minutes of intervention a week to pupils’ staff had identified would benefit physically, emotional, or socially from the intervention which correspondents to the evidence within Goodway 2003 where its suggested that a 9 week programme of instruction can have a benefit to children locomotive and object control skills.  Therefore, we have worked with 12 School’s across the county identified via key indicators for example Free Schools Meals (FSM), catchment of Family Centres and facilities / opportunities locally are to deliver a 6 week of supported delivery and 6 weeks of independent delivery.</w:t>
      </w:r>
    </w:p>
    <w:p w14:paraId="208318C9"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This has therefore allowed me to work with a group of pupils from Gwynfryn Primary School in the Gwendraeth Valley. The first reflective journal is based around eight pupils from year 2 who had been identified by the school for this intervention and therefore a programme of 6 weeks of SKIP Cymru was agreed to be delivered over a course of a half term supported by a teaching assistant who would continue the project there after. The geographical area is rural with lack of community provision, only a recent rugby club established for pupils in the foundation phase and restricted outdoor play locally.</w:t>
      </w:r>
    </w:p>
    <w:p w14:paraId="605A9296"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Within first group of pupils identified there were six girls and four boys, the school falls into FSM 2 with 23.8%, This class had no identified disability, however there were concerns of pupil’s gross motor skills and behaviour. The second school Saron is an FSM1 with 11% and no disability within the group, no concerns over gross motor skills or behaviour.</w:t>
      </w:r>
    </w:p>
    <w:p w14:paraId="0DB66DD8"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 xml:space="preserve">Through these sessions I have witnessed a positive change in the children’s physical competencies as well as their knowledge and understanding of personal and spatial awareness, for example the use of bubble ensuring that they created a personal space whilst moving. At first during the very first sessions the stages of skills such as running, skipping, and hopping were extremely low as pupils would struggle to move in different directions as well as high and low movements. However, over the last 6 weeks the pupils physical literacy vocabulary has dramatically increased with pupils now stage 3 for skipping from Stage 1 with pupils now being able to move backward effectively moving into space whilst checking over their shoulder for any obstacles. Underpinned by Ayres 2005 suggested children require repetition and practice of an activity to develop "building blocks" that form the more complex development and movement of sensory and motor competencies and link nicely into the development sequences of the five </w:t>
      </w:r>
      <w:r w:rsidRPr="007F5D40">
        <w:rPr>
          <w:rFonts w:asciiTheme="majorBidi" w:hAnsiTheme="majorBidi" w:cstheme="majorBidi"/>
          <w:sz w:val="24"/>
          <w:szCs w:val="24"/>
        </w:rPr>
        <w:lastRenderedPageBreak/>
        <w:t>locomotive skills described by Gallahue 2012 which is what we focused on throughout the sessions.</w:t>
      </w:r>
    </w:p>
    <w:p w14:paraId="2AA0B9C8"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Following the first session I decided to focus on spacial awareness, locomotive and body management activities with gardens set up for spot to spot, gateway, traffic lights and bean game as warm up activities to focus on developing their locomotive skills. It beneficiated the pupils to see the skills as I do not believe pupils had seen adult demonstrations previously and the TA within the class was unsure when it came to demonstrations on what a proficient skill looked like let alone being comfortable or confident in demonstrating this.</w:t>
      </w:r>
    </w:p>
    <w:p w14:paraId="7303FDFA"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I felt that more time was needed in developing the locomotive skills within this cohort and therefore only introduced Catching as a manipulative skill in week 5 and 6.  This group would have benefited greatly from a further 6 weeks of support to develop their manipulative skills further, which will now be delivered by the Teaching Assistant (TA) as part of the intervention.  Prior to this training I was aware of the Stages for proficient skills however we did not use it to track success instead we used the Sport Wales App Dragon Tracker 2. For the 6 weeks we collected the data in Appendix 1 and 2 to report back on pupils’ improvement in physical competence. As you can see from a very brief intervention the result is fantastic with pupils moving through the stages rapidly like Goodway and Branta 2003 research into motor skill intervention in pre-school pupils. And improving locomotive and balance. This way of tracking key skills is important for an intervention however I do have reservations that only these skills will be practiced and focused on rather than all the hierarchy of gross motor skills however this has started a positive discussion for a further review.</w:t>
      </w:r>
    </w:p>
    <w:p w14:paraId="7B33553B" w14:textId="77777777" w:rsidR="007F5D40" w:rsidRPr="007F5D40" w:rsidRDefault="007F5D40" w:rsidP="007F5D40">
      <w:pPr>
        <w:rPr>
          <w:rFonts w:asciiTheme="majorBidi" w:hAnsiTheme="majorBidi" w:cstheme="majorBidi"/>
          <w:sz w:val="24"/>
          <w:szCs w:val="24"/>
        </w:rPr>
      </w:pPr>
    </w:p>
    <w:p w14:paraId="7B59AA8C"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In the video on the session delivered on catching where I did the game To Me to You to Me you can see the difference in ability within the group. Some of which were comfortable hand catchers and some who required support in tracking activities, on the reflection on watching the video back there were elements of the Newell 1986 constraints theory where I made changes to the task for a few groups and this was made in the attempt to build competence, confidence before introducing a challenge to develop the skill, although in some cases this worked I did feel I could have supported 2 of the groups better with the constraints task and environment by providing large objects to catch rather than having them rolling and tracking on the floor.  I have invested in additional resources and from the second reflective practice you will notice that I had a variety of soft balls, foam dices and plus balls which will in future provide a much more positive environment for the pupils to learn and engage in activities.</w:t>
      </w:r>
    </w:p>
    <w:p w14:paraId="39F0AF47"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 xml:space="preserve">Feedback from the teaching assistant following the 6 weeks is that their willingness and enthusiasm in class has been positive over the course as a result with children looking ahead to activity. This is underpinned by information from Skip Cymru 2016 suggests children that improve their movement skills, their brain develops more connections (dense neural networks) and therefore learn to process information more efficiently and have better attention. We will however be looking at evaluating the programme following a further 6 weeks of delivery by the TA to capture this information accurately. My personal analysis following this initial phase of the intervention is that schools require additional support and education around the stages of locomotive and manipulative skills being able to analyse a child and in most cases being confident and comfortable in performing a proficient skill. As part of our review, I will be recommending that schools that partner with us as Actif to deliver these interventions will be </w:t>
      </w:r>
      <w:r w:rsidRPr="007F5D40">
        <w:rPr>
          <w:rFonts w:asciiTheme="majorBidi" w:hAnsiTheme="majorBidi" w:cstheme="majorBidi"/>
          <w:sz w:val="24"/>
          <w:szCs w:val="24"/>
        </w:rPr>
        <w:lastRenderedPageBreak/>
        <w:t>required to undertake a series of training sessions to ensure that this is achieved. How and what that workforce development opportunities will look like will be reliant on external funding for the projects.</w:t>
      </w:r>
    </w:p>
    <w:p w14:paraId="6180F85A" w14:textId="77777777" w:rsidR="007F5D40" w:rsidRPr="007F5D40" w:rsidRDefault="007F5D40" w:rsidP="007F5D40">
      <w:pPr>
        <w:rPr>
          <w:rFonts w:asciiTheme="majorBidi" w:hAnsiTheme="majorBidi" w:cstheme="majorBidi"/>
          <w:sz w:val="24"/>
          <w:szCs w:val="24"/>
        </w:rPr>
      </w:pPr>
    </w:p>
    <w:p w14:paraId="2BC4926D"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The second reflective journal was different due to the nature of our role’s we were unable to deliver to an individual school for 6 weeks, instead we delivered over four settings within Dyffryn Aman Cluster during which we recorded a session within Saron Primary school who implements their own intervention project called Smart Moves. The second school is on the outskirts of Carmarthenshire 3</w:t>
      </w:r>
      <w:r w:rsidRPr="007F5D40">
        <w:rPr>
          <w:rFonts w:asciiTheme="majorBidi" w:hAnsiTheme="majorBidi" w:cstheme="majorBidi"/>
          <w:sz w:val="24"/>
          <w:szCs w:val="24"/>
          <w:vertAlign w:val="superscript"/>
        </w:rPr>
        <w:t>rd</w:t>
      </w:r>
      <w:r w:rsidRPr="007F5D40">
        <w:rPr>
          <w:rFonts w:asciiTheme="majorBidi" w:hAnsiTheme="majorBidi" w:cstheme="majorBidi"/>
          <w:sz w:val="24"/>
          <w:szCs w:val="24"/>
        </w:rPr>
        <w:t xml:space="preserve"> largest town and has access to large amount of community provision and play opportunities locally.</w:t>
      </w:r>
    </w:p>
    <w:p w14:paraId="2F32317F"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With the second reflective sessions as these were in a variety of schools and groups it did present a difficulty in enabling me to use a variety of different activities based on the pupil’s stage of development. For example, I planned the session recorded in Saron based on what I perceived I would face based on pervious school visits. This session then did not become personal to the group and instead had a variety of different activities to develop aspects of kicking to provide all the pupils opportunity to develop. This is not ideally the way I would like to deliver an intervention project as this requires time and progressions. When working with this group of individuals they had a mixture of stages of kicking however their improvement during activity was surprising especially with the lack of opportunity in kicking skills as the teaching assistant stated they do not have kicking opportunity in school till year 3.</w:t>
      </w:r>
    </w:p>
    <w:p w14:paraId="33A19D12"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As you can see from Newell’s model of constraints below the individual cannot change however, we can change the task for example in the game gateway different size, weight, shape of ball / dice to challenge the pupil to become proficient by making sure they develop foot eye coordination. By changing the environment again moving to the game where they clean their rooms kicking for power from one side of the yard to the other (not sure if this video was recorded but was delivered as an additional activity to the group. This changed the distance that the Joseph can move and how far he needs to kick the ball from small light touches to harder kicks with a follow through.</w:t>
      </w:r>
    </w:p>
    <w:p w14:paraId="5A137D66"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Figure 3: Newell’s Model of Constraints (Haywood and Gethell, 2014 :6) (See figure 3)</w:t>
      </w:r>
    </w:p>
    <w:p w14:paraId="38BEA54C"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noProof/>
          <w:sz w:val="24"/>
          <w:szCs w:val="24"/>
        </w:rPr>
        <w:lastRenderedPageBreak/>
        <w:drawing>
          <wp:inline distT="0" distB="0" distL="0" distR="0" wp14:anchorId="148C278D" wp14:editId="5FD60637">
            <wp:extent cx="4781550" cy="3559128"/>
            <wp:effectExtent l="0" t="0" r="0" b="381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81550" cy="3559128"/>
                    </a:xfrm>
                    <a:prstGeom prst="rect">
                      <a:avLst/>
                    </a:prstGeom>
                    <a:noFill/>
                    <a:ln>
                      <a:noFill/>
                    </a:ln>
                  </pic:spPr>
                </pic:pic>
              </a:graphicData>
            </a:graphic>
          </wp:inline>
        </w:drawing>
      </w:r>
    </w:p>
    <w:p w14:paraId="04D81607" w14:textId="77777777" w:rsidR="007F5D40" w:rsidRPr="007F5D40" w:rsidRDefault="007F5D40" w:rsidP="007F5D40">
      <w:pPr>
        <w:rPr>
          <w:rFonts w:asciiTheme="majorBidi" w:hAnsiTheme="majorBidi" w:cstheme="majorBidi"/>
          <w:sz w:val="24"/>
          <w:szCs w:val="24"/>
        </w:rPr>
      </w:pPr>
    </w:p>
    <w:p w14:paraId="70D1AD9B"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 xml:space="preserve">The pupils’ locomotive skills however were particularly good with pupils being stage 3 skipping and stage 4 running, this then enabled them to learn and develop their kicking skill quicker and more efficiently. What would have been interesting is if we collected information number of the children were part of community club prior to the sessions and how confident following sessions to engage with community club locally as Saron Football Club is only a stone throw away from the school. This information would have provided evidence to support Stodden et al 2008 theory on the trajectories of children’s physical activity which is below in Figure 1. </w:t>
      </w:r>
    </w:p>
    <w:p w14:paraId="36FE13D0"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Figure 1: Developmental Mechanisms Influencing Physical Activity Trajectories of Children (Stodden et al, 2008: 294).</w:t>
      </w:r>
    </w:p>
    <w:p w14:paraId="4C4AD9D2"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noProof/>
          <w:sz w:val="24"/>
          <w:szCs w:val="24"/>
          <w:u w:val="single"/>
        </w:rPr>
        <w:lastRenderedPageBreak/>
        <w:drawing>
          <wp:inline distT="0" distB="0" distL="0" distR="0" wp14:anchorId="30B95C73" wp14:editId="521C73E7">
            <wp:extent cx="5634190" cy="3228975"/>
            <wp:effectExtent l="0" t="0" r="5080" b="0"/>
            <wp:docPr id="5" name="Picture 5" descr="page5image416648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5image416648313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57224" cy="3242176"/>
                    </a:xfrm>
                    <a:prstGeom prst="rect">
                      <a:avLst/>
                    </a:prstGeom>
                    <a:noFill/>
                    <a:ln>
                      <a:noFill/>
                    </a:ln>
                  </pic:spPr>
                </pic:pic>
              </a:graphicData>
            </a:graphic>
          </wp:inline>
        </w:drawing>
      </w:r>
    </w:p>
    <w:p w14:paraId="6E931D29"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The theory makes the argument that children’s engagement with physical activity is reliant heavily on their perceived competence therefore if a child believes they are not able to kick a football or not as competent as peers around them then they are more likely not to participate in community opportunities resulting in less opportunities therefore resulting in a downward spiral or path to ill health. This does underpin the importance of adult role models to provide a positive learning environment that challenges children and breaks down barriers to long life participation backed up by Gallahue, Ozman and Goodway, 2012 “Developing basic competence in locomotive skills is essential for the engagement in meaningful physical activity for health and to move effectively in various games, and dances.” (Gallahue, Ozman and Goodway, 2012: 247). This is where positive re-enforcement is so important for example, “Well done, that jump was fantastic you used you arms well starting behind you and finishing in front” ensuring that children know why they have done something well will encourage but also build confidence in their ability and their own perceived ability, this is something personally I work on in every session.</w:t>
      </w:r>
    </w:p>
    <w:p w14:paraId="1CD29FDD" w14:textId="77777777" w:rsidR="007F5D40" w:rsidRPr="007F5D40" w:rsidRDefault="007F5D40" w:rsidP="007F5D40">
      <w:pPr>
        <w:rPr>
          <w:rFonts w:asciiTheme="majorBidi" w:hAnsiTheme="majorBidi" w:cstheme="majorBidi"/>
          <w:sz w:val="24"/>
          <w:szCs w:val="24"/>
        </w:rPr>
      </w:pPr>
    </w:p>
    <w:p w14:paraId="574B9F66"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In conclusion through the past 16 weeks of delivering in several settings and to a variety of pupils the skill I think it’s become clear to me is that pupils movement changes a great deal and this will continue to develop and change throughout life as explained by Haywood and Gretchell (2005) there are many facets to movement skills more importantly within the preschool and foundation phase is growth and in order to support this development we as educators and facilitators must have an individual child centred approach changing the environment and task to challenge an individual and then allow time to interact before analysis and supporting further.  This underpinned my belief that intervention is need for pupils over a longer and more sustained period to have a positive and lifelong impact on an individual journey.</w:t>
      </w:r>
    </w:p>
    <w:p w14:paraId="0B2EFC27" w14:textId="77777777" w:rsidR="007F5D40" w:rsidRPr="007F5D40" w:rsidRDefault="007F5D40" w:rsidP="007F5D40">
      <w:pPr>
        <w:rPr>
          <w:rFonts w:asciiTheme="majorBidi" w:hAnsiTheme="majorBidi" w:cstheme="majorBidi"/>
          <w:sz w:val="24"/>
          <w:szCs w:val="24"/>
        </w:rPr>
      </w:pPr>
    </w:p>
    <w:p w14:paraId="248C0D75"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 xml:space="preserve">Throwing was a skill that majority of the pupils found difficult and adult staff supporting pupils found difficult to perform proficiently this is due to its complexity in contralateral movement. </w:t>
      </w:r>
      <w:r w:rsidRPr="007F5D40">
        <w:rPr>
          <w:rFonts w:asciiTheme="majorBidi" w:hAnsiTheme="majorBidi" w:cstheme="majorBidi"/>
          <w:sz w:val="24"/>
          <w:szCs w:val="24"/>
        </w:rPr>
        <w:lastRenderedPageBreak/>
        <w:t>Pupils who showed lower level of locomotive movement skills like skipping and hopping struggled greater with throwing than catching and kicking for example. The schoolteachers we provide this information and supported as we identified were in stage 3 with same hand and same foot to step, we shared ideas for use within cross curricular activities where pupils can practice crossing the midline. This is an important milestone for children at the end of Key Stage 2 as Blythe mentions it is the time where both sides of the brain work together to strengthen the connections in coordination skills. Hopefully, a focus of development for the pupils during the summer term and as a team we have discussed going back into support the development of throwing throughout the term.</w:t>
      </w:r>
      <w:r w:rsidRPr="007F5D40">
        <w:rPr>
          <w:rFonts w:asciiTheme="majorBidi" w:hAnsiTheme="majorBidi" w:cstheme="majorBidi"/>
          <w:sz w:val="24"/>
          <w:szCs w:val="24"/>
        </w:rPr>
        <w:br w:type="page"/>
      </w:r>
    </w:p>
    <w:p w14:paraId="2BECF834"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lastRenderedPageBreak/>
        <w:t>Appendix 1 – Stages at week one</w:t>
      </w:r>
    </w:p>
    <w:tbl>
      <w:tblPr>
        <w:tblW w:w="9020" w:type="dxa"/>
        <w:tblLook w:val="04A0" w:firstRow="1" w:lastRow="0" w:firstColumn="1" w:lastColumn="0" w:noHBand="0" w:noVBand="1"/>
      </w:tblPr>
      <w:tblGrid>
        <w:gridCol w:w="1541"/>
        <w:gridCol w:w="1756"/>
        <w:gridCol w:w="1756"/>
        <w:gridCol w:w="1249"/>
        <w:gridCol w:w="1398"/>
        <w:gridCol w:w="1320"/>
      </w:tblGrid>
      <w:tr w:rsidR="007F5D40" w:rsidRPr="007F5D40" w14:paraId="726D3238" w14:textId="77777777" w:rsidTr="00781765">
        <w:trPr>
          <w:trHeight w:val="315"/>
        </w:trPr>
        <w:tc>
          <w:tcPr>
            <w:tcW w:w="1541" w:type="dxa"/>
            <w:tcBorders>
              <w:top w:val="single" w:sz="4" w:space="0" w:color="auto"/>
              <w:left w:val="single" w:sz="4" w:space="0" w:color="auto"/>
              <w:bottom w:val="single" w:sz="4" w:space="0" w:color="auto"/>
              <w:right w:val="nil"/>
            </w:tcBorders>
            <w:shd w:val="clear" w:color="000000" w:fill="FFFF00"/>
            <w:noWrap/>
            <w:vAlign w:val="bottom"/>
            <w:hideMark/>
          </w:tcPr>
          <w:p w14:paraId="3CFAAD4C"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Child</w:t>
            </w:r>
          </w:p>
        </w:tc>
        <w:tc>
          <w:tcPr>
            <w:tcW w:w="3512" w:type="dxa"/>
            <w:gridSpan w:val="2"/>
            <w:tcBorders>
              <w:top w:val="single" w:sz="4" w:space="0" w:color="auto"/>
              <w:left w:val="nil"/>
              <w:bottom w:val="single" w:sz="4" w:space="0" w:color="auto"/>
              <w:right w:val="single" w:sz="4" w:space="0" w:color="auto"/>
            </w:tcBorders>
            <w:shd w:val="clear" w:color="000000" w:fill="FFFF00"/>
            <w:noWrap/>
            <w:vAlign w:val="bottom"/>
            <w:hideMark/>
          </w:tcPr>
          <w:p w14:paraId="77D6FE3E"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Standing Long Jump</w:t>
            </w:r>
          </w:p>
        </w:tc>
        <w:tc>
          <w:tcPr>
            <w:tcW w:w="2647" w:type="dxa"/>
            <w:gridSpan w:val="2"/>
            <w:tcBorders>
              <w:top w:val="single" w:sz="4" w:space="0" w:color="auto"/>
              <w:left w:val="nil"/>
              <w:bottom w:val="single" w:sz="4" w:space="0" w:color="auto"/>
              <w:right w:val="single" w:sz="4" w:space="0" w:color="auto"/>
            </w:tcBorders>
            <w:shd w:val="clear" w:color="000000" w:fill="FFFF00"/>
            <w:noWrap/>
            <w:vAlign w:val="bottom"/>
            <w:hideMark/>
          </w:tcPr>
          <w:p w14:paraId="0DE4953A"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Single Leg Balance 30 seconds</w:t>
            </w:r>
          </w:p>
        </w:tc>
        <w:tc>
          <w:tcPr>
            <w:tcW w:w="1320" w:type="dxa"/>
            <w:tcBorders>
              <w:top w:val="single" w:sz="4" w:space="0" w:color="auto"/>
              <w:left w:val="nil"/>
              <w:bottom w:val="single" w:sz="4" w:space="0" w:color="auto"/>
              <w:right w:val="single" w:sz="4" w:space="0" w:color="auto"/>
            </w:tcBorders>
            <w:shd w:val="clear" w:color="000000" w:fill="FFFF00"/>
            <w:noWrap/>
            <w:vAlign w:val="bottom"/>
            <w:hideMark/>
          </w:tcPr>
          <w:p w14:paraId="153D798F"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Catch</w:t>
            </w:r>
          </w:p>
        </w:tc>
      </w:tr>
      <w:tr w:rsidR="007F5D40" w:rsidRPr="007F5D40" w14:paraId="226C84BA"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622C954A"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Name/ ID</w:t>
            </w:r>
          </w:p>
        </w:tc>
        <w:tc>
          <w:tcPr>
            <w:tcW w:w="1756" w:type="dxa"/>
            <w:tcBorders>
              <w:top w:val="nil"/>
              <w:left w:val="nil"/>
              <w:bottom w:val="single" w:sz="4" w:space="0" w:color="auto"/>
              <w:right w:val="single" w:sz="4" w:space="0" w:color="auto"/>
            </w:tcBorders>
            <w:shd w:val="clear" w:color="auto" w:fill="auto"/>
            <w:noWrap/>
            <w:vAlign w:val="bottom"/>
            <w:hideMark/>
          </w:tcPr>
          <w:p w14:paraId="636816F7"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Jump 1</w:t>
            </w:r>
          </w:p>
        </w:tc>
        <w:tc>
          <w:tcPr>
            <w:tcW w:w="1756" w:type="dxa"/>
            <w:tcBorders>
              <w:top w:val="nil"/>
              <w:left w:val="nil"/>
              <w:bottom w:val="single" w:sz="4" w:space="0" w:color="auto"/>
              <w:right w:val="single" w:sz="4" w:space="0" w:color="auto"/>
            </w:tcBorders>
            <w:shd w:val="clear" w:color="auto" w:fill="auto"/>
            <w:noWrap/>
            <w:vAlign w:val="bottom"/>
            <w:hideMark/>
          </w:tcPr>
          <w:p w14:paraId="2B45EED4"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Jump 2</w:t>
            </w:r>
          </w:p>
        </w:tc>
        <w:tc>
          <w:tcPr>
            <w:tcW w:w="1249" w:type="dxa"/>
            <w:tcBorders>
              <w:top w:val="nil"/>
              <w:left w:val="nil"/>
              <w:bottom w:val="single" w:sz="4" w:space="0" w:color="auto"/>
              <w:right w:val="single" w:sz="4" w:space="0" w:color="auto"/>
            </w:tcBorders>
            <w:shd w:val="clear" w:color="auto" w:fill="auto"/>
            <w:noWrap/>
            <w:vAlign w:val="bottom"/>
            <w:hideMark/>
          </w:tcPr>
          <w:p w14:paraId="34E8007A"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Left 1 (sec)</w:t>
            </w:r>
          </w:p>
        </w:tc>
        <w:tc>
          <w:tcPr>
            <w:tcW w:w="1398" w:type="dxa"/>
            <w:tcBorders>
              <w:top w:val="nil"/>
              <w:left w:val="nil"/>
              <w:bottom w:val="single" w:sz="4" w:space="0" w:color="auto"/>
              <w:right w:val="single" w:sz="4" w:space="0" w:color="auto"/>
            </w:tcBorders>
            <w:shd w:val="clear" w:color="auto" w:fill="auto"/>
            <w:noWrap/>
            <w:vAlign w:val="bottom"/>
            <w:hideMark/>
          </w:tcPr>
          <w:p w14:paraId="43670A68"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Right 1 (sec)</w:t>
            </w:r>
          </w:p>
        </w:tc>
        <w:tc>
          <w:tcPr>
            <w:tcW w:w="1320" w:type="dxa"/>
            <w:tcBorders>
              <w:top w:val="nil"/>
              <w:left w:val="nil"/>
              <w:bottom w:val="single" w:sz="4" w:space="0" w:color="auto"/>
              <w:right w:val="single" w:sz="4" w:space="0" w:color="auto"/>
            </w:tcBorders>
            <w:shd w:val="clear" w:color="auto" w:fill="auto"/>
            <w:noWrap/>
            <w:vAlign w:val="bottom"/>
            <w:hideMark/>
          </w:tcPr>
          <w:p w14:paraId="63071990"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Stage</w:t>
            </w:r>
          </w:p>
        </w:tc>
      </w:tr>
      <w:tr w:rsidR="007F5D40" w:rsidRPr="007F5D40" w14:paraId="241927FE"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382C9E20"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1</w:t>
            </w:r>
          </w:p>
        </w:tc>
        <w:tc>
          <w:tcPr>
            <w:tcW w:w="1756" w:type="dxa"/>
            <w:tcBorders>
              <w:top w:val="nil"/>
              <w:left w:val="nil"/>
              <w:bottom w:val="single" w:sz="4" w:space="0" w:color="auto"/>
              <w:right w:val="single" w:sz="4" w:space="0" w:color="auto"/>
            </w:tcBorders>
            <w:shd w:val="clear" w:color="auto" w:fill="auto"/>
            <w:noWrap/>
            <w:vAlign w:val="bottom"/>
            <w:hideMark/>
          </w:tcPr>
          <w:p w14:paraId="22BB013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46</w:t>
            </w:r>
          </w:p>
        </w:tc>
        <w:tc>
          <w:tcPr>
            <w:tcW w:w="1756" w:type="dxa"/>
            <w:tcBorders>
              <w:top w:val="nil"/>
              <w:left w:val="nil"/>
              <w:bottom w:val="single" w:sz="4" w:space="0" w:color="auto"/>
              <w:right w:val="single" w:sz="4" w:space="0" w:color="auto"/>
            </w:tcBorders>
            <w:shd w:val="clear" w:color="auto" w:fill="auto"/>
            <w:noWrap/>
            <w:vAlign w:val="bottom"/>
            <w:hideMark/>
          </w:tcPr>
          <w:p w14:paraId="7B29D79E"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44</w:t>
            </w:r>
          </w:p>
        </w:tc>
        <w:tc>
          <w:tcPr>
            <w:tcW w:w="1249" w:type="dxa"/>
            <w:tcBorders>
              <w:top w:val="nil"/>
              <w:left w:val="nil"/>
              <w:bottom w:val="single" w:sz="4" w:space="0" w:color="auto"/>
              <w:right w:val="single" w:sz="4" w:space="0" w:color="auto"/>
            </w:tcBorders>
            <w:shd w:val="clear" w:color="auto" w:fill="auto"/>
            <w:noWrap/>
            <w:vAlign w:val="bottom"/>
            <w:hideMark/>
          </w:tcPr>
          <w:p w14:paraId="0F41BD4A"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13</w:t>
            </w:r>
          </w:p>
        </w:tc>
        <w:tc>
          <w:tcPr>
            <w:tcW w:w="1398" w:type="dxa"/>
            <w:tcBorders>
              <w:top w:val="nil"/>
              <w:left w:val="nil"/>
              <w:bottom w:val="single" w:sz="4" w:space="0" w:color="auto"/>
              <w:right w:val="single" w:sz="4" w:space="0" w:color="auto"/>
            </w:tcBorders>
            <w:shd w:val="clear" w:color="auto" w:fill="auto"/>
            <w:noWrap/>
            <w:vAlign w:val="bottom"/>
            <w:hideMark/>
          </w:tcPr>
          <w:p w14:paraId="68078125"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14</w:t>
            </w:r>
          </w:p>
        </w:tc>
        <w:tc>
          <w:tcPr>
            <w:tcW w:w="1320" w:type="dxa"/>
            <w:tcBorders>
              <w:top w:val="nil"/>
              <w:left w:val="nil"/>
              <w:bottom w:val="single" w:sz="4" w:space="0" w:color="auto"/>
              <w:right w:val="single" w:sz="4" w:space="0" w:color="auto"/>
            </w:tcBorders>
            <w:shd w:val="clear" w:color="auto" w:fill="auto"/>
            <w:noWrap/>
            <w:vAlign w:val="bottom"/>
            <w:hideMark/>
          </w:tcPr>
          <w:p w14:paraId="02F24A4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w:t>
            </w:r>
          </w:p>
        </w:tc>
      </w:tr>
      <w:tr w:rsidR="007F5D40" w:rsidRPr="007F5D40" w14:paraId="5E9FFEDE"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742001B5"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 xml:space="preserve">Pupil 2 </w:t>
            </w:r>
          </w:p>
        </w:tc>
        <w:tc>
          <w:tcPr>
            <w:tcW w:w="1756" w:type="dxa"/>
            <w:tcBorders>
              <w:top w:val="nil"/>
              <w:left w:val="nil"/>
              <w:bottom w:val="single" w:sz="4" w:space="0" w:color="auto"/>
              <w:right w:val="single" w:sz="4" w:space="0" w:color="auto"/>
            </w:tcBorders>
            <w:shd w:val="clear" w:color="auto" w:fill="auto"/>
            <w:noWrap/>
            <w:vAlign w:val="bottom"/>
            <w:hideMark/>
          </w:tcPr>
          <w:p w14:paraId="0AEE63B5"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52</w:t>
            </w:r>
          </w:p>
        </w:tc>
        <w:tc>
          <w:tcPr>
            <w:tcW w:w="1756" w:type="dxa"/>
            <w:tcBorders>
              <w:top w:val="nil"/>
              <w:left w:val="nil"/>
              <w:bottom w:val="single" w:sz="4" w:space="0" w:color="auto"/>
              <w:right w:val="single" w:sz="4" w:space="0" w:color="auto"/>
            </w:tcBorders>
            <w:shd w:val="clear" w:color="auto" w:fill="auto"/>
            <w:noWrap/>
            <w:vAlign w:val="bottom"/>
            <w:hideMark/>
          </w:tcPr>
          <w:p w14:paraId="7673E068"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45</w:t>
            </w:r>
          </w:p>
        </w:tc>
        <w:tc>
          <w:tcPr>
            <w:tcW w:w="1249" w:type="dxa"/>
            <w:tcBorders>
              <w:top w:val="nil"/>
              <w:left w:val="nil"/>
              <w:bottom w:val="single" w:sz="4" w:space="0" w:color="auto"/>
              <w:right w:val="single" w:sz="4" w:space="0" w:color="auto"/>
            </w:tcBorders>
            <w:shd w:val="clear" w:color="auto" w:fill="auto"/>
            <w:noWrap/>
            <w:vAlign w:val="bottom"/>
            <w:hideMark/>
          </w:tcPr>
          <w:p w14:paraId="5674E4D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11</w:t>
            </w:r>
          </w:p>
        </w:tc>
        <w:tc>
          <w:tcPr>
            <w:tcW w:w="1398" w:type="dxa"/>
            <w:tcBorders>
              <w:top w:val="nil"/>
              <w:left w:val="nil"/>
              <w:bottom w:val="single" w:sz="4" w:space="0" w:color="auto"/>
              <w:right w:val="single" w:sz="4" w:space="0" w:color="auto"/>
            </w:tcBorders>
            <w:shd w:val="clear" w:color="auto" w:fill="auto"/>
            <w:noWrap/>
            <w:vAlign w:val="bottom"/>
            <w:hideMark/>
          </w:tcPr>
          <w:p w14:paraId="5D7B53F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16</w:t>
            </w:r>
          </w:p>
        </w:tc>
        <w:tc>
          <w:tcPr>
            <w:tcW w:w="1320" w:type="dxa"/>
            <w:tcBorders>
              <w:top w:val="nil"/>
              <w:left w:val="nil"/>
              <w:bottom w:val="single" w:sz="4" w:space="0" w:color="auto"/>
              <w:right w:val="single" w:sz="4" w:space="0" w:color="auto"/>
            </w:tcBorders>
            <w:shd w:val="clear" w:color="auto" w:fill="auto"/>
            <w:noWrap/>
            <w:vAlign w:val="bottom"/>
            <w:hideMark/>
          </w:tcPr>
          <w:p w14:paraId="5F51C28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w:t>
            </w:r>
          </w:p>
        </w:tc>
      </w:tr>
      <w:tr w:rsidR="007F5D40" w:rsidRPr="007F5D40" w14:paraId="40835DBE"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3B017E57"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3</w:t>
            </w:r>
          </w:p>
        </w:tc>
        <w:tc>
          <w:tcPr>
            <w:tcW w:w="1756" w:type="dxa"/>
            <w:tcBorders>
              <w:top w:val="nil"/>
              <w:left w:val="nil"/>
              <w:bottom w:val="single" w:sz="4" w:space="0" w:color="auto"/>
              <w:right w:val="single" w:sz="4" w:space="0" w:color="auto"/>
            </w:tcBorders>
            <w:shd w:val="clear" w:color="auto" w:fill="auto"/>
            <w:noWrap/>
            <w:vAlign w:val="bottom"/>
            <w:hideMark/>
          </w:tcPr>
          <w:p w14:paraId="43589477"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51</w:t>
            </w:r>
          </w:p>
        </w:tc>
        <w:tc>
          <w:tcPr>
            <w:tcW w:w="1756" w:type="dxa"/>
            <w:tcBorders>
              <w:top w:val="nil"/>
              <w:left w:val="nil"/>
              <w:bottom w:val="single" w:sz="4" w:space="0" w:color="auto"/>
              <w:right w:val="single" w:sz="4" w:space="0" w:color="auto"/>
            </w:tcBorders>
            <w:shd w:val="clear" w:color="auto" w:fill="auto"/>
            <w:noWrap/>
            <w:vAlign w:val="bottom"/>
            <w:hideMark/>
          </w:tcPr>
          <w:p w14:paraId="3844704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56</w:t>
            </w:r>
          </w:p>
        </w:tc>
        <w:tc>
          <w:tcPr>
            <w:tcW w:w="1249" w:type="dxa"/>
            <w:tcBorders>
              <w:top w:val="nil"/>
              <w:left w:val="nil"/>
              <w:bottom w:val="single" w:sz="4" w:space="0" w:color="auto"/>
              <w:right w:val="single" w:sz="4" w:space="0" w:color="auto"/>
            </w:tcBorders>
            <w:shd w:val="clear" w:color="auto" w:fill="auto"/>
            <w:noWrap/>
            <w:vAlign w:val="bottom"/>
            <w:hideMark/>
          </w:tcPr>
          <w:p w14:paraId="3494EFF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15</w:t>
            </w:r>
          </w:p>
        </w:tc>
        <w:tc>
          <w:tcPr>
            <w:tcW w:w="1398" w:type="dxa"/>
            <w:tcBorders>
              <w:top w:val="nil"/>
              <w:left w:val="nil"/>
              <w:bottom w:val="single" w:sz="4" w:space="0" w:color="auto"/>
              <w:right w:val="single" w:sz="4" w:space="0" w:color="auto"/>
            </w:tcBorders>
            <w:shd w:val="clear" w:color="auto" w:fill="auto"/>
            <w:noWrap/>
            <w:vAlign w:val="bottom"/>
            <w:hideMark/>
          </w:tcPr>
          <w:p w14:paraId="50C7E20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14</w:t>
            </w:r>
          </w:p>
        </w:tc>
        <w:tc>
          <w:tcPr>
            <w:tcW w:w="1320" w:type="dxa"/>
            <w:tcBorders>
              <w:top w:val="nil"/>
              <w:left w:val="nil"/>
              <w:bottom w:val="single" w:sz="4" w:space="0" w:color="auto"/>
              <w:right w:val="single" w:sz="4" w:space="0" w:color="auto"/>
            </w:tcBorders>
            <w:shd w:val="clear" w:color="auto" w:fill="auto"/>
            <w:noWrap/>
            <w:vAlign w:val="bottom"/>
            <w:hideMark/>
          </w:tcPr>
          <w:p w14:paraId="1F37F374"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w:t>
            </w:r>
          </w:p>
        </w:tc>
      </w:tr>
      <w:tr w:rsidR="007F5D40" w:rsidRPr="007F5D40" w14:paraId="3136AA37"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0AB00922"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4</w:t>
            </w:r>
          </w:p>
        </w:tc>
        <w:tc>
          <w:tcPr>
            <w:tcW w:w="1756" w:type="dxa"/>
            <w:tcBorders>
              <w:top w:val="nil"/>
              <w:left w:val="nil"/>
              <w:bottom w:val="single" w:sz="4" w:space="0" w:color="auto"/>
              <w:right w:val="single" w:sz="4" w:space="0" w:color="auto"/>
            </w:tcBorders>
            <w:shd w:val="clear" w:color="auto" w:fill="auto"/>
            <w:noWrap/>
            <w:vAlign w:val="bottom"/>
            <w:hideMark/>
          </w:tcPr>
          <w:p w14:paraId="1E5B1F4A"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48</w:t>
            </w:r>
          </w:p>
        </w:tc>
        <w:tc>
          <w:tcPr>
            <w:tcW w:w="1756" w:type="dxa"/>
            <w:tcBorders>
              <w:top w:val="nil"/>
              <w:left w:val="nil"/>
              <w:bottom w:val="single" w:sz="4" w:space="0" w:color="auto"/>
              <w:right w:val="single" w:sz="4" w:space="0" w:color="auto"/>
            </w:tcBorders>
            <w:shd w:val="clear" w:color="auto" w:fill="auto"/>
            <w:noWrap/>
            <w:vAlign w:val="bottom"/>
            <w:hideMark/>
          </w:tcPr>
          <w:p w14:paraId="28CC2DB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57</w:t>
            </w:r>
          </w:p>
        </w:tc>
        <w:tc>
          <w:tcPr>
            <w:tcW w:w="1249" w:type="dxa"/>
            <w:tcBorders>
              <w:top w:val="nil"/>
              <w:left w:val="nil"/>
              <w:bottom w:val="single" w:sz="4" w:space="0" w:color="auto"/>
              <w:right w:val="single" w:sz="4" w:space="0" w:color="auto"/>
            </w:tcBorders>
            <w:shd w:val="clear" w:color="auto" w:fill="auto"/>
            <w:noWrap/>
            <w:vAlign w:val="bottom"/>
            <w:hideMark/>
          </w:tcPr>
          <w:p w14:paraId="3C031C3A"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14</w:t>
            </w:r>
          </w:p>
        </w:tc>
        <w:tc>
          <w:tcPr>
            <w:tcW w:w="1398" w:type="dxa"/>
            <w:tcBorders>
              <w:top w:val="nil"/>
              <w:left w:val="nil"/>
              <w:bottom w:val="single" w:sz="4" w:space="0" w:color="auto"/>
              <w:right w:val="single" w:sz="4" w:space="0" w:color="auto"/>
            </w:tcBorders>
            <w:shd w:val="clear" w:color="auto" w:fill="auto"/>
            <w:noWrap/>
            <w:vAlign w:val="bottom"/>
            <w:hideMark/>
          </w:tcPr>
          <w:p w14:paraId="5E5EA6E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16</w:t>
            </w:r>
          </w:p>
        </w:tc>
        <w:tc>
          <w:tcPr>
            <w:tcW w:w="1320" w:type="dxa"/>
            <w:tcBorders>
              <w:top w:val="nil"/>
              <w:left w:val="nil"/>
              <w:bottom w:val="single" w:sz="4" w:space="0" w:color="auto"/>
              <w:right w:val="single" w:sz="4" w:space="0" w:color="auto"/>
            </w:tcBorders>
            <w:shd w:val="clear" w:color="auto" w:fill="auto"/>
            <w:noWrap/>
            <w:vAlign w:val="bottom"/>
            <w:hideMark/>
          </w:tcPr>
          <w:p w14:paraId="7034B5F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w:t>
            </w:r>
          </w:p>
        </w:tc>
      </w:tr>
      <w:tr w:rsidR="007F5D40" w:rsidRPr="007F5D40" w14:paraId="6C12CEDC"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192CCAD6"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5</w:t>
            </w:r>
          </w:p>
        </w:tc>
        <w:tc>
          <w:tcPr>
            <w:tcW w:w="1756" w:type="dxa"/>
            <w:tcBorders>
              <w:top w:val="nil"/>
              <w:left w:val="nil"/>
              <w:bottom w:val="single" w:sz="4" w:space="0" w:color="auto"/>
              <w:right w:val="single" w:sz="4" w:space="0" w:color="auto"/>
            </w:tcBorders>
            <w:shd w:val="clear" w:color="auto" w:fill="auto"/>
            <w:noWrap/>
            <w:vAlign w:val="bottom"/>
            <w:hideMark/>
          </w:tcPr>
          <w:p w14:paraId="666E38D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53</w:t>
            </w:r>
          </w:p>
        </w:tc>
        <w:tc>
          <w:tcPr>
            <w:tcW w:w="1756" w:type="dxa"/>
            <w:tcBorders>
              <w:top w:val="nil"/>
              <w:left w:val="nil"/>
              <w:bottom w:val="single" w:sz="4" w:space="0" w:color="auto"/>
              <w:right w:val="single" w:sz="4" w:space="0" w:color="auto"/>
            </w:tcBorders>
            <w:shd w:val="clear" w:color="auto" w:fill="auto"/>
            <w:noWrap/>
            <w:vAlign w:val="bottom"/>
            <w:hideMark/>
          </w:tcPr>
          <w:p w14:paraId="2D86E2A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58</w:t>
            </w:r>
          </w:p>
        </w:tc>
        <w:tc>
          <w:tcPr>
            <w:tcW w:w="1249" w:type="dxa"/>
            <w:tcBorders>
              <w:top w:val="nil"/>
              <w:left w:val="nil"/>
              <w:bottom w:val="single" w:sz="4" w:space="0" w:color="auto"/>
              <w:right w:val="single" w:sz="4" w:space="0" w:color="auto"/>
            </w:tcBorders>
            <w:shd w:val="clear" w:color="auto" w:fill="auto"/>
            <w:noWrap/>
            <w:vAlign w:val="bottom"/>
            <w:hideMark/>
          </w:tcPr>
          <w:p w14:paraId="2AB0E426"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17</w:t>
            </w:r>
          </w:p>
        </w:tc>
        <w:tc>
          <w:tcPr>
            <w:tcW w:w="1398" w:type="dxa"/>
            <w:tcBorders>
              <w:top w:val="nil"/>
              <w:left w:val="nil"/>
              <w:bottom w:val="single" w:sz="4" w:space="0" w:color="auto"/>
              <w:right w:val="single" w:sz="4" w:space="0" w:color="auto"/>
            </w:tcBorders>
            <w:shd w:val="clear" w:color="auto" w:fill="auto"/>
            <w:noWrap/>
            <w:vAlign w:val="bottom"/>
            <w:hideMark/>
          </w:tcPr>
          <w:p w14:paraId="5F2D5F58"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21</w:t>
            </w:r>
          </w:p>
        </w:tc>
        <w:tc>
          <w:tcPr>
            <w:tcW w:w="1320" w:type="dxa"/>
            <w:tcBorders>
              <w:top w:val="nil"/>
              <w:left w:val="nil"/>
              <w:bottom w:val="single" w:sz="4" w:space="0" w:color="auto"/>
              <w:right w:val="single" w:sz="4" w:space="0" w:color="auto"/>
            </w:tcBorders>
            <w:shd w:val="clear" w:color="auto" w:fill="auto"/>
            <w:noWrap/>
            <w:vAlign w:val="bottom"/>
            <w:hideMark/>
          </w:tcPr>
          <w:p w14:paraId="6AAF8F2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w:t>
            </w:r>
          </w:p>
        </w:tc>
      </w:tr>
      <w:tr w:rsidR="007F5D40" w:rsidRPr="007F5D40" w14:paraId="1D77CE58"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2896C103"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6</w:t>
            </w:r>
          </w:p>
        </w:tc>
        <w:tc>
          <w:tcPr>
            <w:tcW w:w="1756" w:type="dxa"/>
            <w:tcBorders>
              <w:top w:val="nil"/>
              <w:left w:val="nil"/>
              <w:bottom w:val="single" w:sz="4" w:space="0" w:color="auto"/>
              <w:right w:val="single" w:sz="4" w:space="0" w:color="auto"/>
            </w:tcBorders>
            <w:shd w:val="clear" w:color="auto" w:fill="auto"/>
            <w:noWrap/>
            <w:vAlign w:val="bottom"/>
            <w:hideMark/>
          </w:tcPr>
          <w:p w14:paraId="3A7769EE"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67</w:t>
            </w:r>
          </w:p>
        </w:tc>
        <w:tc>
          <w:tcPr>
            <w:tcW w:w="1756" w:type="dxa"/>
            <w:tcBorders>
              <w:top w:val="nil"/>
              <w:left w:val="nil"/>
              <w:bottom w:val="single" w:sz="4" w:space="0" w:color="auto"/>
              <w:right w:val="single" w:sz="4" w:space="0" w:color="auto"/>
            </w:tcBorders>
            <w:shd w:val="clear" w:color="auto" w:fill="auto"/>
            <w:noWrap/>
            <w:vAlign w:val="bottom"/>
            <w:hideMark/>
          </w:tcPr>
          <w:p w14:paraId="1227A12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63</w:t>
            </w:r>
          </w:p>
        </w:tc>
        <w:tc>
          <w:tcPr>
            <w:tcW w:w="1249" w:type="dxa"/>
            <w:tcBorders>
              <w:top w:val="nil"/>
              <w:left w:val="nil"/>
              <w:bottom w:val="single" w:sz="4" w:space="0" w:color="auto"/>
              <w:right w:val="single" w:sz="4" w:space="0" w:color="auto"/>
            </w:tcBorders>
            <w:shd w:val="clear" w:color="auto" w:fill="auto"/>
            <w:noWrap/>
            <w:vAlign w:val="bottom"/>
            <w:hideMark/>
          </w:tcPr>
          <w:p w14:paraId="155D6EBE"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28</w:t>
            </w:r>
          </w:p>
        </w:tc>
        <w:tc>
          <w:tcPr>
            <w:tcW w:w="1398" w:type="dxa"/>
            <w:tcBorders>
              <w:top w:val="nil"/>
              <w:left w:val="nil"/>
              <w:bottom w:val="single" w:sz="4" w:space="0" w:color="auto"/>
              <w:right w:val="single" w:sz="4" w:space="0" w:color="auto"/>
            </w:tcBorders>
            <w:shd w:val="clear" w:color="auto" w:fill="auto"/>
            <w:noWrap/>
            <w:vAlign w:val="bottom"/>
            <w:hideMark/>
          </w:tcPr>
          <w:p w14:paraId="3C6E3D4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27</w:t>
            </w:r>
          </w:p>
        </w:tc>
        <w:tc>
          <w:tcPr>
            <w:tcW w:w="1320" w:type="dxa"/>
            <w:tcBorders>
              <w:top w:val="nil"/>
              <w:left w:val="nil"/>
              <w:bottom w:val="single" w:sz="4" w:space="0" w:color="auto"/>
              <w:right w:val="single" w:sz="4" w:space="0" w:color="auto"/>
            </w:tcBorders>
            <w:shd w:val="clear" w:color="auto" w:fill="auto"/>
            <w:noWrap/>
            <w:vAlign w:val="bottom"/>
            <w:hideMark/>
          </w:tcPr>
          <w:p w14:paraId="6C308C0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678ED334"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1833C0A4"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7</w:t>
            </w:r>
          </w:p>
        </w:tc>
        <w:tc>
          <w:tcPr>
            <w:tcW w:w="1756" w:type="dxa"/>
            <w:tcBorders>
              <w:top w:val="nil"/>
              <w:left w:val="nil"/>
              <w:bottom w:val="single" w:sz="4" w:space="0" w:color="auto"/>
              <w:right w:val="single" w:sz="4" w:space="0" w:color="auto"/>
            </w:tcBorders>
            <w:shd w:val="clear" w:color="auto" w:fill="auto"/>
            <w:noWrap/>
            <w:vAlign w:val="bottom"/>
            <w:hideMark/>
          </w:tcPr>
          <w:p w14:paraId="14720FA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58</w:t>
            </w:r>
          </w:p>
        </w:tc>
        <w:tc>
          <w:tcPr>
            <w:tcW w:w="1756" w:type="dxa"/>
            <w:tcBorders>
              <w:top w:val="nil"/>
              <w:left w:val="nil"/>
              <w:bottom w:val="single" w:sz="4" w:space="0" w:color="auto"/>
              <w:right w:val="single" w:sz="4" w:space="0" w:color="auto"/>
            </w:tcBorders>
            <w:shd w:val="clear" w:color="auto" w:fill="auto"/>
            <w:noWrap/>
            <w:vAlign w:val="bottom"/>
            <w:hideMark/>
          </w:tcPr>
          <w:p w14:paraId="76D006E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66</w:t>
            </w:r>
          </w:p>
        </w:tc>
        <w:tc>
          <w:tcPr>
            <w:tcW w:w="1249" w:type="dxa"/>
            <w:tcBorders>
              <w:top w:val="nil"/>
              <w:left w:val="nil"/>
              <w:bottom w:val="single" w:sz="4" w:space="0" w:color="auto"/>
              <w:right w:val="single" w:sz="4" w:space="0" w:color="auto"/>
            </w:tcBorders>
            <w:shd w:val="clear" w:color="auto" w:fill="auto"/>
            <w:noWrap/>
            <w:vAlign w:val="bottom"/>
            <w:hideMark/>
          </w:tcPr>
          <w:p w14:paraId="25A4FE4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22</w:t>
            </w:r>
          </w:p>
        </w:tc>
        <w:tc>
          <w:tcPr>
            <w:tcW w:w="1398" w:type="dxa"/>
            <w:tcBorders>
              <w:top w:val="nil"/>
              <w:left w:val="nil"/>
              <w:bottom w:val="single" w:sz="4" w:space="0" w:color="auto"/>
              <w:right w:val="single" w:sz="4" w:space="0" w:color="auto"/>
            </w:tcBorders>
            <w:shd w:val="clear" w:color="auto" w:fill="auto"/>
            <w:noWrap/>
            <w:vAlign w:val="bottom"/>
            <w:hideMark/>
          </w:tcPr>
          <w:p w14:paraId="45BC563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25</w:t>
            </w:r>
          </w:p>
        </w:tc>
        <w:tc>
          <w:tcPr>
            <w:tcW w:w="1320" w:type="dxa"/>
            <w:tcBorders>
              <w:top w:val="nil"/>
              <w:left w:val="nil"/>
              <w:bottom w:val="single" w:sz="4" w:space="0" w:color="auto"/>
              <w:right w:val="single" w:sz="4" w:space="0" w:color="auto"/>
            </w:tcBorders>
            <w:shd w:val="clear" w:color="auto" w:fill="auto"/>
            <w:noWrap/>
            <w:vAlign w:val="bottom"/>
            <w:hideMark/>
          </w:tcPr>
          <w:p w14:paraId="6543728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6C72340C"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6D496A5F"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8</w:t>
            </w:r>
          </w:p>
        </w:tc>
        <w:tc>
          <w:tcPr>
            <w:tcW w:w="1756" w:type="dxa"/>
            <w:tcBorders>
              <w:top w:val="nil"/>
              <w:left w:val="nil"/>
              <w:bottom w:val="single" w:sz="4" w:space="0" w:color="auto"/>
              <w:right w:val="single" w:sz="4" w:space="0" w:color="auto"/>
            </w:tcBorders>
            <w:shd w:val="clear" w:color="auto" w:fill="auto"/>
            <w:noWrap/>
            <w:vAlign w:val="bottom"/>
            <w:hideMark/>
          </w:tcPr>
          <w:p w14:paraId="3482C1B6"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55</w:t>
            </w:r>
          </w:p>
        </w:tc>
        <w:tc>
          <w:tcPr>
            <w:tcW w:w="1756" w:type="dxa"/>
            <w:tcBorders>
              <w:top w:val="nil"/>
              <w:left w:val="nil"/>
              <w:bottom w:val="single" w:sz="4" w:space="0" w:color="auto"/>
              <w:right w:val="single" w:sz="4" w:space="0" w:color="auto"/>
            </w:tcBorders>
            <w:shd w:val="clear" w:color="auto" w:fill="auto"/>
            <w:noWrap/>
            <w:vAlign w:val="bottom"/>
            <w:hideMark/>
          </w:tcPr>
          <w:p w14:paraId="174E3F0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59</w:t>
            </w:r>
          </w:p>
        </w:tc>
        <w:tc>
          <w:tcPr>
            <w:tcW w:w="1249" w:type="dxa"/>
            <w:tcBorders>
              <w:top w:val="nil"/>
              <w:left w:val="nil"/>
              <w:bottom w:val="single" w:sz="4" w:space="0" w:color="auto"/>
              <w:right w:val="single" w:sz="4" w:space="0" w:color="auto"/>
            </w:tcBorders>
            <w:shd w:val="clear" w:color="auto" w:fill="auto"/>
            <w:noWrap/>
            <w:vAlign w:val="bottom"/>
            <w:hideMark/>
          </w:tcPr>
          <w:p w14:paraId="2FD5D10E"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25</w:t>
            </w:r>
          </w:p>
        </w:tc>
        <w:tc>
          <w:tcPr>
            <w:tcW w:w="1398" w:type="dxa"/>
            <w:tcBorders>
              <w:top w:val="nil"/>
              <w:left w:val="nil"/>
              <w:bottom w:val="single" w:sz="4" w:space="0" w:color="auto"/>
              <w:right w:val="single" w:sz="4" w:space="0" w:color="auto"/>
            </w:tcBorders>
            <w:shd w:val="clear" w:color="auto" w:fill="auto"/>
            <w:noWrap/>
            <w:vAlign w:val="bottom"/>
            <w:hideMark/>
          </w:tcPr>
          <w:p w14:paraId="38C1DF2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21</w:t>
            </w:r>
          </w:p>
        </w:tc>
        <w:tc>
          <w:tcPr>
            <w:tcW w:w="1320" w:type="dxa"/>
            <w:tcBorders>
              <w:top w:val="nil"/>
              <w:left w:val="nil"/>
              <w:bottom w:val="single" w:sz="4" w:space="0" w:color="auto"/>
              <w:right w:val="single" w:sz="4" w:space="0" w:color="auto"/>
            </w:tcBorders>
            <w:shd w:val="clear" w:color="auto" w:fill="auto"/>
            <w:noWrap/>
            <w:vAlign w:val="bottom"/>
            <w:hideMark/>
          </w:tcPr>
          <w:p w14:paraId="009B9A1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w:t>
            </w:r>
          </w:p>
        </w:tc>
      </w:tr>
      <w:tr w:rsidR="007F5D40" w:rsidRPr="007F5D40" w14:paraId="053E5D7B"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7443A133"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9</w:t>
            </w:r>
          </w:p>
        </w:tc>
        <w:tc>
          <w:tcPr>
            <w:tcW w:w="1756" w:type="dxa"/>
            <w:tcBorders>
              <w:top w:val="nil"/>
              <w:left w:val="nil"/>
              <w:bottom w:val="single" w:sz="4" w:space="0" w:color="auto"/>
              <w:right w:val="single" w:sz="4" w:space="0" w:color="auto"/>
            </w:tcBorders>
            <w:shd w:val="clear" w:color="auto" w:fill="auto"/>
            <w:noWrap/>
            <w:vAlign w:val="bottom"/>
            <w:hideMark/>
          </w:tcPr>
          <w:p w14:paraId="618C1C0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64</w:t>
            </w:r>
          </w:p>
        </w:tc>
        <w:tc>
          <w:tcPr>
            <w:tcW w:w="1756" w:type="dxa"/>
            <w:tcBorders>
              <w:top w:val="nil"/>
              <w:left w:val="nil"/>
              <w:bottom w:val="single" w:sz="4" w:space="0" w:color="auto"/>
              <w:right w:val="single" w:sz="4" w:space="0" w:color="auto"/>
            </w:tcBorders>
            <w:shd w:val="clear" w:color="auto" w:fill="auto"/>
            <w:noWrap/>
            <w:vAlign w:val="bottom"/>
            <w:hideMark/>
          </w:tcPr>
          <w:p w14:paraId="571C5E8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67</w:t>
            </w:r>
          </w:p>
        </w:tc>
        <w:tc>
          <w:tcPr>
            <w:tcW w:w="1249" w:type="dxa"/>
            <w:tcBorders>
              <w:top w:val="nil"/>
              <w:left w:val="nil"/>
              <w:bottom w:val="single" w:sz="4" w:space="0" w:color="auto"/>
              <w:right w:val="single" w:sz="4" w:space="0" w:color="auto"/>
            </w:tcBorders>
            <w:shd w:val="clear" w:color="auto" w:fill="auto"/>
            <w:noWrap/>
            <w:vAlign w:val="bottom"/>
            <w:hideMark/>
          </w:tcPr>
          <w:p w14:paraId="766287E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27</w:t>
            </w:r>
          </w:p>
        </w:tc>
        <w:tc>
          <w:tcPr>
            <w:tcW w:w="1398" w:type="dxa"/>
            <w:tcBorders>
              <w:top w:val="nil"/>
              <w:left w:val="nil"/>
              <w:bottom w:val="single" w:sz="4" w:space="0" w:color="auto"/>
              <w:right w:val="single" w:sz="4" w:space="0" w:color="auto"/>
            </w:tcBorders>
            <w:shd w:val="clear" w:color="auto" w:fill="auto"/>
            <w:noWrap/>
            <w:vAlign w:val="bottom"/>
            <w:hideMark/>
          </w:tcPr>
          <w:p w14:paraId="3D0396B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19</w:t>
            </w:r>
          </w:p>
        </w:tc>
        <w:tc>
          <w:tcPr>
            <w:tcW w:w="1320" w:type="dxa"/>
            <w:tcBorders>
              <w:top w:val="nil"/>
              <w:left w:val="nil"/>
              <w:bottom w:val="single" w:sz="4" w:space="0" w:color="auto"/>
              <w:right w:val="single" w:sz="4" w:space="0" w:color="auto"/>
            </w:tcBorders>
            <w:shd w:val="clear" w:color="auto" w:fill="auto"/>
            <w:noWrap/>
            <w:vAlign w:val="bottom"/>
            <w:hideMark/>
          </w:tcPr>
          <w:p w14:paraId="4DBA759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669A41A8"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4494E491"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10</w:t>
            </w:r>
          </w:p>
        </w:tc>
        <w:tc>
          <w:tcPr>
            <w:tcW w:w="1756" w:type="dxa"/>
            <w:tcBorders>
              <w:top w:val="nil"/>
              <w:left w:val="nil"/>
              <w:bottom w:val="single" w:sz="4" w:space="0" w:color="auto"/>
              <w:right w:val="single" w:sz="4" w:space="0" w:color="auto"/>
            </w:tcBorders>
            <w:shd w:val="clear" w:color="auto" w:fill="auto"/>
            <w:noWrap/>
            <w:vAlign w:val="bottom"/>
            <w:hideMark/>
          </w:tcPr>
          <w:p w14:paraId="1F1160F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68</w:t>
            </w:r>
          </w:p>
        </w:tc>
        <w:tc>
          <w:tcPr>
            <w:tcW w:w="1756" w:type="dxa"/>
            <w:tcBorders>
              <w:top w:val="nil"/>
              <w:left w:val="nil"/>
              <w:bottom w:val="single" w:sz="4" w:space="0" w:color="auto"/>
              <w:right w:val="single" w:sz="4" w:space="0" w:color="auto"/>
            </w:tcBorders>
            <w:shd w:val="clear" w:color="auto" w:fill="auto"/>
            <w:noWrap/>
            <w:vAlign w:val="bottom"/>
            <w:hideMark/>
          </w:tcPr>
          <w:p w14:paraId="78C10EA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74</w:t>
            </w:r>
          </w:p>
        </w:tc>
        <w:tc>
          <w:tcPr>
            <w:tcW w:w="1249" w:type="dxa"/>
            <w:tcBorders>
              <w:top w:val="nil"/>
              <w:left w:val="nil"/>
              <w:bottom w:val="single" w:sz="4" w:space="0" w:color="auto"/>
              <w:right w:val="single" w:sz="4" w:space="0" w:color="auto"/>
            </w:tcBorders>
            <w:shd w:val="clear" w:color="auto" w:fill="auto"/>
            <w:noWrap/>
            <w:vAlign w:val="bottom"/>
            <w:hideMark/>
          </w:tcPr>
          <w:p w14:paraId="215D498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30</w:t>
            </w:r>
          </w:p>
        </w:tc>
        <w:tc>
          <w:tcPr>
            <w:tcW w:w="1398" w:type="dxa"/>
            <w:tcBorders>
              <w:top w:val="nil"/>
              <w:left w:val="nil"/>
              <w:bottom w:val="single" w:sz="4" w:space="0" w:color="auto"/>
              <w:right w:val="single" w:sz="4" w:space="0" w:color="auto"/>
            </w:tcBorders>
            <w:shd w:val="clear" w:color="auto" w:fill="auto"/>
            <w:noWrap/>
            <w:vAlign w:val="bottom"/>
            <w:hideMark/>
          </w:tcPr>
          <w:p w14:paraId="12DBC1B4"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30</w:t>
            </w:r>
          </w:p>
        </w:tc>
        <w:tc>
          <w:tcPr>
            <w:tcW w:w="1320" w:type="dxa"/>
            <w:tcBorders>
              <w:top w:val="nil"/>
              <w:left w:val="nil"/>
              <w:bottom w:val="single" w:sz="4" w:space="0" w:color="auto"/>
              <w:right w:val="single" w:sz="4" w:space="0" w:color="auto"/>
            </w:tcBorders>
            <w:shd w:val="clear" w:color="auto" w:fill="auto"/>
            <w:noWrap/>
            <w:vAlign w:val="bottom"/>
            <w:hideMark/>
          </w:tcPr>
          <w:p w14:paraId="13A2C63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bl>
    <w:p w14:paraId="46D5AD89" w14:textId="77777777" w:rsidR="007F5D40" w:rsidRPr="007F5D40" w:rsidRDefault="007F5D40" w:rsidP="007F5D40">
      <w:pPr>
        <w:rPr>
          <w:rFonts w:asciiTheme="majorBidi" w:hAnsiTheme="majorBidi" w:cstheme="majorBidi"/>
          <w:sz w:val="24"/>
          <w:szCs w:val="24"/>
        </w:rPr>
      </w:pPr>
    </w:p>
    <w:p w14:paraId="0E6F4301"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t>Appendix 2 – Stages at week 6</w:t>
      </w:r>
    </w:p>
    <w:tbl>
      <w:tblPr>
        <w:tblW w:w="9020" w:type="dxa"/>
        <w:tblLook w:val="04A0" w:firstRow="1" w:lastRow="0" w:firstColumn="1" w:lastColumn="0" w:noHBand="0" w:noVBand="1"/>
      </w:tblPr>
      <w:tblGrid>
        <w:gridCol w:w="1541"/>
        <w:gridCol w:w="1756"/>
        <w:gridCol w:w="1756"/>
        <w:gridCol w:w="1249"/>
        <w:gridCol w:w="1398"/>
        <w:gridCol w:w="1320"/>
      </w:tblGrid>
      <w:tr w:rsidR="007F5D40" w:rsidRPr="007F5D40" w14:paraId="08250CF4" w14:textId="77777777" w:rsidTr="00781765">
        <w:trPr>
          <w:trHeight w:val="315"/>
        </w:trPr>
        <w:tc>
          <w:tcPr>
            <w:tcW w:w="1541" w:type="dxa"/>
            <w:tcBorders>
              <w:top w:val="single" w:sz="4" w:space="0" w:color="auto"/>
              <w:left w:val="single" w:sz="4" w:space="0" w:color="auto"/>
              <w:bottom w:val="single" w:sz="4" w:space="0" w:color="auto"/>
              <w:right w:val="nil"/>
            </w:tcBorders>
            <w:shd w:val="clear" w:color="000000" w:fill="FFFF00"/>
            <w:noWrap/>
            <w:vAlign w:val="bottom"/>
            <w:hideMark/>
          </w:tcPr>
          <w:p w14:paraId="5D6A35DC"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Child</w:t>
            </w:r>
          </w:p>
        </w:tc>
        <w:tc>
          <w:tcPr>
            <w:tcW w:w="3512" w:type="dxa"/>
            <w:gridSpan w:val="2"/>
            <w:tcBorders>
              <w:top w:val="single" w:sz="4" w:space="0" w:color="auto"/>
              <w:left w:val="nil"/>
              <w:bottom w:val="single" w:sz="4" w:space="0" w:color="auto"/>
              <w:right w:val="single" w:sz="4" w:space="0" w:color="auto"/>
            </w:tcBorders>
            <w:shd w:val="clear" w:color="000000" w:fill="FFFF00"/>
            <w:noWrap/>
            <w:vAlign w:val="bottom"/>
            <w:hideMark/>
          </w:tcPr>
          <w:p w14:paraId="4EA1111D"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Standing Long Jump</w:t>
            </w:r>
          </w:p>
        </w:tc>
        <w:tc>
          <w:tcPr>
            <w:tcW w:w="2647" w:type="dxa"/>
            <w:gridSpan w:val="2"/>
            <w:tcBorders>
              <w:top w:val="single" w:sz="4" w:space="0" w:color="auto"/>
              <w:left w:val="nil"/>
              <w:bottom w:val="single" w:sz="4" w:space="0" w:color="auto"/>
              <w:right w:val="single" w:sz="4" w:space="0" w:color="auto"/>
            </w:tcBorders>
            <w:shd w:val="clear" w:color="000000" w:fill="FFFF00"/>
            <w:noWrap/>
            <w:vAlign w:val="bottom"/>
            <w:hideMark/>
          </w:tcPr>
          <w:p w14:paraId="141A575C"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Single Leg Balance 30 seconds</w:t>
            </w:r>
          </w:p>
        </w:tc>
        <w:tc>
          <w:tcPr>
            <w:tcW w:w="1320" w:type="dxa"/>
            <w:tcBorders>
              <w:top w:val="single" w:sz="4" w:space="0" w:color="auto"/>
              <w:left w:val="nil"/>
              <w:bottom w:val="single" w:sz="4" w:space="0" w:color="auto"/>
              <w:right w:val="single" w:sz="4" w:space="0" w:color="auto"/>
            </w:tcBorders>
            <w:shd w:val="clear" w:color="000000" w:fill="FFFF00"/>
            <w:noWrap/>
            <w:vAlign w:val="bottom"/>
            <w:hideMark/>
          </w:tcPr>
          <w:p w14:paraId="51962562" w14:textId="77777777" w:rsidR="007F5D40" w:rsidRPr="007F5D40" w:rsidRDefault="007F5D40" w:rsidP="00781765">
            <w:pPr>
              <w:spacing w:line="240" w:lineRule="auto"/>
              <w:jc w:val="center"/>
              <w:rPr>
                <w:rFonts w:asciiTheme="majorBidi" w:eastAsia="Times New Roman" w:hAnsiTheme="majorBidi" w:cstheme="majorBidi"/>
                <w:b/>
                <w:bCs/>
                <w:color w:val="000000"/>
                <w:sz w:val="24"/>
                <w:szCs w:val="24"/>
                <w:lang w:eastAsia="en-GB"/>
              </w:rPr>
            </w:pPr>
            <w:r w:rsidRPr="007F5D40">
              <w:rPr>
                <w:rFonts w:asciiTheme="majorBidi" w:eastAsia="Times New Roman" w:hAnsiTheme="majorBidi" w:cstheme="majorBidi"/>
                <w:b/>
                <w:bCs/>
                <w:color w:val="000000"/>
                <w:sz w:val="24"/>
                <w:szCs w:val="24"/>
                <w:lang w:eastAsia="en-GB"/>
              </w:rPr>
              <w:t>Catch</w:t>
            </w:r>
          </w:p>
        </w:tc>
      </w:tr>
      <w:tr w:rsidR="007F5D40" w:rsidRPr="007F5D40" w14:paraId="2F2DBFE3"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106E92C8"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Name/ ID</w:t>
            </w:r>
          </w:p>
        </w:tc>
        <w:tc>
          <w:tcPr>
            <w:tcW w:w="1756" w:type="dxa"/>
            <w:tcBorders>
              <w:top w:val="nil"/>
              <w:left w:val="nil"/>
              <w:bottom w:val="single" w:sz="4" w:space="0" w:color="auto"/>
              <w:right w:val="single" w:sz="4" w:space="0" w:color="auto"/>
            </w:tcBorders>
            <w:shd w:val="clear" w:color="auto" w:fill="auto"/>
            <w:noWrap/>
            <w:vAlign w:val="bottom"/>
            <w:hideMark/>
          </w:tcPr>
          <w:p w14:paraId="7D01C796"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Jump 1</w:t>
            </w:r>
          </w:p>
        </w:tc>
        <w:tc>
          <w:tcPr>
            <w:tcW w:w="1756" w:type="dxa"/>
            <w:tcBorders>
              <w:top w:val="nil"/>
              <w:left w:val="nil"/>
              <w:bottom w:val="single" w:sz="4" w:space="0" w:color="auto"/>
              <w:right w:val="single" w:sz="4" w:space="0" w:color="auto"/>
            </w:tcBorders>
            <w:shd w:val="clear" w:color="auto" w:fill="auto"/>
            <w:noWrap/>
            <w:vAlign w:val="bottom"/>
            <w:hideMark/>
          </w:tcPr>
          <w:p w14:paraId="4852C9E4"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Jump 2</w:t>
            </w:r>
          </w:p>
        </w:tc>
        <w:tc>
          <w:tcPr>
            <w:tcW w:w="1249" w:type="dxa"/>
            <w:tcBorders>
              <w:top w:val="nil"/>
              <w:left w:val="nil"/>
              <w:bottom w:val="single" w:sz="4" w:space="0" w:color="auto"/>
              <w:right w:val="single" w:sz="4" w:space="0" w:color="auto"/>
            </w:tcBorders>
            <w:shd w:val="clear" w:color="auto" w:fill="auto"/>
            <w:noWrap/>
            <w:vAlign w:val="bottom"/>
            <w:hideMark/>
          </w:tcPr>
          <w:p w14:paraId="2B18082C"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Left 1 (sec)</w:t>
            </w:r>
          </w:p>
        </w:tc>
        <w:tc>
          <w:tcPr>
            <w:tcW w:w="1398" w:type="dxa"/>
            <w:tcBorders>
              <w:top w:val="nil"/>
              <w:left w:val="nil"/>
              <w:bottom w:val="single" w:sz="4" w:space="0" w:color="auto"/>
              <w:right w:val="single" w:sz="4" w:space="0" w:color="auto"/>
            </w:tcBorders>
            <w:shd w:val="clear" w:color="auto" w:fill="auto"/>
            <w:noWrap/>
            <w:vAlign w:val="bottom"/>
            <w:hideMark/>
          </w:tcPr>
          <w:p w14:paraId="53FE3961"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Right 1 (sec)</w:t>
            </w:r>
          </w:p>
        </w:tc>
        <w:tc>
          <w:tcPr>
            <w:tcW w:w="1320" w:type="dxa"/>
            <w:tcBorders>
              <w:top w:val="nil"/>
              <w:left w:val="nil"/>
              <w:bottom w:val="single" w:sz="4" w:space="0" w:color="auto"/>
              <w:right w:val="single" w:sz="4" w:space="0" w:color="auto"/>
            </w:tcBorders>
            <w:shd w:val="clear" w:color="auto" w:fill="auto"/>
            <w:noWrap/>
            <w:vAlign w:val="bottom"/>
            <w:hideMark/>
          </w:tcPr>
          <w:p w14:paraId="5AEC1D52" w14:textId="77777777" w:rsidR="007F5D40" w:rsidRPr="007F5D40" w:rsidRDefault="007F5D40" w:rsidP="00781765">
            <w:pPr>
              <w:spacing w:line="240" w:lineRule="auto"/>
              <w:jc w:val="center"/>
              <w:rPr>
                <w:rFonts w:asciiTheme="majorBidi" w:eastAsia="Times New Roman" w:hAnsiTheme="majorBidi" w:cstheme="majorBidi"/>
                <w:color w:val="FF0000"/>
                <w:sz w:val="24"/>
                <w:szCs w:val="24"/>
                <w:lang w:eastAsia="en-GB"/>
              </w:rPr>
            </w:pPr>
            <w:r w:rsidRPr="007F5D40">
              <w:rPr>
                <w:rFonts w:asciiTheme="majorBidi" w:eastAsia="Times New Roman" w:hAnsiTheme="majorBidi" w:cstheme="majorBidi"/>
                <w:color w:val="FF0000"/>
                <w:sz w:val="24"/>
                <w:szCs w:val="24"/>
                <w:lang w:eastAsia="en-GB"/>
              </w:rPr>
              <w:t>Stage</w:t>
            </w:r>
          </w:p>
        </w:tc>
      </w:tr>
      <w:tr w:rsidR="007F5D40" w:rsidRPr="007F5D40" w14:paraId="45319F00"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09272CED"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1</w:t>
            </w:r>
          </w:p>
        </w:tc>
        <w:tc>
          <w:tcPr>
            <w:tcW w:w="1756" w:type="dxa"/>
            <w:tcBorders>
              <w:top w:val="nil"/>
              <w:left w:val="nil"/>
              <w:bottom w:val="single" w:sz="4" w:space="0" w:color="auto"/>
              <w:right w:val="single" w:sz="4" w:space="0" w:color="auto"/>
            </w:tcBorders>
            <w:shd w:val="clear" w:color="auto" w:fill="auto"/>
            <w:noWrap/>
            <w:vAlign w:val="bottom"/>
            <w:hideMark/>
          </w:tcPr>
          <w:p w14:paraId="3EF3422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83</w:t>
            </w:r>
          </w:p>
        </w:tc>
        <w:tc>
          <w:tcPr>
            <w:tcW w:w="1756" w:type="dxa"/>
            <w:tcBorders>
              <w:top w:val="nil"/>
              <w:left w:val="nil"/>
              <w:bottom w:val="single" w:sz="4" w:space="0" w:color="auto"/>
              <w:right w:val="single" w:sz="4" w:space="0" w:color="auto"/>
            </w:tcBorders>
            <w:shd w:val="clear" w:color="auto" w:fill="auto"/>
            <w:noWrap/>
            <w:vAlign w:val="bottom"/>
            <w:hideMark/>
          </w:tcPr>
          <w:p w14:paraId="153EE6D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82</w:t>
            </w:r>
          </w:p>
        </w:tc>
        <w:tc>
          <w:tcPr>
            <w:tcW w:w="1249" w:type="dxa"/>
            <w:tcBorders>
              <w:top w:val="nil"/>
              <w:left w:val="nil"/>
              <w:bottom w:val="single" w:sz="4" w:space="0" w:color="auto"/>
              <w:right w:val="single" w:sz="4" w:space="0" w:color="auto"/>
            </w:tcBorders>
            <w:shd w:val="clear" w:color="auto" w:fill="auto"/>
            <w:noWrap/>
            <w:vAlign w:val="bottom"/>
            <w:hideMark/>
          </w:tcPr>
          <w:p w14:paraId="292B3AF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19</w:t>
            </w:r>
          </w:p>
        </w:tc>
        <w:tc>
          <w:tcPr>
            <w:tcW w:w="1398" w:type="dxa"/>
            <w:tcBorders>
              <w:top w:val="nil"/>
              <w:left w:val="nil"/>
              <w:bottom w:val="single" w:sz="4" w:space="0" w:color="auto"/>
              <w:right w:val="single" w:sz="4" w:space="0" w:color="auto"/>
            </w:tcBorders>
            <w:shd w:val="clear" w:color="auto" w:fill="auto"/>
            <w:noWrap/>
            <w:vAlign w:val="bottom"/>
            <w:hideMark/>
          </w:tcPr>
          <w:p w14:paraId="7A822D0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21</w:t>
            </w:r>
          </w:p>
        </w:tc>
        <w:tc>
          <w:tcPr>
            <w:tcW w:w="1320" w:type="dxa"/>
            <w:tcBorders>
              <w:top w:val="nil"/>
              <w:left w:val="nil"/>
              <w:bottom w:val="single" w:sz="4" w:space="0" w:color="auto"/>
              <w:right w:val="single" w:sz="4" w:space="0" w:color="auto"/>
            </w:tcBorders>
            <w:shd w:val="clear" w:color="auto" w:fill="auto"/>
            <w:noWrap/>
            <w:vAlign w:val="bottom"/>
            <w:hideMark/>
          </w:tcPr>
          <w:p w14:paraId="6F059BA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7F66C8E4"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1BAD9F8A"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2</w:t>
            </w:r>
          </w:p>
        </w:tc>
        <w:tc>
          <w:tcPr>
            <w:tcW w:w="1756" w:type="dxa"/>
            <w:tcBorders>
              <w:top w:val="nil"/>
              <w:left w:val="nil"/>
              <w:bottom w:val="single" w:sz="4" w:space="0" w:color="auto"/>
              <w:right w:val="single" w:sz="4" w:space="0" w:color="auto"/>
            </w:tcBorders>
            <w:shd w:val="clear" w:color="auto" w:fill="auto"/>
            <w:noWrap/>
            <w:vAlign w:val="bottom"/>
            <w:hideMark/>
          </w:tcPr>
          <w:p w14:paraId="6ECE311E"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87</w:t>
            </w:r>
          </w:p>
        </w:tc>
        <w:tc>
          <w:tcPr>
            <w:tcW w:w="1756" w:type="dxa"/>
            <w:tcBorders>
              <w:top w:val="nil"/>
              <w:left w:val="nil"/>
              <w:bottom w:val="single" w:sz="4" w:space="0" w:color="auto"/>
              <w:right w:val="single" w:sz="4" w:space="0" w:color="auto"/>
            </w:tcBorders>
            <w:shd w:val="clear" w:color="auto" w:fill="auto"/>
            <w:noWrap/>
            <w:vAlign w:val="bottom"/>
            <w:hideMark/>
          </w:tcPr>
          <w:p w14:paraId="773F50BE"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78</w:t>
            </w:r>
          </w:p>
        </w:tc>
        <w:tc>
          <w:tcPr>
            <w:tcW w:w="1249" w:type="dxa"/>
            <w:tcBorders>
              <w:top w:val="nil"/>
              <w:left w:val="nil"/>
              <w:bottom w:val="single" w:sz="4" w:space="0" w:color="auto"/>
              <w:right w:val="single" w:sz="4" w:space="0" w:color="auto"/>
            </w:tcBorders>
            <w:shd w:val="clear" w:color="auto" w:fill="auto"/>
            <w:noWrap/>
            <w:vAlign w:val="bottom"/>
            <w:hideMark/>
          </w:tcPr>
          <w:p w14:paraId="53098B2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25</w:t>
            </w:r>
          </w:p>
        </w:tc>
        <w:tc>
          <w:tcPr>
            <w:tcW w:w="1398" w:type="dxa"/>
            <w:tcBorders>
              <w:top w:val="nil"/>
              <w:left w:val="nil"/>
              <w:bottom w:val="single" w:sz="4" w:space="0" w:color="auto"/>
              <w:right w:val="single" w:sz="4" w:space="0" w:color="auto"/>
            </w:tcBorders>
            <w:shd w:val="clear" w:color="auto" w:fill="auto"/>
            <w:noWrap/>
            <w:vAlign w:val="bottom"/>
            <w:hideMark/>
          </w:tcPr>
          <w:p w14:paraId="302D0475"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23</w:t>
            </w:r>
          </w:p>
        </w:tc>
        <w:tc>
          <w:tcPr>
            <w:tcW w:w="1320" w:type="dxa"/>
            <w:tcBorders>
              <w:top w:val="nil"/>
              <w:left w:val="nil"/>
              <w:bottom w:val="single" w:sz="4" w:space="0" w:color="auto"/>
              <w:right w:val="single" w:sz="4" w:space="0" w:color="auto"/>
            </w:tcBorders>
            <w:shd w:val="clear" w:color="auto" w:fill="auto"/>
            <w:noWrap/>
            <w:vAlign w:val="bottom"/>
            <w:hideMark/>
          </w:tcPr>
          <w:p w14:paraId="4A10BE7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191DFE14"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2535DCD9"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3</w:t>
            </w:r>
          </w:p>
        </w:tc>
        <w:tc>
          <w:tcPr>
            <w:tcW w:w="1756" w:type="dxa"/>
            <w:tcBorders>
              <w:top w:val="nil"/>
              <w:left w:val="nil"/>
              <w:bottom w:val="single" w:sz="4" w:space="0" w:color="auto"/>
              <w:right w:val="single" w:sz="4" w:space="0" w:color="auto"/>
            </w:tcBorders>
            <w:shd w:val="clear" w:color="auto" w:fill="auto"/>
            <w:noWrap/>
            <w:vAlign w:val="bottom"/>
            <w:hideMark/>
          </w:tcPr>
          <w:p w14:paraId="1E663ACA"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83</w:t>
            </w:r>
          </w:p>
        </w:tc>
        <w:tc>
          <w:tcPr>
            <w:tcW w:w="1756" w:type="dxa"/>
            <w:tcBorders>
              <w:top w:val="nil"/>
              <w:left w:val="nil"/>
              <w:bottom w:val="single" w:sz="4" w:space="0" w:color="auto"/>
              <w:right w:val="single" w:sz="4" w:space="0" w:color="auto"/>
            </w:tcBorders>
            <w:shd w:val="clear" w:color="auto" w:fill="auto"/>
            <w:noWrap/>
            <w:vAlign w:val="bottom"/>
            <w:hideMark/>
          </w:tcPr>
          <w:p w14:paraId="52EA159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74</w:t>
            </w:r>
          </w:p>
        </w:tc>
        <w:tc>
          <w:tcPr>
            <w:tcW w:w="1249" w:type="dxa"/>
            <w:tcBorders>
              <w:top w:val="nil"/>
              <w:left w:val="nil"/>
              <w:bottom w:val="single" w:sz="4" w:space="0" w:color="auto"/>
              <w:right w:val="single" w:sz="4" w:space="0" w:color="auto"/>
            </w:tcBorders>
            <w:shd w:val="clear" w:color="auto" w:fill="auto"/>
            <w:noWrap/>
            <w:vAlign w:val="bottom"/>
            <w:hideMark/>
          </w:tcPr>
          <w:p w14:paraId="794A791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28</w:t>
            </w:r>
          </w:p>
        </w:tc>
        <w:tc>
          <w:tcPr>
            <w:tcW w:w="1398" w:type="dxa"/>
            <w:tcBorders>
              <w:top w:val="nil"/>
              <w:left w:val="nil"/>
              <w:bottom w:val="single" w:sz="4" w:space="0" w:color="auto"/>
              <w:right w:val="single" w:sz="4" w:space="0" w:color="auto"/>
            </w:tcBorders>
            <w:shd w:val="clear" w:color="auto" w:fill="auto"/>
            <w:noWrap/>
            <w:vAlign w:val="bottom"/>
            <w:hideMark/>
          </w:tcPr>
          <w:p w14:paraId="3914A5F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26</w:t>
            </w:r>
          </w:p>
        </w:tc>
        <w:tc>
          <w:tcPr>
            <w:tcW w:w="1320" w:type="dxa"/>
            <w:tcBorders>
              <w:top w:val="nil"/>
              <w:left w:val="nil"/>
              <w:bottom w:val="single" w:sz="4" w:space="0" w:color="auto"/>
              <w:right w:val="single" w:sz="4" w:space="0" w:color="auto"/>
            </w:tcBorders>
            <w:shd w:val="clear" w:color="auto" w:fill="auto"/>
            <w:noWrap/>
            <w:vAlign w:val="bottom"/>
            <w:hideMark/>
          </w:tcPr>
          <w:p w14:paraId="68301EE4"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2AB7F94D"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2EA8F24D"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4</w:t>
            </w:r>
          </w:p>
        </w:tc>
        <w:tc>
          <w:tcPr>
            <w:tcW w:w="1756" w:type="dxa"/>
            <w:tcBorders>
              <w:top w:val="nil"/>
              <w:left w:val="nil"/>
              <w:bottom w:val="single" w:sz="4" w:space="0" w:color="auto"/>
              <w:right w:val="single" w:sz="4" w:space="0" w:color="auto"/>
            </w:tcBorders>
            <w:shd w:val="clear" w:color="auto" w:fill="auto"/>
            <w:noWrap/>
            <w:vAlign w:val="bottom"/>
            <w:hideMark/>
          </w:tcPr>
          <w:p w14:paraId="22642DD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88</w:t>
            </w:r>
          </w:p>
        </w:tc>
        <w:tc>
          <w:tcPr>
            <w:tcW w:w="1756" w:type="dxa"/>
            <w:tcBorders>
              <w:top w:val="nil"/>
              <w:left w:val="nil"/>
              <w:bottom w:val="single" w:sz="4" w:space="0" w:color="auto"/>
              <w:right w:val="single" w:sz="4" w:space="0" w:color="auto"/>
            </w:tcBorders>
            <w:shd w:val="clear" w:color="auto" w:fill="auto"/>
            <w:noWrap/>
            <w:vAlign w:val="bottom"/>
            <w:hideMark/>
          </w:tcPr>
          <w:p w14:paraId="783E8D74"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85</w:t>
            </w:r>
          </w:p>
        </w:tc>
        <w:tc>
          <w:tcPr>
            <w:tcW w:w="1249" w:type="dxa"/>
            <w:tcBorders>
              <w:top w:val="nil"/>
              <w:left w:val="nil"/>
              <w:bottom w:val="single" w:sz="4" w:space="0" w:color="auto"/>
              <w:right w:val="single" w:sz="4" w:space="0" w:color="auto"/>
            </w:tcBorders>
            <w:shd w:val="clear" w:color="auto" w:fill="auto"/>
            <w:noWrap/>
            <w:vAlign w:val="bottom"/>
            <w:hideMark/>
          </w:tcPr>
          <w:p w14:paraId="12C595E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30</w:t>
            </w:r>
          </w:p>
        </w:tc>
        <w:tc>
          <w:tcPr>
            <w:tcW w:w="1398" w:type="dxa"/>
            <w:tcBorders>
              <w:top w:val="nil"/>
              <w:left w:val="nil"/>
              <w:bottom w:val="single" w:sz="4" w:space="0" w:color="auto"/>
              <w:right w:val="single" w:sz="4" w:space="0" w:color="auto"/>
            </w:tcBorders>
            <w:shd w:val="clear" w:color="auto" w:fill="auto"/>
            <w:noWrap/>
            <w:vAlign w:val="bottom"/>
            <w:hideMark/>
          </w:tcPr>
          <w:p w14:paraId="41137A3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28</w:t>
            </w:r>
          </w:p>
        </w:tc>
        <w:tc>
          <w:tcPr>
            <w:tcW w:w="1320" w:type="dxa"/>
            <w:tcBorders>
              <w:top w:val="nil"/>
              <w:left w:val="nil"/>
              <w:bottom w:val="single" w:sz="4" w:space="0" w:color="auto"/>
              <w:right w:val="single" w:sz="4" w:space="0" w:color="auto"/>
            </w:tcBorders>
            <w:shd w:val="clear" w:color="auto" w:fill="auto"/>
            <w:noWrap/>
            <w:vAlign w:val="bottom"/>
            <w:hideMark/>
          </w:tcPr>
          <w:p w14:paraId="23450AB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671898CD"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6EE3C002"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5</w:t>
            </w:r>
          </w:p>
        </w:tc>
        <w:tc>
          <w:tcPr>
            <w:tcW w:w="1756" w:type="dxa"/>
            <w:tcBorders>
              <w:top w:val="nil"/>
              <w:left w:val="nil"/>
              <w:bottom w:val="single" w:sz="4" w:space="0" w:color="auto"/>
              <w:right w:val="single" w:sz="4" w:space="0" w:color="auto"/>
            </w:tcBorders>
            <w:shd w:val="clear" w:color="auto" w:fill="auto"/>
            <w:noWrap/>
            <w:vAlign w:val="bottom"/>
            <w:hideMark/>
          </w:tcPr>
          <w:p w14:paraId="324A000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86</w:t>
            </w:r>
          </w:p>
        </w:tc>
        <w:tc>
          <w:tcPr>
            <w:tcW w:w="1756" w:type="dxa"/>
            <w:tcBorders>
              <w:top w:val="nil"/>
              <w:left w:val="nil"/>
              <w:bottom w:val="single" w:sz="4" w:space="0" w:color="auto"/>
              <w:right w:val="single" w:sz="4" w:space="0" w:color="auto"/>
            </w:tcBorders>
            <w:shd w:val="clear" w:color="auto" w:fill="auto"/>
            <w:noWrap/>
            <w:vAlign w:val="bottom"/>
            <w:hideMark/>
          </w:tcPr>
          <w:p w14:paraId="5BF06E73"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88</w:t>
            </w:r>
          </w:p>
        </w:tc>
        <w:tc>
          <w:tcPr>
            <w:tcW w:w="1249" w:type="dxa"/>
            <w:tcBorders>
              <w:top w:val="nil"/>
              <w:left w:val="nil"/>
              <w:bottom w:val="single" w:sz="4" w:space="0" w:color="auto"/>
              <w:right w:val="single" w:sz="4" w:space="0" w:color="auto"/>
            </w:tcBorders>
            <w:shd w:val="clear" w:color="auto" w:fill="auto"/>
            <w:noWrap/>
            <w:vAlign w:val="bottom"/>
            <w:hideMark/>
          </w:tcPr>
          <w:p w14:paraId="31CA246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26</w:t>
            </w:r>
          </w:p>
        </w:tc>
        <w:tc>
          <w:tcPr>
            <w:tcW w:w="1398" w:type="dxa"/>
            <w:tcBorders>
              <w:top w:val="nil"/>
              <w:left w:val="nil"/>
              <w:bottom w:val="single" w:sz="4" w:space="0" w:color="auto"/>
              <w:right w:val="single" w:sz="4" w:space="0" w:color="auto"/>
            </w:tcBorders>
            <w:shd w:val="clear" w:color="auto" w:fill="auto"/>
            <w:noWrap/>
            <w:vAlign w:val="bottom"/>
            <w:hideMark/>
          </w:tcPr>
          <w:p w14:paraId="32E3F344"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22</w:t>
            </w:r>
          </w:p>
        </w:tc>
        <w:tc>
          <w:tcPr>
            <w:tcW w:w="1320" w:type="dxa"/>
            <w:tcBorders>
              <w:top w:val="nil"/>
              <w:left w:val="nil"/>
              <w:bottom w:val="single" w:sz="4" w:space="0" w:color="auto"/>
              <w:right w:val="single" w:sz="4" w:space="0" w:color="auto"/>
            </w:tcBorders>
            <w:shd w:val="clear" w:color="auto" w:fill="auto"/>
            <w:noWrap/>
            <w:vAlign w:val="bottom"/>
            <w:hideMark/>
          </w:tcPr>
          <w:p w14:paraId="6DF83BB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w:t>
            </w:r>
          </w:p>
        </w:tc>
      </w:tr>
      <w:tr w:rsidR="007F5D40" w:rsidRPr="007F5D40" w14:paraId="171E2E09"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35AAD3E7"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6</w:t>
            </w:r>
          </w:p>
        </w:tc>
        <w:tc>
          <w:tcPr>
            <w:tcW w:w="1756" w:type="dxa"/>
            <w:tcBorders>
              <w:top w:val="nil"/>
              <w:left w:val="nil"/>
              <w:bottom w:val="single" w:sz="4" w:space="0" w:color="auto"/>
              <w:right w:val="single" w:sz="4" w:space="0" w:color="auto"/>
            </w:tcBorders>
            <w:shd w:val="clear" w:color="auto" w:fill="auto"/>
            <w:noWrap/>
            <w:vAlign w:val="bottom"/>
            <w:hideMark/>
          </w:tcPr>
          <w:p w14:paraId="7590202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94</w:t>
            </w:r>
          </w:p>
        </w:tc>
        <w:tc>
          <w:tcPr>
            <w:tcW w:w="1756" w:type="dxa"/>
            <w:tcBorders>
              <w:top w:val="nil"/>
              <w:left w:val="nil"/>
              <w:bottom w:val="single" w:sz="4" w:space="0" w:color="auto"/>
              <w:right w:val="single" w:sz="4" w:space="0" w:color="auto"/>
            </w:tcBorders>
            <w:shd w:val="clear" w:color="auto" w:fill="auto"/>
            <w:noWrap/>
            <w:vAlign w:val="bottom"/>
            <w:hideMark/>
          </w:tcPr>
          <w:p w14:paraId="352F67B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92</w:t>
            </w:r>
          </w:p>
        </w:tc>
        <w:tc>
          <w:tcPr>
            <w:tcW w:w="1249" w:type="dxa"/>
            <w:tcBorders>
              <w:top w:val="nil"/>
              <w:left w:val="nil"/>
              <w:bottom w:val="single" w:sz="4" w:space="0" w:color="auto"/>
              <w:right w:val="single" w:sz="4" w:space="0" w:color="auto"/>
            </w:tcBorders>
            <w:shd w:val="clear" w:color="auto" w:fill="auto"/>
            <w:noWrap/>
            <w:vAlign w:val="bottom"/>
            <w:hideMark/>
          </w:tcPr>
          <w:p w14:paraId="76A9C93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30</w:t>
            </w:r>
          </w:p>
        </w:tc>
        <w:tc>
          <w:tcPr>
            <w:tcW w:w="1398" w:type="dxa"/>
            <w:tcBorders>
              <w:top w:val="nil"/>
              <w:left w:val="nil"/>
              <w:bottom w:val="single" w:sz="4" w:space="0" w:color="auto"/>
              <w:right w:val="single" w:sz="4" w:space="0" w:color="auto"/>
            </w:tcBorders>
            <w:shd w:val="clear" w:color="auto" w:fill="auto"/>
            <w:noWrap/>
            <w:vAlign w:val="bottom"/>
            <w:hideMark/>
          </w:tcPr>
          <w:p w14:paraId="6A98391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26</w:t>
            </w:r>
          </w:p>
        </w:tc>
        <w:tc>
          <w:tcPr>
            <w:tcW w:w="1320" w:type="dxa"/>
            <w:tcBorders>
              <w:top w:val="nil"/>
              <w:left w:val="nil"/>
              <w:bottom w:val="single" w:sz="4" w:space="0" w:color="auto"/>
              <w:right w:val="single" w:sz="4" w:space="0" w:color="auto"/>
            </w:tcBorders>
            <w:shd w:val="clear" w:color="auto" w:fill="auto"/>
            <w:noWrap/>
            <w:vAlign w:val="bottom"/>
            <w:hideMark/>
          </w:tcPr>
          <w:p w14:paraId="6CD3DEF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w:t>
            </w:r>
          </w:p>
        </w:tc>
      </w:tr>
      <w:tr w:rsidR="007F5D40" w:rsidRPr="007F5D40" w14:paraId="15AEED7E"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7BD8C3A4"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7</w:t>
            </w:r>
          </w:p>
        </w:tc>
        <w:tc>
          <w:tcPr>
            <w:tcW w:w="1756" w:type="dxa"/>
            <w:tcBorders>
              <w:top w:val="nil"/>
              <w:left w:val="nil"/>
              <w:bottom w:val="single" w:sz="4" w:space="0" w:color="auto"/>
              <w:right w:val="single" w:sz="4" w:space="0" w:color="auto"/>
            </w:tcBorders>
            <w:shd w:val="clear" w:color="auto" w:fill="auto"/>
            <w:noWrap/>
            <w:vAlign w:val="bottom"/>
            <w:hideMark/>
          </w:tcPr>
          <w:p w14:paraId="45D6698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83</w:t>
            </w:r>
          </w:p>
        </w:tc>
        <w:tc>
          <w:tcPr>
            <w:tcW w:w="1756" w:type="dxa"/>
            <w:tcBorders>
              <w:top w:val="nil"/>
              <w:left w:val="nil"/>
              <w:bottom w:val="single" w:sz="4" w:space="0" w:color="auto"/>
              <w:right w:val="single" w:sz="4" w:space="0" w:color="auto"/>
            </w:tcBorders>
            <w:shd w:val="clear" w:color="auto" w:fill="auto"/>
            <w:noWrap/>
            <w:vAlign w:val="bottom"/>
            <w:hideMark/>
          </w:tcPr>
          <w:p w14:paraId="4D9A6EA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77</w:t>
            </w:r>
          </w:p>
        </w:tc>
        <w:tc>
          <w:tcPr>
            <w:tcW w:w="1249" w:type="dxa"/>
            <w:tcBorders>
              <w:top w:val="nil"/>
              <w:left w:val="nil"/>
              <w:bottom w:val="single" w:sz="4" w:space="0" w:color="auto"/>
              <w:right w:val="single" w:sz="4" w:space="0" w:color="auto"/>
            </w:tcBorders>
            <w:shd w:val="clear" w:color="auto" w:fill="auto"/>
            <w:noWrap/>
            <w:vAlign w:val="bottom"/>
            <w:hideMark/>
          </w:tcPr>
          <w:p w14:paraId="3894C38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27</w:t>
            </w:r>
          </w:p>
        </w:tc>
        <w:tc>
          <w:tcPr>
            <w:tcW w:w="1398" w:type="dxa"/>
            <w:tcBorders>
              <w:top w:val="nil"/>
              <w:left w:val="nil"/>
              <w:bottom w:val="single" w:sz="4" w:space="0" w:color="auto"/>
              <w:right w:val="single" w:sz="4" w:space="0" w:color="auto"/>
            </w:tcBorders>
            <w:shd w:val="clear" w:color="auto" w:fill="auto"/>
            <w:noWrap/>
            <w:vAlign w:val="bottom"/>
            <w:hideMark/>
          </w:tcPr>
          <w:p w14:paraId="3E1D11D7"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28</w:t>
            </w:r>
          </w:p>
        </w:tc>
        <w:tc>
          <w:tcPr>
            <w:tcW w:w="1320" w:type="dxa"/>
            <w:tcBorders>
              <w:top w:val="nil"/>
              <w:left w:val="nil"/>
              <w:bottom w:val="single" w:sz="4" w:space="0" w:color="auto"/>
              <w:right w:val="single" w:sz="4" w:space="0" w:color="auto"/>
            </w:tcBorders>
            <w:shd w:val="clear" w:color="auto" w:fill="auto"/>
            <w:noWrap/>
            <w:vAlign w:val="bottom"/>
            <w:hideMark/>
          </w:tcPr>
          <w:p w14:paraId="7C42471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w:t>
            </w:r>
          </w:p>
        </w:tc>
      </w:tr>
      <w:tr w:rsidR="007F5D40" w:rsidRPr="007F5D40" w14:paraId="144949DA"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72D9B909"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8</w:t>
            </w:r>
          </w:p>
        </w:tc>
        <w:tc>
          <w:tcPr>
            <w:tcW w:w="1756" w:type="dxa"/>
            <w:tcBorders>
              <w:top w:val="nil"/>
              <w:left w:val="nil"/>
              <w:bottom w:val="single" w:sz="4" w:space="0" w:color="auto"/>
              <w:right w:val="single" w:sz="4" w:space="0" w:color="auto"/>
            </w:tcBorders>
            <w:shd w:val="clear" w:color="auto" w:fill="auto"/>
            <w:noWrap/>
            <w:vAlign w:val="bottom"/>
            <w:hideMark/>
          </w:tcPr>
          <w:p w14:paraId="259C8C4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94</w:t>
            </w:r>
          </w:p>
        </w:tc>
        <w:tc>
          <w:tcPr>
            <w:tcW w:w="1756" w:type="dxa"/>
            <w:tcBorders>
              <w:top w:val="nil"/>
              <w:left w:val="nil"/>
              <w:bottom w:val="single" w:sz="4" w:space="0" w:color="auto"/>
              <w:right w:val="single" w:sz="4" w:space="0" w:color="auto"/>
            </w:tcBorders>
            <w:shd w:val="clear" w:color="auto" w:fill="auto"/>
            <w:noWrap/>
            <w:vAlign w:val="bottom"/>
            <w:hideMark/>
          </w:tcPr>
          <w:p w14:paraId="01BF2D8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97</w:t>
            </w:r>
          </w:p>
        </w:tc>
        <w:tc>
          <w:tcPr>
            <w:tcW w:w="1249" w:type="dxa"/>
            <w:tcBorders>
              <w:top w:val="nil"/>
              <w:left w:val="nil"/>
              <w:bottom w:val="single" w:sz="4" w:space="0" w:color="auto"/>
              <w:right w:val="single" w:sz="4" w:space="0" w:color="auto"/>
            </w:tcBorders>
            <w:shd w:val="clear" w:color="auto" w:fill="auto"/>
            <w:noWrap/>
            <w:vAlign w:val="bottom"/>
            <w:hideMark/>
          </w:tcPr>
          <w:p w14:paraId="1E427FC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26</w:t>
            </w:r>
          </w:p>
        </w:tc>
        <w:tc>
          <w:tcPr>
            <w:tcW w:w="1398" w:type="dxa"/>
            <w:tcBorders>
              <w:top w:val="nil"/>
              <w:left w:val="nil"/>
              <w:bottom w:val="single" w:sz="4" w:space="0" w:color="auto"/>
              <w:right w:val="single" w:sz="4" w:space="0" w:color="auto"/>
            </w:tcBorders>
            <w:shd w:val="clear" w:color="auto" w:fill="auto"/>
            <w:noWrap/>
            <w:vAlign w:val="bottom"/>
            <w:hideMark/>
          </w:tcPr>
          <w:p w14:paraId="782D49DD"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30</w:t>
            </w:r>
          </w:p>
        </w:tc>
        <w:tc>
          <w:tcPr>
            <w:tcW w:w="1320" w:type="dxa"/>
            <w:tcBorders>
              <w:top w:val="nil"/>
              <w:left w:val="nil"/>
              <w:bottom w:val="single" w:sz="4" w:space="0" w:color="auto"/>
              <w:right w:val="single" w:sz="4" w:space="0" w:color="auto"/>
            </w:tcBorders>
            <w:shd w:val="clear" w:color="auto" w:fill="auto"/>
            <w:noWrap/>
            <w:vAlign w:val="bottom"/>
            <w:hideMark/>
          </w:tcPr>
          <w:p w14:paraId="7C77A03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w:t>
            </w:r>
          </w:p>
        </w:tc>
      </w:tr>
      <w:tr w:rsidR="007F5D40" w:rsidRPr="007F5D40" w14:paraId="36DBFC03"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5AA2DFC6"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9</w:t>
            </w:r>
          </w:p>
        </w:tc>
        <w:tc>
          <w:tcPr>
            <w:tcW w:w="1756" w:type="dxa"/>
            <w:tcBorders>
              <w:top w:val="nil"/>
              <w:left w:val="nil"/>
              <w:bottom w:val="single" w:sz="4" w:space="0" w:color="auto"/>
              <w:right w:val="single" w:sz="4" w:space="0" w:color="auto"/>
            </w:tcBorders>
            <w:shd w:val="clear" w:color="auto" w:fill="auto"/>
            <w:noWrap/>
            <w:vAlign w:val="bottom"/>
            <w:hideMark/>
          </w:tcPr>
          <w:p w14:paraId="356F95E2"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105</w:t>
            </w:r>
          </w:p>
        </w:tc>
        <w:tc>
          <w:tcPr>
            <w:tcW w:w="1756" w:type="dxa"/>
            <w:tcBorders>
              <w:top w:val="nil"/>
              <w:left w:val="nil"/>
              <w:bottom w:val="single" w:sz="4" w:space="0" w:color="auto"/>
              <w:right w:val="single" w:sz="4" w:space="0" w:color="auto"/>
            </w:tcBorders>
            <w:shd w:val="clear" w:color="auto" w:fill="auto"/>
            <w:noWrap/>
            <w:vAlign w:val="bottom"/>
            <w:hideMark/>
          </w:tcPr>
          <w:p w14:paraId="14D5C89C"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112</w:t>
            </w:r>
          </w:p>
        </w:tc>
        <w:tc>
          <w:tcPr>
            <w:tcW w:w="1249" w:type="dxa"/>
            <w:tcBorders>
              <w:top w:val="nil"/>
              <w:left w:val="nil"/>
              <w:bottom w:val="single" w:sz="4" w:space="0" w:color="auto"/>
              <w:right w:val="single" w:sz="4" w:space="0" w:color="auto"/>
            </w:tcBorders>
            <w:shd w:val="clear" w:color="auto" w:fill="auto"/>
            <w:noWrap/>
            <w:vAlign w:val="bottom"/>
            <w:hideMark/>
          </w:tcPr>
          <w:p w14:paraId="687DC36A"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25</w:t>
            </w:r>
          </w:p>
        </w:tc>
        <w:tc>
          <w:tcPr>
            <w:tcW w:w="1398" w:type="dxa"/>
            <w:tcBorders>
              <w:top w:val="nil"/>
              <w:left w:val="nil"/>
              <w:bottom w:val="single" w:sz="4" w:space="0" w:color="auto"/>
              <w:right w:val="single" w:sz="4" w:space="0" w:color="auto"/>
            </w:tcBorders>
            <w:shd w:val="clear" w:color="auto" w:fill="auto"/>
            <w:noWrap/>
            <w:vAlign w:val="bottom"/>
            <w:hideMark/>
          </w:tcPr>
          <w:p w14:paraId="3BBEA2EF"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29</w:t>
            </w:r>
          </w:p>
        </w:tc>
        <w:tc>
          <w:tcPr>
            <w:tcW w:w="1320" w:type="dxa"/>
            <w:tcBorders>
              <w:top w:val="nil"/>
              <w:left w:val="nil"/>
              <w:bottom w:val="single" w:sz="4" w:space="0" w:color="auto"/>
              <w:right w:val="single" w:sz="4" w:space="0" w:color="auto"/>
            </w:tcBorders>
            <w:shd w:val="clear" w:color="auto" w:fill="auto"/>
            <w:noWrap/>
            <w:vAlign w:val="bottom"/>
            <w:hideMark/>
          </w:tcPr>
          <w:p w14:paraId="1B7D741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w:t>
            </w:r>
          </w:p>
        </w:tc>
      </w:tr>
      <w:tr w:rsidR="007F5D40" w:rsidRPr="007F5D40" w14:paraId="4CD24218" w14:textId="77777777" w:rsidTr="00781765">
        <w:trPr>
          <w:trHeight w:val="315"/>
        </w:trPr>
        <w:tc>
          <w:tcPr>
            <w:tcW w:w="1541" w:type="dxa"/>
            <w:tcBorders>
              <w:top w:val="nil"/>
              <w:left w:val="single" w:sz="4" w:space="0" w:color="auto"/>
              <w:bottom w:val="single" w:sz="4" w:space="0" w:color="auto"/>
              <w:right w:val="single" w:sz="4" w:space="0" w:color="auto"/>
            </w:tcBorders>
            <w:shd w:val="clear" w:color="auto" w:fill="auto"/>
            <w:noWrap/>
            <w:vAlign w:val="bottom"/>
            <w:hideMark/>
          </w:tcPr>
          <w:p w14:paraId="305FCE84" w14:textId="77777777" w:rsidR="007F5D40" w:rsidRPr="007F5D40" w:rsidRDefault="007F5D40" w:rsidP="00781765">
            <w:pPr>
              <w:spacing w:line="240" w:lineRule="auto"/>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Pupil 10</w:t>
            </w:r>
          </w:p>
        </w:tc>
        <w:tc>
          <w:tcPr>
            <w:tcW w:w="1756" w:type="dxa"/>
            <w:tcBorders>
              <w:top w:val="nil"/>
              <w:left w:val="nil"/>
              <w:bottom w:val="single" w:sz="4" w:space="0" w:color="auto"/>
              <w:right w:val="single" w:sz="4" w:space="0" w:color="auto"/>
            </w:tcBorders>
            <w:shd w:val="clear" w:color="auto" w:fill="auto"/>
            <w:noWrap/>
            <w:vAlign w:val="bottom"/>
            <w:hideMark/>
          </w:tcPr>
          <w:p w14:paraId="6682661B"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98</w:t>
            </w:r>
          </w:p>
        </w:tc>
        <w:tc>
          <w:tcPr>
            <w:tcW w:w="1756" w:type="dxa"/>
            <w:tcBorders>
              <w:top w:val="nil"/>
              <w:left w:val="nil"/>
              <w:bottom w:val="single" w:sz="4" w:space="0" w:color="auto"/>
              <w:right w:val="single" w:sz="4" w:space="0" w:color="auto"/>
            </w:tcBorders>
            <w:shd w:val="clear" w:color="auto" w:fill="auto"/>
            <w:noWrap/>
            <w:vAlign w:val="bottom"/>
            <w:hideMark/>
          </w:tcPr>
          <w:p w14:paraId="339416F1"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105</w:t>
            </w:r>
          </w:p>
        </w:tc>
        <w:tc>
          <w:tcPr>
            <w:tcW w:w="1249" w:type="dxa"/>
            <w:tcBorders>
              <w:top w:val="nil"/>
              <w:left w:val="nil"/>
              <w:bottom w:val="single" w:sz="4" w:space="0" w:color="auto"/>
              <w:right w:val="single" w:sz="4" w:space="0" w:color="auto"/>
            </w:tcBorders>
            <w:shd w:val="clear" w:color="auto" w:fill="auto"/>
            <w:noWrap/>
            <w:vAlign w:val="bottom"/>
            <w:hideMark/>
          </w:tcPr>
          <w:p w14:paraId="5340DC10"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28</w:t>
            </w:r>
          </w:p>
        </w:tc>
        <w:tc>
          <w:tcPr>
            <w:tcW w:w="1398" w:type="dxa"/>
            <w:tcBorders>
              <w:top w:val="nil"/>
              <w:left w:val="nil"/>
              <w:bottom w:val="single" w:sz="4" w:space="0" w:color="auto"/>
              <w:right w:val="single" w:sz="4" w:space="0" w:color="auto"/>
            </w:tcBorders>
            <w:shd w:val="clear" w:color="auto" w:fill="auto"/>
            <w:noWrap/>
            <w:vAlign w:val="bottom"/>
            <w:hideMark/>
          </w:tcPr>
          <w:p w14:paraId="7A473AB5"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30</w:t>
            </w:r>
          </w:p>
        </w:tc>
        <w:tc>
          <w:tcPr>
            <w:tcW w:w="1320" w:type="dxa"/>
            <w:tcBorders>
              <w:top w:val="nil"/>
              <w:left w:val="nil"/>
              <w:bottom w:val="single" w:sz="4" w:space="0" w:color="auto"/>
              <w:right w:val="single" w:sz="4" w:space="0" w:color="auto"/>
            </w:tcBorders>
            <w:shd w:val="clear" w:color="auto" w:fill="auto"/>
            <w:noWrap/>
            <w:vAlign w:val="bottom"/>
            <w:hideMark/>
          </w:tcPr>
          <w:p w14:paraId="19A43D59" w14:textId="77777777" w:rsidR="007F5D40" w:rsidRPr="007F5D40" w:rsidRDefault="007F5D40" w:rsidP="00781765">
            <w:pPr>
              <w:spacing w:line="240" w:lineRule="auto"/>
              <w:jc w:val="right"/>
              <w:rPr>
                <w:rFonts w:asciiTheme="majorBidi" w:eastAsia="Times New Roman" w:hAnsiTheme="majorBidi" w:cstheme="majorBidi"/>
                <w:color w:val="000000"/>
                <w:sz w:val="24"/>
                <w:szCs w:val="24"/>
                <w:lang w:eastAsia="en-GB"/>
              </w:rPr>
            </w:pPr>
            <w:r w:rsidRPr="007F5D40">
              <w:rPr>
                <w:rFonts w:asciiTheme="majorBidi" w:eastAsia="Times New Roman" w:hAnsiTheme="majorBidi" w:cstheme="majorBidi"/>
                <w:color w:val="000000"/>
                <w:sz w:val="24"/>
                <w:szCs w:val="24"/>
                <w:lang w:eastAsia="en-GB"/>
              </w:rPr>
              <w:t>4</w:t>
            </w:r>
          </w:p>
        </w:tc>
      </w:tr>
    </w:tbl>
    <w:p w14:paraId="393E667D" w14:textId="77777777" w:rsidR="007F5D40" w:rsidRPr="007F5D40" w:rsidRDefault="007F5D40" w:rsidP="007F5D40">
      <w:pPr>
        <w:rPr>
          <w:rFonts w:asciiTheme="majorBidi" w:hAnsiTheme="majorBidi" w:cstheme="majorBidi"/>
          <w:sz w:val="24"/>
          <w:szCs w:val="24"/>
        </w:rPr>
      </w:pPr>
    </w:p>
    <w:p w14:paraId="29EEA619"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br w:type="page"/>
      </w:r>
    </w:p>
    <w:p w14:paraId="4366DB02" w14:textId="77777777" w:rsidR="007F5D40" w:rsidRPr="007F5D40" w:rsidRDefault="007F5D40" w:rsidP="007F5D40">
      <w:pPr>
        <w:rPr>
          <w:rFonts w:asciiTheme="majorBidi" w:hAnsiTheme="majorBidi" w:cstheme="majorBidi"/>
          <w:sz w:val="24"/>
          <w:szCs w:val="24"/>
        </w:rPr>
      </w:pPr>
      <w:r w:rsidRPr="007F5D40">
        <w:rPr>
          <w:rFonts w:asciiTheme="majorBidi" w:hAnsiTheme="majorBidi" w:cstheme="majorBidi"/>
          <w:sz w:val="24"/>
          <w:szCs w:val="24"/>
        </w:rPr>
        <w:lastRenderedPageBreak/>
        <w:t>References</w:t>
      </w:r>
    </w:p>
    <w:p w14:paraId="5BECB1F8" w14:textId="77777777" w:rsidR="007F5D40" w:rsidRPr="007F5D40" w:rsidRDefault="007F5D40" w:rsidP="007F5D40">
      <w:pPr>
        <w:rPr>
          <w:rFonts w:asciiTheme="majorBidi" w:hAnsiTheme="majorBidi" w:cstheme="majorBidi"/>
          <w:sz w:val="24"/>
          <w:szCs w:val="24"/>
        </w:rPr>
      </w:pPr>
    </w:p>
    <w:p w14:paraId="2274538F" w14:textId="77777777" w:rsidR="007F5D40" w:rsidRPr="007F5D40" w:rsidRDefault="007F5D40" w:rsidP="007F5D40">
      <w:pPr>
        <w:spacing w:line="480" w:lineRule="auto"/>
        <w:ind w:left="284" w:right="-52" w:hanging="284"/>
        <w:rPr>
          <w:rFonts w:asciiTheme="majorBidi" w:hAnsiTheme="majorBidi" w:cstheme="majorBidi"/>
          <w:i/>
          <w:iCs/>
          <w:color w:val="000000" w:themeColor="text1"/>
          <w:sz w:val="24"/>
          <w:szCs w:val="24"/>
        </w:rPr>
      </w:pPr>
      <w:r w:rsidRPr="007F5D40">
        <w:rPr>
          <w:rFonts w:asciiTheme="majorBidi" w:hAnsiTheme="majorBidi" w:cstheme="majorBidi"/>
          <w:color w:val="000000" w:themeColor="text1"/>
          <w:sz w:val="24"/>
          <w:szCs w:val="24"/>
          <w:shd w:val="clear" w:color="auto" w:fill="FFFFFF"/>
        </w:rPr>
        <w:t>Ayres, A. J., &amp; Robbins, J. (2005).</w:t>
      </w:r>
      <w:r w:rsidRPr="007F5D40">
        <w:rPr>
          <w:rStyle w:val="apple-converted-space"/>
          <w:rFonts w:asciiTheme="majorBidi" w:hAnsiTheme="majorBidi" w:cstheme="majorBidi"/>
          <w:color w:val="000000" w:themeColor="text1"/>
          <w:sz w:val="24"/>
          <w:szCs w:val="24"/>
          <w:shd w:val="clear" w:color="auto" w:fill="FFFFFF"/>
        </w:rPr>
        <w:t> </w:t>
      </w:r>
      <w:r w:rsidRPr="007F5D40">
        <w:rPr>
          <w:rFonts w:asciiTheme="majorBidi" w:hAnsiTheme="majorBidi" w:cstheme="majorBidi"/>
          <w:i/>
          <w:iCs/>
          <w:color w:val="000000" w:themeColor="text1"/>
          <w:sz w:val="24"/>
          <w:szCs w:val="24"/>
        </w:rPr>
        <w:t>Sensory integration and the child: Understanding hidden sensory challenges</w:t>
      </w:r>
      <w:r w:rsidRPr="007F5D40">
        <w:rPr>
          <w:rFonts w:asciiTheme="majorBidi" w:hAnsiTheme="majorBidi" w:cstheme="majorBidi"/>
          <w:i/>
          <w:iCs/>
          <w:color w:val="000000" w:themeColor="text1"/>
          <w:sz w:val="24"/>
          <w:szCs w:val="24"/>
          <w:shd w:val="clear" w:color="auto" w:fill="FFFFFF"/>
        </w:rPr>
        <w:t>. Western Psychological Services.</w:t>
      </w:r>
    </w:p>
    <w:p w14:paraId="63B64DF8" w14:textId="77777777" w:rsidR="007F5D40" w:rsidRPr="007F5D40" w:rsidRDefault="007F5D40" w:rsidP="007F5D40">
      <w:pPr>
        <w:rPr>
          <w:rFonts w:asciiTheme="majorBidi" w:hAnsiTheme="majorBidi" w:cstheme="majorBidi"/>
          <w:i/>
          <w:iCs/>
          <w:color w:val="000000"/>
          <w:sz w:val="24"/>
          <w:szCs w:val="24"/>
        </w:rPr>
      </w:pPr>
      <w:r w:rsidRPr="007F5D40">
        <w:rPr>
          <w:rFonts w:asciiTheme="majorBidi" w:hAnsiTheme="majorBidi" w:cstheme="majorBidi"/>
          <w:i/>
          <w:iCs/>
          <w:color w:val="000000"/>
          <w:sz w:val="24"/>
          <w:szCs w:val="24"/>
        </w:rPr>
        <w:t>Sally Goddard, Sally Goddard Blythe (2005). The Well Balanced Child: Movement and Early Learning. UK: Hawthorn Press. 130.</w:t>
      </w:r>
    </w:p>
    <w:p w14:paraId="63DA05B3" w14:textId="77777777" w:rsidR="007F5D40" w:rsidRPr="007F5D40" w:rsidRDefault="007F5D40" w:rsidP="007F5D40">
      <w:pPr>
        <w:spacing w:line="480" w:lineRule="auto"/>
        <w:ind w:left="284" w:right="-52" w:hanging="284"/>
        <w:rPr>
          <w:rFonts w:asciiTheme="majorBidi" w:eastAsiaTheme="minorEastAsia" w:hAnsiTheme="majorBidi" w:cstheme="majorBidi"/>
          <w:color w:val="000000" w:themeColor="text1"/>
          <w:sz w:val="24"/>
          <w:szCs w:val="24"/>
        </w:rPr>
      </w:pPr>
      <w:r w:rsidRPr="007F5D40">
        <w:rPr>
          <w:rFonts w:asciiTheme="majorBidi" w:eastAsiaTheme="minorEastAsia" w:hAnsiTheme="majorBidi" w:cstheme="majorBidi"/>
          <w:color w:val="000000" w:themeColor="text1"/>
          <w:sz w:val="24"/>
          <w:szCs w:val="24"/>
        </w:rPr>
        <w:t xml:space="preserve">Gallahue, D., Ozmun, J. and Goodway, J. (2012). Understanding motor development: Infants, children, adolescents, adults. 7th ed. New York: McGraw Hill Higher Education. </w:t>
      </w:r>
    </w:p>
    <w:p w14:paraId="3E197F5E" w14:textId="77777777" w:rsidR="007F5D40" w:rsidRPr="007F5D40" w:rsidRDefault="007F5D40" w:rsidP="007F5D40">
      <w:pPr>
        <w:spacing w:line="480" w:lineRule="auto"/>
        <w:ind w:left="284" w:right="-52" w:hanging="284"/>
        <w:rPr>
          <w:rFonts w:asciiTheme="majorBidi" w:hAnsiTheme="majorBidi" w:cstheme="majorBidi"/>
          <w:color w:val="000000" w:themeColor="text1"/>
          <w:sz w:val="24"/>
          <w:szCs w:val="24"/>
        </w:rPr>
      </w:pPr>
      <w:r w:rsidRPr="007F5D40">
        <w:rPr>
          <w:rFonts w:asciiTheme="majorBidi" w:hAnsiTheme="majorBidi" w:cstheme="majorBidi"/>
          <w:color w:val="000000" w:themeColor="text1"/>
          <w:sz w:val="24"/>
          <w:szCs w:val="24"/>
        </w:rPr>
        <w:t xml:space="preserve">Goodway, J.D., Crowe, H. &amp; Ward, P. (2003). ‘Effects of Motor Skill Instruction of Fundamental Motor Skill Development’, </w:t>
      </w:r>
      <w:r w:rsidRPr="007F5D40">
        <w:rPr>
          <w:rFonts w:asciiTheme="majorBidi" w:hAnsiTheme="majorBidi" w:cstheme="majorBidi"/>
          <w:i/>
          <w:color w:val="000000" w:themeColor="text1"/>
          <w:sz w:val="24"/>
          <w:szCs w:val="24"/>
        </w:rPr>
        <w:t>Adapted Physical Activity Quarterly</w:t>
      </w:r>
      <w:r w:rsidRPr="007F5D40">
        <w:rPr>
          <w:rFonts w:asciiTheme="majorBidi" w:hAnsiTheme="majorBidi" w:cstheme="majorBidi"/>
          <w:color w:val="000000" w:themeColor="text1"/>
          <w:sz w:val="24"/>
          <w:szCs w:val="24"/>
        </w:rPr>
        <w:t xml:space="preserve">, 20(3), pp. 298-314. </w:t>
      </w:r>
    </w:p>
    <w:p w14:paraId="7337FCBB" w14:textId="77777777" w:rsidR="007F5D40" w:rsidRPr="007F5D40" w:rsidRDefault="007F5D40" w:rsidP="007F5D40">
      <w:pPr>
        <w:spacing w:line="480" w:lineRule="auto"/>
        <w:ind w:left="284" w:hanging="284"/>
        <w:rPr>
          <w:rFonts w:asciiTheme="majorBidi" w:hAnsiTheme="majorBidi" w:cstheme="majorBidi"/>
          <w:color w:val="000000" w:themeColor="text1"/>
          <w:sz w:val="24"/>
          <w:szCs w:val="24"/>
          <w:shd w:val="clear" w:color="auto" w:fill="FFFFFF"/>
        </w:rPr>
      </w:pPr>
      <w:r w:rsidRPr="007F5D40">
        <w:rPr>
          <w:rFonts w:asciiTheme="majorBidi" w:hAnsiTheme="majorBidi" w:cstheme="majorBidi"/>
          <w:color w:val="000000" w:themeColor="text1"/>
          <w:sz w:val="24"/>
          <w:szCs w:val="24"/>
          <w:shd w:val="clear" w:color="auto" w:fill="FFFFFF"/>
        </w:rPr>
        <w:t>Haywood, K. M., &amp; Getchell, N. (2019). </w:t>
      </w:r>
      <w:r w:rsidRPr="007F5D40">
        <w:rPr>
          <w:rFonts w:asciiTheme="majorBidi" w:hAnsiTheme="majorBidi" w:cstheme="majorBidi"/>
          <w:i/>
          <w:iCs/>
          <w:color w:val="000000" w:themeColor="text1"/>
          <w:sz w:val="24"/>
          <w:szCs w:val="24"/>
        </w:rPr>
        <w:t>Life span motor development</w:t>
      </w:r>
      <w:r w:rsidRPr="007F5D40">
        <w:rPr>
          <w:rFonts w:asciiTheme="majorBidi" w:hAnsiTheme="majorBidi" w:cstheme="majorBidi"/>
          <w:color w:val="000000" w:themeColor="text1"/>
          <w:sz w:val="24"/>
          <w:szCs w:val="24"/>
          <w:shd w:val="clear" w:color="auto" w:fill="FFFFFF"/>
        </w:rPr>
        <w:t>. Human kinetics.</w:t>
      </w:r>
    </w:p>
    <w:p w14:paraId="45E78BFE" w14:textId="77777777" w:rsidR="007F5D40" w:rsidRPr="007F5D40" w:rsidRDefault="007F5D40" w:rsidP="007F5D40">
      <w:pPr>
        <w:spacing w:line="480" w:lineRule="auto"/>
        <w:ind w:left="284" w:right="-52" w:hanging="284"/>
        <w:rPr>
          <w:rFonts w:asciiTheme="majorBidi" w:hAnsiTheme="majorBidi" w:cstheme="majorBidi"/>
          <w:color w:val="000000" w:themeColor="text1"/>
          <w:sz w:val="24"/>
          <w:szCs w:val="24"/>
          <w:shd w:val="clear" w:color="auto" w:fill="FFFFFF"/>
        </w:rPr>
      </w:pPr>
      <w:r w:rsidRPr="007F5D40">
        <w:rPr>
          <w:rFonts w:asciiTheme="majorBidi" w:hAnsiTheme="majorBidi" w:cstheme="majorBidi"/>
          <w:color w:val="000000" w:themeColor="text1"/>
          <w:sz w:val="24"/>
          <w:szCs w:val="24"/>
          <w:shd w:val="clear" w:color="auto" w:fill="FFFFFF"/>
        </w:rPr>
        <w:t>Stodden, D. F., Goodway, J. D., Langendorfer, S. J., Roberton, M. A., Rudisill, M. E., Garcia, C., &amp; Garcia, L. E. (2008). A developmental perspective on the role of motor skill competence in physical activity: An emergent relationship. </w:t>
      </w:r>
      <w:r w:rsidRPr="007F5D40">
        <w:rPr>
          <w:rFonts w:asciiTheme="majorBidi" w:hAnsiTheme="majorBidi" w:cstheme="majorBidi"/>
          <w:i/>
          <w:iCs/>
          <w:color w:val="000000" w:themeColor="text1"/>
          <w:sz w:val="24"/>
          <w:szCs w:val="24"/>
        </w:rPr>
        <w:t>Quest</w:t>
      </w:r>
      <w:r w:rsidRPr="007F5D40">
        <w:rPr>
          <w:rFonts w:asciiTheme="majorBidi" w:hAnsiTheme="majorBidi" w:cstheme="majorBidi"/>
          <w:color w:val="000000" w:themeColor="text1"/>
          <w:sz w:val="24"/>
          <w:szCs w:val="24"/>
          <w:shd w:val="clear" w:color="auto" w:fill="FFFFFF"/>
        </w:rPr>
        <w:t>, </w:t>
      </w:r>
      <w:r w:rsidRPr="007F5D40">
        <w:rPr>
          <w:rFonts w:asciiTheme="majorBidi" w:hAnsiTheme="majorBidi" w:cstheme="majorBidi"/>
          <w:i/>
          <w:iCs/>
          <w:color w:val="000000" w:themeColor="text1"/>
          <w:sz w:val="24"/>
          <w:szCs w:val="24"/>
        </w:rPr>
        <w:t>60</w:t>
      </w:r>
      <w:r w:rsidRPr="007F5D40">
        <w:rPr>
          <w:rFonts w:asciiTheme="majorBidi" w:hAnsiTheme="majorBidi" w:cstheme="majorBidi"/>
          <w:color w:val="000000" w:themeColor="text1"/>
          <w:sz w:val="24"/>
          <w:szCs w:val="24"/>
          <w:shd w:val="clear" w:color="auto" w:fill="FFFFFF"/>
        </w:rPr>
        <w:t>(2), 290-306.</w:t>
      </w:r>
    </w:p>
    <w:p w14:paraId="5EF26511" w14:textId="77777777" w:rsidR="007F5D40" w:rsidRPr="007F5D40" w:rsidRDefault="007F5D40" w:rsidP="007F5D40">
      <w:pPr>
        <w:spacing w:line="480" w:lineRule="auto"/>
        <w:ind w:left="284" w:right="-52" w:hanging="284"/>
        <w:rPr>
          <w:rFonts w:asciiTheme="majorBidi" w:eastAsiaTheme="minorEastAsia" w:hAnsiTheme="majorBidi" w:cstheme="majorBidi"/>
          <w:color w:val="000000" w:themeColor="text1"/>
          <w:sz w:val="24"/>
          <w:szCs w:val="24"/>
        </w:rPr>
      </w:pPr>
      <w:r w:rsidRPr="007F5D40">
        <w:rPr>
          <w:rFonts w:asciiTheme="majorBidi" w:eastAsiaTheme="minorEastAsia" w:hAnsiTheme="majorBidi" w:cstheme="majorBidi"/>
          <w:color w:val="000000" w:themeColor="text1"/>
          <w:sz w:val="24"/>
          <w:szCs w:val="24"/>
        </w:rPr>
        <w:t>Goodway, J.D. &amp; Branta, C.F. (2003). ‘Influence of a motor skill intervention on fundamental motor skill development of disadvantaged preschool children’, </w:t>
      </w:r>
      <w:r w:rsidRPr="007F5D40">
        <w:rPr>
          <w:rFonts w:asciiTheme="majorBidi" w:eastAsiaTheme="minorEastAsia" w:hAnsiTheme="majorBidi" w:cstheme="majorBidi"/>
          <w:i/>
          <w:iCs/>
          <w:color w:val="000000" w:themeColor="text1"/>
          <w:sz w:val="24"/>
          <w:szCs w:val="24"/>
        </w:rPr>
        <w:t>Research Quarterly for Exercise and Sport, </w:t>
      </w:r>
      <w:r w:rsidRPr="007F5D40">
        <w:rPr>
          <w:rFonts w:asciiTheme="majorBidi" w:eastAsiaTheme="minorEastAsia" w:hAnsiTheme="majorBidi" w:cstheme="majorBidi"/>
          <w:color w:val="000000" w:themeColor="text1"/>
          <w:sz w:val="24"/>
          <w:szCs w:val="24"/>
        </w:rPr>
        <w:t>74(1), 36-46. </w:t>
      </w:r>
    </w:p>
    <w:p w14:paraId="4A0151E2" w14:textId="141C1632" w:rsidR="007F5D40" w:rsidRPr="007F5D40" w:rsidRDefault="007F5D40">
      <w:pPr>
        <w:rPr>
          <w:rFonts w:asciiTheme="majorBidi" w:hAnsiTheme="majorBidi" w:cstheme="majorBidi"/>
          <w:b/>
          <w:sz w:val="24"/>
          <w:szCs w:val="24"/>
        </w:rPr>
      </w:pPr>
    </w:p>
    <w:p w14:paraId="10DD8636" w14:textId="77777777" w:rsidR="00C6371F" w:rsidRPr="007F7CF1" w:rsidRDefault="00C6371F" w:rsidP="004150A6">
      <w:pPr>
        <w:jc w:val="center"/>
        <w:rPr>
          <w:rFonts w:eastAsia="Times New Roman"/>
          <w:b/>
          <w:sz w:val="24"/>
          <w:szCs w:val="24"/>
        </w:rPr>
      </w:pPr>
    </w:p>
    <w:sectPr w:rsidR="00C6371F" w:rsidRPr="007F7CF1"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486C1" w14:textId="77777777" w:rsidR="00AD54E9" w:rsidRDefault="00AD54E9" w:rsidP="0077207E">
      <w:pPr>
        <w:spacing w:line="240" w:lineRule="auto"/>
      </w:pPr>
      <w:r>
        <w:separator/>
      </w:r>
    </w:p>
  </w:endnote>
  <w:endnote w:type="continuationSeparator" w:id="0">
    <w:p w14:paraId="502E073F" w14:textId="77777777" w:rsidR="00AD54E9" w:rsidRDefault="00AD54E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49161" w14:textId="77777777" w:rsidR="00AD54E9" w:rsidRDefault="00AD54E9" w:rsidP="0077207E">
      <w:pPr>
        <w:spacing w:line="240" w:lineRule="auto"/>
      </w:pPr>
      <w:r>
        <w:separator/>
      </w:r>
    </w:p>
  </w:footnote>
  <w:footnote w:type="continuationSeparator" w:id="0">
    <w:p w14:paraId="0FF30FDF" w14:textId="77777777" w:rsidR="00AD54E9" w:rsidRDefault="00AD54E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153405">
    <w:abstractNumId w:val="0"/>
  </w:num>
  <w:num w:numId="2" w16cid:durableId="15127934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968F1"/>
    <w:rsid w:val="000D4291"/>
    <w:rsid w:val="00105A17"/>
    <w:rsid w:val="00125037"/>
    <w:rsid w:val="001524B6"/>
    <w:rsid w:val="00172E3C"/>
    <w:rsid w:val="001F19DA"/>
    <w:rsid w:val="001F7C59"/>
    <w:rsid w:val="0022077D"/>
    <w:rsid w:val="00234FE2"/>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21EB7"/>
    <w:rsid w:val="00530E8C"/>
    <w:rsid w:val="005374BB"/>
    <w:rsid w:val="005A0BD0"/>
    <w:rsid w:val="0063462A"/>
    <w:rsid w:val="006565DF"/>
    <w:rsid w:val="006761E5"/>
    <w:rsid w:val="006C4885"/>
    <w:rsid w:val="006C710C"/>
    <w:rsid w:val="006E5500"/>
    <w:rsid w:val="007234D5"/>
    <w:rsid w:val="0076191D"/>
    <w:rsid w:val="0077207E"/>
    <w:rsid w:val="007D1ECD"/>
    <w:rsid w:val="007D2445"/>
    <w:rsid w:val="007D332B"/>
    <w:rsid w:val="007D5B83"/>
    <w:rsid w:val="007E3A92"/>
    <w:rsid w:val="007F1F29"/>
    <w:rsid w:val="007F5D40"/>
    <w:rsid w:val="007F7076"/>
    <w:rsid w:val="007F7CF1"/>
    <w:rsid w:val="00840626"/>
    <w:rsid w:val="00846882"/>
    <w:rsid w:val="00854BD9"/>
    <w:rsid w:val="008E78C1"/>
    <w:rsid w:val="00907220"/>
    <w:rsid w:val="00923D6D"/>
    <w:rsid w:val="009538F0"/>
    <w:rsid w:val="0097395F"/>
    <w:rsid w:val="009B69A8"/>
    <w:rsid w:val="009D41E7"/>
    <w:rsid w:val="00A02860"/>
    <w:rsid w:val="00A07500"/>
    <w:rsid w:val="00A648B7"/>
    <w:rsid w:val="00A72A53"/>
    <w:rsid w:val="00A91FB8"/>
    <w:rsid w:val="00AA5E60"/>
    <w:rsid w:val="00AC5B23"/>
    <w:rsid w:val="00AD54E9"/>
    <w:rsid w:val="00B16FA2"/>
    <w:rsid w:val="00B2437F"/>
    <w:rsid w:val="00B72A1B"/>
    <w:rsid w:val="00B828B7"/>
    <w:rsid w:val="00B919F1"/>
    <w:rsid w:val="00BC2829"/>
    <w:rsid w:val="00BC5537"/>
    <w:rsid w:val="00BF3F1C"/>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7F9C"/>
    <w:rsid w:val="00E828C2"/>
    <w:rsid w:val="00EA5C3F"/>
    <w:rsid w:val="00EB1F41"/>
    <w:rsid w:val="00EB5990"/>
    <w:rsid w:val="00EE29ED"/>
    <w:rsid w:val="00F91C76"/>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7F5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C92EFE8E395A342A5DFEC0A0A9E8279" ma:contentTypeVersion="16" ma:contentTypeDescription="Create a new document." ma:contentTypeScope="" ma:versionID="a2223a98d3a39ff3840e5b07334c60c3">
  <xsd:schema xmlns:xsd="http://www.w3.org/2001/XMLSchema" xmlns:xs="http://www.w3.org/2001/XMLSchema" xmlns:p="http://schemas.microsoft.com/office/2006/metadata/properties" xmlns:ns2="37cde9f0-d9ab-4219-881f-6702969f0486" xmlns:ns3="87c1bbd3-52d3-4f59-b61a-880296a3cc6e" xmlns:ns4="2fc2a8c7-3b3f-4409-bc78-aa40538e7eb1" targetNamespace="http://schemas.microsoft.com/office/2006/metadata/properties" ma:root="true" ma:fieldsID="ef92c73fc518868ce721a005cdf25b06" ns2:_="" ns3:_="" ns4:_="">
    <xsd:import namespace="37cde9f0-d9ab-4219-881f-6702969f0486"/>
    <xsd:import namespace="87c1bbd3-52d3-4f59-b61a-880296a3cc6e"/>
    <xsd:import namespace="2fc2a8c7-3b3f-4409-bc78-aa40538e7eb1"/>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3:SharedWithUsers" minOccurs="0"/>
                <xsd:element ref="ns3:SharedWithDetails" minOccurs="0"/>
                <xsd:element ref="ns2:MediaServiceLocation" minOccurs="0"/>
                <xsd:element ref="ns2:MediaLengthInSeconds" minOccurs="0"/>
                <xsd:element ref="ns2:lcf76f155ced4ddcb4097134ff3c332f" minOccurs="0"/>
                <xsd:element ref="ns4: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cde9f0-d9ab-4219-881f-6702969f04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4b820720-3cae-4e0f-87a0-a0b1591a738f"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7c1bbd3-52d3-4f59-b61a-880296a3cc6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c2a8c7-3b3f-4409-bc78-aa40538e7eb1"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1674726a-84e0-4afc-8165-9ee3c6bb3d6d}" ma:internalName="TaxCatchAll" ma:showField="CatchAllData" ma:web="87c1bbd3-52d3-4f59-b61a-880296a3cc6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F834FD-0FA5-477B-B628-82517BCDC5CF}">
  <ds:schemaRefs>
    <ds:schemaRef ds:uri="http://schemas.microsoft.com/sharepoint/v3/contenttype/forms"/>
  </ds:schemaRefs>
</ds:datastoreItem>
</file>

<file path=customXml/itemProps2.xml><?xml version="1.0" encoding="utf-8"?>
<ds:datastoreItem xmlns:ds="http://schemas.openxmlformats.org/officeDocument/2006/customXml" ds:itemID="{45B7F73A-B46B-4475-B60E-09722E463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cde9f0-d9ab-4219-881f-6702969f0486"/>
    <ds:schemaRef ds:uri="87c1bbd3-52d3-4f59-b61a-880296a3cc6e"/>
    <ds:schemaRef ds:uri="2fc2a8c7-3b3f-4409-bc78-aa40538e7eb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2904</Words>
  <Characters>16556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Lyn Brodrick</cp:lastModifiedBy>
  <cp:revision>3</cp:revision>
  <cp:lastPrinted>2014-08-18T15:50:00Z</cp:lastPrinted>
  <dcterms:created xsi:type="dcterms:W3CDTF">2022-02-14T10:04:00Z</dcterms:created>
  <dcterms:modified xsi:type="dcterms:W3CDTF">2022-06-05T12:14:00Z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0x0101003C92EFE8E395A342A5DFEC0A0A9E8279</vt:lpwstr>
  </property>
</Properties>
</file>