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2.0 -->
  <w:body>
    <w:p w:rsidR="00230F35" w:rsidP="00230F35">
      <w:pPr>
        <w:pStyle w:val="NormalWeb"/>
        <w:spacing w:before="0" w:beforeAutospacing="0" w:after="0" w:afterAutospacing="0"/>
        <w:ind w:left="-180" w:right="-334"/>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24pt;height:50.05pt" o:bordertopcolor="this" o:borderleftcolor="this" o:borderbottomcolor="this" o:borderrightcolor="this" stroked="f">
            <v:imagedata r:id="rId6" o:title="TSD_logo2010"/>
            <w10:bordertop type="single" width="12"/>
            <w10:borderleft type="single" width="12"/>
            <w10:borderbottom type="single" width="12"/>
            <w10:borderright type="single" width="12"/>
          </v:shape>
        </w:pict>
      </w:r>
    </w:p>
    <w:p w:rsidR="00230F35" w:rsidP="00230F35">
      <w:pPr>
        <w:pStyle w:val="NormalWeb"/>
        <w:spacing w:before="0" w:beforeAutospacing="0" w:after="0" w:afterAutospacing="0"/>
        <w:ind w:left="-180" w:right="-334"/>
      </w:pPr>
    </w:p>
    <w:p w:rsidR="00A745B6" w:rsidP="00230F35">
      <w:pPr>
        <w:pStyle w:val="NormalWeb"/>
        <w:spacing w:before="0" w:beforeAutospacing="0" w:after="0" w:afterAutospacing="0"/>
        <w:ind w:left="-180" w:right="-334"/>
      </w:pPr>
    </w:p>
    <w:p w:rsidR="00CB5E37" w:rsidP="00230F35">
      <w:pPr>
        <w:pStyle w:val="NormalWeb"/>
        <w:spacing w:before="0" w:beforeAutospacing="0" w:after="0" w:afterAutospacing="0"/>
        <w:ind w:left="-180" w:right="-334"/>
        <w:jc w:val="center"/>
        <w:rPr>
          <w:rFonts w:ascii="Arial" w:hAnsi="Arial" w:cs="Arial"/>
          <w:b/>
          <w:sz w:val="28"/>
          <w:szCs w:val="28"/>
          <w:lang w:val="cy-GB"/>
        </w:rPr>
      </w:pPr>
      <w:r w:rsidRPr="00230F35" w:rsidR="00901157">
        <w:rPr>
          <w:rFonts w:ascii="Arial" w:hAnsi="Arial" w:cs="Arial"/>
          <w:b/>
          <w:sz w:val="28"/>
          <w:szCs w:val="28"/>
          <w:lang w:val="cy-GB"/>
        </w:rPr>
        <w:t>Postgraduate</w:t>
      </w:r>
      <w:r>
        <w:rPr>
          <w:rFonts w:ascii="Arial" w:hAnsi="Arial" w:cs="Arial"/>
          <w:b/>
          <w:sz w:val="28"/>
          <w:szCs w:val="28"/>
          <w:lang w:val="cy-GB"/>
        </w:rPr>
        <w:t xml:space="preserve">/Distance Learning </w:t>
      </w:r>
    </w:p>
    <w:p w:rsidR="002E67CE" w:rsidRPr="00230F35" w:rsidP="00230F35">
      <w:pPr>
        <w:pStyle w:val="NormalWeb"/>
        <w:spacing w:before="0" w:beforeAutospacing="0" w:after="0" w:afterAutospacing="0"/>
        <w:ind w:left="-180" w:right="-334"/>
        <w:jc w:val="center"/>
        <w:rPr>
          <w:rFonts w:ascii="Arial" w:hAnsi="Arial" w:cs="Arial"/>
          <w:b/>
          <w:sz w:val="28"/>
          <w:szCs w:val="28"/>
        </w:rPr>
      </w:pPr>
      <w:r w:rsidR="00CB5E37">
        <w:rPr>
          <w:rFonts w:ascii="Arial" w:hAnsi="Arial" w:cs="Arial"/>
          <w:b/>
          <w:sz w:val="28"/>
          <w:szCs w:val="28"/>
          <w:lang w:val="cy-GB"/>
        </w:rPr>
        <w:t>A</w:t>
      </w:r>
      <w:r w:rsidRPr="00230F35">
        <w:rPr>
          <w:rFonts w:ascii="Arial" w:hAnsi="Arial" w:cs="Arial"/>
          <w:b/>
          <w:sz w:val="28"/>
          <w:szCs w:val="28"/>
          <w:lang w:val="cy-GB"/>
        </w:rPr>
        <w:t>ssignment coversheet &amp; feedback form</w:t>
      </w:r>
    </w:p>
    <w:p w:rsidR="002E67CE" w:rsidRPr="00230F35" w:rsidP="002E67CE">
      <w:pPr>
        <w:rPr>
          <w:rFonts w:ascii="Arial" w:hAnsi="Arial" w:cs="Arial"/>
          <w:sz w:val="28"/>
          <w:szCs w:val="28"/>
          <w:lang w:val="cy-GB"/>
        </w:rPr>
      </w:pPr>
    </w:p>
    <w:p w:rsidR="002E67CE" w:rsidP="002E67CE">
      <w:pPr>
        <w:pStyle w:val="Heading3"/>
        <w:jc w:val="center"/>
        <w:rPr>
          <w:lang w:val="cy-GB"/>
        </w:rPr>
      </w:pPr>
      <w:r>
        <w:rPr>
          <w:lang w:val="cy-GB"/>
        </w:rPr>
        <w:t>THIS SHEET MUST BE THE FIRST PAGE OF THE ASSIGNMENT YOU ARE SUBMITTING  (DO NOT SEND AS A SEPARATE FILE)</w:t>
      </w:r>
    </w:p>
    <w:p w:rsidR="00230F35" w:rsidP="002E67CE">
      <w:pPr>
        <w:pStyle w:val="Heading3"/>
        <w:jc w:val="center"/>
        <w:rPr>
          <w:rFonts w:ascii="Trebuchet MS" w:hAnsi="Trebuchet MS"/>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Tr="00A745B6">
        <w:tblPrEx>
          <w:tblW w:w="0" w:type="auto"/>
          <w:tblLook w:val="04A0"/>
        </w:tblPrEx>
        <w:trPr>
          <w:trHeight w:val="614"/>
        </w:trPr>
        <w:tc>
          <w:tcPr>
            <w:tcW w:w="8856" w:type="dxa"/>
            <w:gridSpan w:val="5"/>
          </w:tcPr>
          <w:p w:rsidR="0058726A" w:rsidRPr="00230F35" w:rsidP="002F467C">
            <w:pPr>
              <w:pStyle w:val="NormalWeb"/>
              <w:spacing w:before="0" w:beforeAutospacing="0" w:after="0" w:afterAutospacing="0"/>
              <w:ind w:right="34"/>
              <w:rPr>
                <w:rFonts w:ascii="Arial" w:hAnsi="Arial" w:cs="Arial"/>
                <w:sz w:val="22"/>
                <w:szCs w:val="22"/>
              </w:rPr>
            </w:pPr>
            <w:r w:rsidRPr="00230F35" w:rsidR="00E57529">
              <w:rPr>
                <w:rFonts w:ascii="Arial" w:hAnsi="Arial" w:cs="Arial"/>
                <w:b/>
                <w:sz w:val="22"/>
                <w:szCs w:val="22"/>
              </w:rPr>
              <w:t xml:space="preserve">For completion by </w:t>
            </w:r>
            <w:r w:rsidR="00001C3B">
              <w:rPr>
                <w:rFonts w:ascii="Arial" w:hAnsi="Arial" w:cs="Arial"/>
                <w:b/>
                <w:sz w:val="22"/>
                <w:szCs w:val="22"/>
              </w:rPr>
              <w:t xml:space="preserve">the </w:t>
            </w:r>
            <w:r w:rsidRPr="00230F35" w:rsidR="00E57529">
              <w:rPr>
                <w:rFonts w:ascii="Arial" w:hAnsi="Arial" w:cs="Arial"/>
                <w:b/>
                <w:sz w:val="22"/>
                <w:szCs w:val="22"/>
              </w:rPr>
              <w:t>student</w:t>
            </w:r>
            <w:r w:rsidR="00001C3B">
              <w:rPr>
                <w:rFonts w:ascii="Arial" w:hAnsi="Arial" w:cs="Arial"/>
                <w:sz w:val="22"/>
                <w:szCs w:val="22"/>
              </w:rPr>
              <w:t>:</w:t>
            </w:r>
          </w:p>
        </w:tc>
      </w:tr>
      <w:tr w:rsidTr="00A745B6">
        <w:tblPrEx>
          <w:tblW w:w="0" w:type="auto"/>
          <w:tblLook w:val="04A0"/>
        </w:tblPrEx>
        <w:trPr>
          <w:trHeight w:val="718"/>
        </w:trPr>
        <w:tc>
          <w:tcPr>
            <w:tcW w:w="8856" w:type="dxa"/>
            <w:gridSpan w:val="5"/>
          </w:tcPr>
          <w:p w:rsidR="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Pr="00230F35" w:rsidR="00CE3B79">
              <w:rPr>
                <w:rFonts w:ascii="Arial" w:hAnsi="Arial" w:cs="Arial"/>
                <w:sz w:val="22"/>
                <w:szCs w:val="22"/>
              </w:rPr>
              <w:t>me:</w:t>
            </w:r>
            <w:r w:rsidR="002A603D">
              <w:rPr>
                <w:rFonts w:ascii="Arial" w:hAnsi="Arial" w:cs="Arial"/>
                <w:sz w:val="22"/>
                <w:szCs w:val="22"/>
              </w:rPr>
              <w:t xml:space="preserve"> Francesca Cabral</w:t>
            </w:r>
          </w:p>
          <w:p w:rsidR="00230F35" w:rsidRPr="00230F35" w:rsidP="002F467C">
            <w:pPr>
              <w:pStyle w:val="NormalWeb"/>
              <w:spacing w:before="0" w:beforeAutospacing="0" w:after="0" w:afterAutospacing="0"/>
              <w:ind w:right="34"/>
              <w:rPr>
                <w:rFonts w:ascii="Arial" w:hAnsi="Arial" w:cs="Arial"/>
                <w:sz w:val="22"/>
                <w:szCs w:val="22"/>
              </w:rPr>
            </w:pPr>
          </w:p>
          <w:p w:rsidR="00FA2A4C" w:rsidRPr="00230F35"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2A603D" w:rsidR="002A603D">
              <w:rPr>
                <w:rFonts w:ascii="Arial" w:hAnsi="Arial" w:cs="Arial"/>
                <w:sz w:val="22"/>
                <w:szCs w:val="22"/>
              </w:rPr>
              <w:t>2317218@student.uwtsd.ac.uk</w:t>
            </w:r>
          </w:p>
        </w:tc>
      </w:tr>
      <w:tr w:rsidTr="00A745B6">
        <w:tblPrEx>
          <w:tblW w:w="0" w:type="auto"/>
          <w:tblLook w:val="04A0"/>
        </w:tblPrEx>
        <w:trPr>
          <w:trHeight w:val="849"/>
        </w:trPr>
        <w:tc>
          <w:tcPr>
            <w:tcW w:w="4788" w:type="dxa"/>
          </w:tcPr>
          <w:p w:rsidR="00D67BF8" w:rsidRPr="00230F35" w:rsidP="002F467C">
            <w:pPr>
              <w:pStyle w:val="NormalWeb"/>
              <w:spacing w:before="0" w:beforeAutospacing="0" w:after="0" w:afterAutospacing="0"/>
              <w:ind w:right="34"/>
              <w:rPr>
                <w:rFonts w:ascii="Arial" w:hAnsi="Arial" w:cs="Arial"/>
                <w:sz w:val="22"/>
                <w:szCs w:val="22"/>
              </w:rPr>
            </w:pPr>
            <w:r w:rsidRPr="00230F35" w:rsidR="00CE3B79">
              <w:rPr>
                <w:rFonts w:ascii="Arial" w:hAnsi="Arial" w:cs="Arial"/>
                <w:sz w:val="22"/>
                <w:szCs w:val="22"/>
              </w:rPr>
              <w:t>Module code:</w:t>
            </w:r>
            <w:r w:rsidR="002A603D">
              <w:rPr>
                <w:rFonts w:ascii="Arial" w:hAnsi="Arial" w:cs="Arial"/>
                <w:sz w:val="22"/>
                <w:szCs w:val="22"/>
              </w:rPr>
              <w:t xml:space="preserve"> </w:t>
            </w:r>
            <w:r w:rsidRPr="002A603D" w:rsidR="002A603D">
              <w:rPr>
                <w:rFonts w:ascii="Arial" w:hAnsi="Arial" w:cs="Arial"/>
                <w:sz w:val="22"/>
                <w:szCs w:val="22"/>
              </w:rPr>
              <w:t>HPCA7016</w:t>
            </w:r>
          </w:p>
          <w:p w:rsidR="00D67BF8" w:rsidRPr="00230F35" w:rsidP="002F467C">
            <w:pPr>
              <w:pStyle w:val="NormalWeb"/>
              <w:spacing w:before="0" w:beforeAutospacing="0" w:after="0" w:afterAutospacing="0"/>
              <w:ind w:right="34"/>
              <w:rPr>
                <w:rFonts w:ascii="Arial" w:hAnsi="Arial" w:cs="Arial"/>
                <w:sz w:val="22"/>
                <w:szCs w:val="22"/>
              </w:rPr>
            </w:pPr>
          </w:p>
          <w:p w:rsidR="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2A603D">
              <w:rPr>
                <w:rFonts w:ascii="Arial" w:hAnsi="Arial" w:cs="Arial"/>
                <w:sz w:val="22"/>
                <w:szCs w:val="22"/>
              </w:rPr>
              <w:t xml:space="preserve"> </w:t>
            </w:r>
            <w:r w:rsidRPr="002A603D" w:rsidR="002A603D">
              <w:rPr>
                <w:rFonts w:ascii="Arial" w:hAnsi="Arial" w:cs="Arial"/>
                <w:sz w:val="22"/>
                <w:szCs w:val="22"/>
              </w:rPr>
              <w:t>Researching Contemporary Cosmologies</w:t>
            </w:r>
          </w:p>
          <w:p w:rsidR="00A745B6" w:rsidP="002F467C">
            <w:pPr>
              <w:pStyle w:val="NormalWeb"/>
              <w:spacing w:before="0" w:beforeAutospacing="0" w:after="0" w:afterAutospacing="0"/>
              <w:ind w:right="34"/>
              <w:rPr>
                <w:rFonts w:ascii="Arial" w:hAnsi="Arial" w:cs="Arial"/>
                <w:sz w:val="22"/>
                <w:szCs w:val="22"/>
              </w:rPr>
            </w:pPr>
          </w:p>
          <w:p w:rsidR="00A745B6" w:rsidRPr="00230F35" w:rsidP="002F467C">
            <w:pPr>
              <w:pStyle w:val="NormalWeb"/>
              <w:spacing w:before="0" w:beforeAutospacing="0" w:after="0" w:afterAutospacing="0"/>
              <w:ind w:right="34"/>
              <w:rPr>
                <w:rFonts w:ascii="Arial" w:hAnsi="Arial" w:cs="Arial"/>
                <w:sz w:val="22"/>
                <w:szCs w:val="22"/>
              </w:rPr>
            </w:pPr>
          </w:p>
        </w:tc>
        <w:tc>
          <w:tcPr>
            <w:tcW w:w="2266" w:type="dxa"/>
            <w:gridSpan w:val="3"/>
          </w:tcPr>
          <w:p w:rsidR="00CE3B79" w:rsidRPr="00230F35"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2A603D">
              <w:rPr>
                <w:rFonts w:ascii="Arial" w:hAnsi="Arial" w:cs="Arial"/>
                <w:sz w:val="22"/>
                <w:szCs w:val="22"/>
              </w:rPr>
              <w:t xml:space="preserve"> </w:t>
            </w:r>
            <w:r w:rsidRPr="002A603D" w:rsidR="002A603D">
              <w:rPr>
                <w:rFonts w:ascii="Arial" w:hAnsi="Arial" w:cs="Arial"/>
                <w:sz w:val="22"/>
                <w:szCs w:val="22"/>
              </w:rPr>
              <w:t>2317218</w:t>
            </w:r>
          </w:p>
        </w:tc>
        <w:tc>
          <w:tcPr>
            <w:tcW w:w="1802" w:type="dxa"/>
          </w:tcPr>
          <w:p w:rsidR="00CE3B79" w:rsidRPr="00230F35"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CE3B79" w:rsidRPr="00230F35"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Tr="00A745B6">
        <w:tblPrEx>
          <w:tblW w:w="0" w:type="auto"/>
          <w:tblLook w:val="04A0"/>
        </w:tblPrEx>
        <w:trPr>
          <w:trHeight w:val="1139"/>
        </w:trPr>
        <w:tc>
          <w:tcPr>
            <w:tcW w:w="8856" w:type="dxa"/>
            <w:gridSpan w:val="5"/>
          </w:tcPr>
          <w:p w:rsidR="00CE3B79" w:rsidRPr="00230F35"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2A603D">
              <w:rPr>
                <w:rFonts w:ascii="Arial" w:hAnsi="Arial" w:cs="Arial"/>
                <w:sz w:val="22"/>
                <w:szCs w:val="22"/>
              </w:rPr>
              <w:t xml:space="preserve"> </w:t>
            </w:r>
            <w:r w:rsidRPr="002A603D" w:rsidR="002A603D">
              <w:rPr>
                <w:rFonts w:ascii="Arial" w:hAnsi="Arial" w:cs="Arial"/>
                <w:sz w:val="22"/>
                <w:szCs w:val="22"/>
              </w:rPr>
              <w:t>A Critical Comparison of Two Secondary Sources</w:t>
            </w:r>
          </w:p>
          <w:p w:rsidR="00D67BF8" w:rsidRPr="00230F35" w:rsidP="002F467C">
            <w:pPr>
              <w:pStyle w:val="NormalWeb"/>
              <w:spacing w:before="0" w:beforeAutospacing="0" w:after="0" w:afterAutospacing="0"/>
              <w:ind w:right="34"/>
              <w:rPr>
                <w:rFonts w:ascii="Arial" w:hAnsi="Arial" w:cs="Arial"/>
                <w:sz w:val="22"/>
                <w:szCs w:val="22"/>
              </w:rPr>
            </w:pPr>
          </w:p>
          <w:p w:rsidR="00230F35" w:rsidP="002F467C">
            <w:pPr>
              <w:pStyle w:val="NormalWeb"/>
              <w:spacing w:before="0" w:beforeAutospacing="0" w:after="0" w:afterAutospacing="0"/>
              <w:ind w:right="34"/>
              <w:rPr>
                <w:rFonts w:ascii="Arial" w:hAnsi="Arial" w:cs="Arial"/>
                <w:sz w:val="22"/>
                <w:szCs w:val="22"/>
              </w:rPr>
            </w:pPr>
          </w:p>
          <w:p w:rsidR="00D67BF8" w:rsidRPr="00230F35" w:rsidP="002F467C">
            <w:pPr>
              <w:pStyle w:val="NormalWeb"/>
              <w:spacing w:before="0" w:beforeAutospacing="0" w:after="0" w:afterAutospacing="0"/>
              <w:ind w:right="34"/>
              <w:rPr>
                <w:rFonts w:ascii="Arial" w:hAnsi="Arial" w:cs="Arial"/>
                <w:sz w:val="22"/>
                <w:szCs w:val="22"/>
              </w:rPr>
            </w:pPr>
            <w:r w:rsidRPr="00230F35" w:rsidR="00B42501">
              <w:rPr>
                <w:rFonts w:ascii="Arial" w:hAnsi="Arial" w:cs="Arial"/>
                <w:sz w:val="22"/>
                <w:szCs w:val="22"/>
              </w:rPr>
              <w:t>Assignment due date:</w:t>
            </w:r>
            <w:r w:rsidR="002A603D">
              <w:rPr>
                <w:rFonts w:ascii="Arial" w:hAnsi="Arial" w:cs="Arial"/>
                <w:sz w:val="22"/>
                <w:szCs w:val="22"/>
              </w:rPr>
              <w:t xml:space="preserve"> 17 March 2025</w:t>
            </w:r>
          </w:p>
        </w:tc>
      </w:tr>
      <w:tr w:rsidTr="00A745B6">
        <w:tblPrEx>
          <w:tblW w:w="0" w:type="auto"/>
          <w:tblLook w:val="04A0"/>
        </w:tblPrEx>
        <w:trPr>
          <w:trHeight w:val="978"/>
        </w:trPr>
        <w:tc>
          <w:tcPr>
            <w:tcW w:w="8856" w:type="dxa"/>
            <w:gridSpan w:val="5"/>
            <w:tcBorders>
              <w:bottom w:val="single" w:sz="4" w:space="0" w:color="000000"/>
            </w:tcBorders>
          </w:tcPr>
          <w:p w:rsidR="00230F35" w:rsidRPr="00230F35" w:rsidP="00230F35">
            <w:pPr>
              <w:rPr>
                <w:rFonts w:ascii="Arial" w:hAnsi="Arial" w:cs="Arial"/>
                <w:sz w:val="22"/>
                <w:szCs w:val="22"/>
              </w:rPr>
            </w:pPr>
            <w:r>
              <w:rPr>
                <w:noProof/>
              </w:rPr>
              <w:pict>
                <v:rect id="Ink 1" o:spid="_x0000_s1026" style="width:12.65pt;height:8.75pt;margin-top:0;margin-left:205.65pt;position:absolute;visibility:visible;z-index:251658240" coordsize="414,273" path="m,272c5,271,11,271,16,270c26,268,36,264,45,258c68,242,85,221,104,200c151,148,203,108,264,74c295,56,330,46,362,30c389,16,397,11,413,e" filled="f" strokeweight="0.99pt">
                  <v:stroke endcap="round"/>
                  <v:path fillok="f" shadowok="f" o:extrusionok="f"/>
                  <o:lock v:ext="edit" aspectratio="f" text="t"/>
                  <o:ink i="AHodAjQkARBYz1SK5pfFT48G+LrS4ZsiAwZIEEUjRiMFAzgLZBkLOAkA/v8DAAAAAAAKSB+GQwIG&#10;AQMBAoqESkZJwCAQUDbYNT0ShPg5vg54wiIwiMN3Hx8SEIQgz8ZrAIf1c+ern0AAABxBp4gRQAoA&#10;ESBQNEhKjpbbAQ==&#10;" annotation="t"/>
                </v:rect>
              </w:pict>
            </w: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dirty="1">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dirty="1">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dirty="1">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dirty="1">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dirty="1">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dirty="1">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Tr="00A745B6">
        <w:tblPrEx>
          <w:tblW w:w="0" w:type="auto"/>
          <w:tblLook w:val="04A0"/>
        </w:tblPrEx>
        <w:trPr>
          <w:trHeight w:val="978"/>
        </w:trPr>
        <w:tc>
          <w:tcPr>
            <w:tcW w:w="8856" w:type="dxa"/>
            <w:gridSpan w:val="5"/>
            <w:shd w:val="clear" w:color="auto" w:fill="D9D9D9"/>
          </w:tcPr>
          <w:p w:rsidR="00901157" w:rsidRPr="00230F35"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2A603D">
              <w:rPr>
                <w:rFonts w:ascii="Arial" w:hAnsi="Arial" w:cs="Arial"/>
                <w:sz w:val="22"/>
                <w:szCs w:val="22"/>
              </w:rPr>
              <w:t>F</w:t>
            </w:r>
            <w:r w:rsidR="002A603D">
              <w:rPr>
                <w:rFonts w:ascii="Arial" w:hAnsi="Arial" w:cs="Arial"/>
                <w:sz w:val="22"/>
                <w:szCs w:val="22"/>
              </w:rPr>
              <w:t>MC</w:t>
            </w:r>
            <w:r w:rsidRPr="00230F35">
              <w:rPr>
                <w:rFonts w:ascii="Arial" w:hAnsi="Arial" w:cs="Arial"/>
                <w:sz w:val="22"/>
                <w:szCs w:val="22"/>
              </w:rPr>
              <w:t>…………………………………………</w:t>
            </w:r>
            <w:r w:rsidRPr="00230F35" w:rsidR="00AE3217">
              <w:rPr>
                <w:rFonts w:ascii="Arial" w:hAnsi="Arial" w:cs="Arial"/>
                <w:sz w:val="22"/>
                <w:szCs w:val="22"/>
              </w:rPr>
              <w:t>………</w:t>
            </w:r>
          </w:p>
          <w:p w:rsidR="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rsidR="00B462B1" w:rsidRPr="00230F35"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Tr="00A745B6">
        <w:tblPrEx>
          <w:tblW w:w="0" w:type="auto"/>
          <w:tblLook w:val="04A0"/>
        </w:tblPrEx>
        <w:trPr>
          <w:trHeight w:val="3972"/>
        </w:trPr>
        <w:tc>
          <w:tcPr>
            <w:tcW w:w="8856" w:type="dxa"/>
            <w:gridSpan w:val="5"/>
          </w:tcPr>
          <w:p w:rsidR="00A745B6" w:rsidP="00A745B6">
            <w:pPr>
              <w:rPr>
                <w:rFonts w:ascii="Arial" w:hAnsi="Arial"/>
                <w:b/>
              </w:rPr>
            </w:pPr>
          </w:p>
          <w:p w:rsidR="00A745B6" w:rsidRPr="00116CE6" w:rsidP="00A745B6">
            <w:pPr>
              <w:rPr>
                <w:rFonts w:ascii="Arial" w:hAnsi="Arial"/>
              </w:rPr>
            </w:pPr>
            <w:r w:rsidRPr="00116CE6">
              <w:rPr>
                <w:rFonts w:ascii="Arial" w:hAnsi="Arial"/>
                <w:b/>
              </w:rPr>
              <w:t>Assignment Mark</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Tr="00022345">
              <w:tblPrEx>
                <w:tblW w:w="0" w:type="auto"/>
                <w:tblLook w:val="01E0"/>
              </w:tblPrEx>
              <w:tc>
                <w:tcPr>
                  <w:tcW w:w="6970" w:type="dxa"/>
                </w:tcPr>
                <w:p w:rsidR="00A745B6" w:rsidRPr="00116CE6" w:rsidP="009C1A08">
                  <w:pPr>
                    <w:rPr>
                      <w:rFonts w:ascii="Arial" w:hAnsi="Arial"/>
                      <w:sz w:val="20"/>
                      <w:szCs w:val="20"/>
                    </w:rPr>
                  </w:pPr>
                </w:p>
                <w:p w:rsidR="00A745B6" w:rsidRPr="00116CE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A745B6" w:rsidRPr="00116CE6" w:rsidP="009C1A08">
                  <w:pPr>
                    <w:rPr>
                      <w:rFonts w:ascii="Arial" w:hAnsi="Arial"/>
                      <w:sz w:val="20"/>
                      <w:szCs w:val="20"/>
                    </w:rPr>
                  </w:pPr>
                </w:p>
              </w:tc>
            </w:tr>
            <w:tr w:rsidTr="00022345">
              <w:tblPrEx>
                <w:tblW w:w="0" w:type="auto"/>
                <w:tblLook w:val="01E0"/>
              </w:tblPrEx>
              <w:tc>
                <w:tcPr>
                  <w:tcW w:w="6970" w:type="dxa"/>
                </w:tcPr>
                <w:p w:rsidR="00A745B6" w:rsidRPr="00116CE6" w:rsidP="009C1A08">
                  <w:pPr>
                    <w:rPr>
                      <w:rFonts w:ascii="Arial" w:hAnsi="Arial"/>
                      <w:sz w:val="20"/>
                      <w:szCs w:val="20"/>
                    </w:rPr>
                  </w:pPr>
                </w:p>
                <w:p w:rsidR="00A745B6" w:rsidRPr="00116CE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rsidR="00A745B6" w:rsidRPr="00116CE6" w:rsidP="009C1A08">
                  <w:pPr>
                    <w:rPr>
                      <w:rFonts w:ascii="Arial" w:hAnsi="Arial"/>
                      <w:sz w:val="20"/>
                      <w:szCs w:val="20"/>
                    </w:rPr>
                  </w:pPr>
                </w:p>
              </w:tc>
            </w:tr>
            <w:tr w:rsidTr="00022345">
              <w:tblPrEx>
                <w:tblW w:w="0" w:type="auto"/>
                <w:tblLook w:val="01E0"/>
              </w:tblPrEx>
              <w:tc>
                <w:tcPr>
                  <w:tcW w:w="6970" w:type="dxa"/>
                </w:tcPr>
                <w:p w:rsidR="00A745B6" w:rsidRPr="00116CE6" w:rsidP="009C1A08">
                  <w:pPr>
                    <w:rPr>
                      <w:rFonts w:ascii="Arial" w:hAnsi="Arial"/>
                      <w:sz w:val="20"/>
                      <w:szCs w:val="20"/>
                    </w:rPr>
                  </w:pPr>
                </w:p>
                <w:p w:rsidR="00A745B6" w:rsidRPr="00116CE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A745B6" w:rsidRPr="00116CE6" w:rsidP="009C1A08">
                  <w:pPr>
                    <w:rPr>
                      <w:rFonts w:ascii="Arial" w:hAnsi="Arial"/>
                      <w:sz w:val="20"/>
                      <w:szCs w:val="20"/>
                    </w:rPr>
                  </w:pPr>
                </w:p>
              </w:tc>
            </w:tr>
            <w:tr w:rsidTr="00022345">
              <w:tblPrEx>
                <w:tblW w:w="0" w:type="auto"/>
                <w:tblLook w:val="01E0"/>
              </w:tblPrEx>
              <w:tc>
                <w:tcPr>
                  <w:tcW w:w="6970" w:type="dxa"/>
                </w:tcPr>
                <w:p w:rsidR="00A745B6" w:rsidP="009C1A08">
                  <w:pPr>
                    <w:rPr>
                      <w:rFonts w:ascii="Arial" w:hAnsi="Arial"/>
                      <w:sz w:val="20"/>
                      <w:szCs w:val="20"/>
                    </w:rPr>
                  </w:pPr>
                </w:p>
                <w:p w:rsidR="00A745B6" w:rsidRPr="00022345" w:rsidP="009C1A08">
                  <w:pPr>
                    <w:rPr>
                      <w:rFonts w:ascii="Arial" w:hAnsi="Arial"/>
                      <w:b/>
                      <w:sz w:val="20"/>
                      <w:szCs w:val="20"/>
                    </w:rPr>
                  </w:pPr>
                  <w:r w:rsidRPr="00022345">
                    <w:rPr>
                      <w:rFonts w:ascii="Arial" w:hAnsi="Arial"/>
                      <w:b/>
                      <w:sz w:val="20"/>
                      <w:szCs w:val="20"/>
                    </w:rPr>
                    <w:t>Final Mark</w:t>
                  </w:r>
                </w:p>
                <w:p w:rsidR="00A745B6" w:rsidRPr="00116CE6" w:rsidP="009C1A08">
                  <w:pPr>
                    <w:rPr>
                      <w:rFonts w:ascii="Arial" w:hAnsi="Arial"/>
                      <w:sz w:val="20"/>
                      <w:szCs w:val="20"/>
                    </w:rPr>
                  </w:pPr>
                </w:p>
              </w:tc>
              <w:tc>
                <w:tcPr>
                  <w:tcW w:w="1660" w:type="dxa"/>
                </w:tcPr>
                <w:p w:rsidR="00A745B6" w:rsidRPr="00116CE6" w:rsidP="009C1A08">
                  <w:pPr>
                    <w:rPr>
                      <w:rFonts w:ascii="Arial" w:hAnsi="Arial"/>
                      <w:sz w:val="20"/>
                      <w:szCs w:val="20"/>
                    </w:rPr>
                  </w:pPr>
                </w:p>
              </w:tc>
            </w:tr>
          </w:tbl>
          <w:p w:rsidR="00022345" w:rsidP="00A745B6">
            <w:pPr>
              <w:pStyle w:val="NormalWeb"/>
              <w:spacing w:before="0" w:beforeAutospacing="0" w:after="0" w:afterAutospacing="0"/>
              <w:ind w:left="142" w:right="34"/>
              <w:rPr>
                <w:rFonts w:ascii="Arial" w:hAnsi="Arial" w:cs="Arial"/>
                <w:b/>
                <w:sz w:val="22"/>
                <w:szCs w:val="22"/>
              </w:rPr>
            </w:pPr>
          </w:p>
          <w:p w:rsidR="00A745B6" w:rsidRPr="00230F35"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w:t>
            </w:r>
            <w:r w:rsidRPr="00230F35">
              <w:rPr>
                <w:rFonts w:ascii="Arial" w:hAnsi="Arial" w:cs="Arial"/>
                <w:sz w:val="22"/>
                <w:szCs w:val="22"/>
              </w:rPr>
              <w:t xml:space="preserve">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745B6" w:rsidP="002F467C">
            <w:pPr>
              <w:pStyle w:val="NormalWeb"/>
              <w:spacing w:before="0" w:beforeAutospacing="0" w:after="0" w:afterAutospacing="0"/>
              <w:rPr>
                <w:rFonts w:ascii="Arial" w:hAnsi="Arial" w:cs="Arial"/>
                <w:b/>
                <w:sz w:val="22"/>
                <w:szCs w:val="22"/>
              </w:rPr>
            </w:pPr>
          </w:p>
          <w:p w:rsidR="00B462B1" w:rsidP="002F467C">
            <w:pPr>
              <w:pStyle w:val="NormalWeb"/>
              <w:spacing w:before="0" w:beforeAutospacing="0" w:after="0" w:afterAutospacing="0"/>
              <w:rPr>
                <w:rFonts w:ascii="Arial" w:hAnsi="Arial" w:cs="Arial"/>
                <w:b/>
                <w:sz w:val="22"/>
                <w:szCs w:val="22"/>
              </w:rPr>
            </w:pPr>
          </w:p>
          <w:p w:rsidR="00B462B1" w:rsidP="002F467C">
            <w:pPr>
              <w:pStyle w:val="NormalWeb"/>
              <w:spacing w:before="0" w:beforeAutospacing="0" w:after="0" w:afterAutospacing="0"/>
              <w:rPr>
                <w:rFonts w:ascii="Arial" w:hAnsi="Arial" w:cs="Arial"/>
                <w:b/>
                <w:sz w:val="22"/>
                <w:szCs w:val="22"/>
              </w:rPr>
            </w:pPr>
          </w:p>
          <w:p w:rsidR="00B462B1" w:rsidP="002F467C">
            <w:pPr>
              <w:pStyle w:val="NormalWeb"/>
              <w:spacing w:before="0" w:beforeAutospacing="0" w:after="0" w:afterAutospacing="0"/>
              <w:rPr>
                <w:rFonts w:ascii="Arial" w:hAnsi="Arial" w:cs="Arial"/>
                <w:b/>
                <w:sz w:val="22"/>
                <w:szCs w:val="22"/>
              </w:rPr>
            </w:pPr>
          </w:p>
          <w:p w:rsidR="00B462B1" w:rsidP="002F467C">
            <w:pPr>
              <w:pStyle w:val="NormalWeb"/>
              <w:spacing w:before="0" w:beforeAutospacing="0" w:after="0" w:afterAutospacing="0"/>
              <w:rPr>
                <w:rFonts w:ascii="Arial" w:hAnsi="Arial" w:cs="Arial"/>
                <w:b/>
                <w:sz w:val="22"/>
                <w:szCs w:val="22"/>
              </w:rPr>
            </w:pPr>
          </w:p>
          <w:p w:rsidR="00590E9A" w:rsidRPr="00230F35" w:rsidP="002F467C">
            <w:pPr>
              <w:pStyle w:val="NormalWeb"/>
              <w:spacing w:before="0" w:beforeAutospacing="0" w:after="0" w:afterAutospacing="0"/>
              <w:rPr>
                <w:rFonts w:ascii="Arial" w:hAnsi="Arial" w:cs="Arial"/>
                <w:b/>
                <w:sz w:val="22"/>
                <w:szCs w:val="22"/>
              </w:rPr>
            </w:pPr>
            <w:r w:rsidR="00E67719">
              <w:rPr>
                <w:rFonts w:ascii="Arial" w:hAnsi="Arial" w:cs="Arial"/>
                <w:b/>
                <w:sz w:val="22"/>
                <w:szCs w:val="22"/>
              </w:rPr>
              <w:t>For completion by M</w:t>
            </w:r>
            <w:r w:rsidRPr="00230F35">
              <w:rPr>
                <w:rFonts w:ascii="Arial" w:hAnsi="Arial" w:cs="Arial"/>
                <w:b/>
                <w:sz w:val="22"/>
                <w:szCs w:val="22"/>
              </w:rPr>
              <w:t>arker</w:t>
            </w:r>
            <w:r w:rsidRPr="00230F35" w:rsidR="00D67BF8">
              <w:rPr>
                <w:rFonts w:ascii="Arial" w:hAnsi="Arial" w:cs="Arial"/>
                <w:b/>
                <w:sz w:val="22"/>
                <w:szCs w:val="22"/>
              </w:rPr>
              <w:t xml:space="preserve"> 1 </w:t>
            </w:r>
            <w:r w:rsidRPr="00230F35">
              <w:rPr>
                <w:rFonts w:ascii="Arial" w:hAnsi="Arial" w:cs="Arial"/>
                <w:b/>
                <w:sz w:val="22"/>
                <w:szCs w:val="22"/>
              </w:rPr>
              <w:t>:</w:t>
            </w:r>
          </w:p>
          <w:p w:rsidR="00230F35" w:rsidP="00043549">
            <w:pPr>
              <w:pStyle w:val="NormalWeb"/>
              <w:rPr>
                <w:rFonts w:ascii="Arial" w:hAnsi="Arial" w:cs="Arial"/>
                <w:sz w:val="22"/>
                <w:szCs w:val="22"/>
              </w:rPr>
            </w:pPr>
            <w:r w:rsidRPr="00230F35" w:rsidR="00590E9A">
              <w:rPr>
                <w:rFonts w:ascii="Arial" w:hAnsi="Arial" w:cs="Arial"/>
                <w:sz w:val="22"/>
                <w:szCs w:val="22"/>
              </w:rPr>
              <w:t>Comments</w:t>
            </w:r>
            <w:r w:rsidR="00001C3B">
              <w:rPr>
                <w:rFonts w:ascii="Arial" w:hAnsi="Arial" w:cs="Arial"/>
                <w:sz w:val="22"/>
                <w:szCs w:val="22"/>
              </w:rPr>
              <w:t>:</w:t>
            </w:r>
          </w:p>
          <w:p w:rsidR="00B56E7B" w:rsidRPr="00001C3B" w:rsidP="00043549">
            <w:pPr>
              <w:pStyle w:val="NormalWeb"/>
              <w:rPr>
                <w:rFonts w:ascii="Arial" w:hAnsi="Arial" w:cs="Arial"/>
                <w:sz w:val="22"/>
                <w:szCs w:val="22"/>
              </w:rPr>
            </w:pPr>
          </w:p>
        </w:tc>
      </w:tr>
      <w:tr w:rsidTr="00A745B6">
        <w:tblPrEx>
          <w:tblW w:w="0" w:type="auto"/>
          <w:tblLook w:val="04A0"/>
        </w:tblPrEx>
        <w:trPr>
          <w:trHeight w:val="492"/>
        </w:trPr>
        <w:tc>
          <w:tcPr>
            <w:tcW w:w="6768" w:type="dxa"/>
            <w:gridSpan w:val="3"/>
          </w:tcPr>
          <w:p w:rsidR="00230F35" w:rsidRPr="00230F35" w:rsidP="00230F35">
            <w:pPr>
              <w:pStyle w:val="NormalWeb"/>
              <w:ind w:left="142" w:right="34"/>
              <w:rPr>
                <w:rFonts w:ascii="Arial" w:hAnsi="Arial" w:cs="Arial"/>
                <w:sz w:val="22"/>
                <w:szCs w:val="22"/>
              </w:rPr>
            </w:pPr>
            <w:r w:rsidRPr="00230F35" w:rsidR="00E3766D">
              <w:rPr>
                <w:rFonts w:ascii="Arial" w:hAnsi="Arial" w:cs="Arial"/>
                <w:sz w:val="22"/>
                <w:szCs w:val="22"/>
              </w:rPr>
              <w:t>M</w:t>
            </w:r>
            <w:r w:rsidRPr="00230F35" w:rsidR="00EC7546">
              <w:rPr>
                <w:rFonts w:ascii="Arial" w:hAnsi="Arial" w:cs="Arial"/>
                <w:sz w:val="22"/>
                <w:szCs w:val="22"/>
              </w:rPr>
              <w:t>arker</w:t>
            </w:r>
            <w:r w:rsidRPr="00230F35" w:rsidR="00CE3B79">
              <w:rPr>
                <w:rFonts w:ascii="Arial" w:hAnsi="Arial" w:cs="Arial"/>
                <w:sz w:val="22"/>
                <w:szCs w:val="22"/>
              </w:rPr>
              <w:t xml:space="preserve">’s </w:t>
            </w:r>
            <w:r w:rsidRPr="00230F35" w:rsidR="00EC7546">
              <w:rPr>
                <w:rFonts w:ascii="Arial" w:hAnsi="Arial" w:cs="Arial"/>
                <w:sz w:val="22"/>
                <w:szCs w:val="22"/>
              </w:rPr>
              <w:t>signatur</w:t>
            </w:r>
            <w:r>
              <w:rPr>
                <w:rFonts w:ascii="Arial" w:hAnsi="Arial" w:cs="Arial"/>
                <w:sz w:val="22"/>
                <w:szCs w:val="22"/>
              </w:rPr>
              <w:t>e:</w:t>
            </w:r>
          </w:p>
        </w:tc>
        <w:tc>
          <w:tcPr>
            <w:tcW w:w="2088" w:type="dxa"/>
            <w:gridSpan w:val="2"/>
          </w:tcPr>
          <w:p w:rsidR="00EC7546" w:rsidRPr="00230F35" w:rsidP="002F467C">
            <w:pPr>
              <w:pStyle w:val="NormalWeb"/>
              <w:spacing w:after="0"/>
              <w:ind w:left="142" w:right="34"/>
              <w:rPr>
                <w:rFonts w:ascii="Arial" w:hAnsi="Arial" w:cs="Arial"/>
                <w:sz w:val="22"/>
                <w:szCs w:val="22"/>
              </w:rPr>
            </w:pPr>
            <w:r w:rsidRPr="00230F35" w:rsidR="0065654E">
              <w:rPr>
                <w:rFonts w:ascii="Arial" w:hAnsi="Arial" w:cs="Arial"/>
                <w:sz w:val="22"/>
                <w:szCs w:val="22"/>
              </w:rPr>
              <w:t>D</w:t>
            </w:r>
            <w:r w:rsidRPr="00230F35">
              <w:rPr>
                <w:rFonts w:ascii="Arial" w:hAnsi="Arial" w:cs="Arial"/>
                <w:sz w:val="22"/>
                <w:szCs w:val="22"/>
              </w:rPr>
              <w:t>ate</w:t>
            </w:r>
            <w:r w:rsidRPr="00230F35" w:rsidR="0065654E">
              <w:rPr>
                <w:rFonts w:ascii="Arial" w:hAnsi="Arial" w:cs="Arial"/>
                <w:sz w:val="22"/>
                <w:szCs w:val="22"/>
              </w:rPr>
              <w:t>:</w:t>
            </w:r>
          </w:p>
        </w:tc>
      </w:tr>
      <w:tr w:rsidTr="002F467C">
        <w:tblPrEx>
          <w:tblW w:w="0" w:type="auto"/>
          <w:tblLook w:val="04A0"/>
        </w:tblPrEx>
        <w:tc>
          <w:tcPr>
            <w:tcW w:w="8856" w:type="dxa"/>
            <w:gridSpan w:val="5"/>
          </w:tcPr>
          <w:p w:rsidR="00D67BF8" w:rsidRPr="00230F35" w:rsidP="002F467C">
            <w:pPr>
              <w:pStyle w:val="NormalWeb"/>
              <w:spacing w:before="0" w:beforeAutospacing="0" w:after="0" w:afterAutospacing="0"/>
              <w:ind w:right="-334"/>
              <w:rPr>
                <w:rFonts w:ascii="Arial" w:hAnsi="Arial" w:cs="Arial"/>
                <w:bCs/>
                <w:i/>
                <w:sz w:val="22"/>
                <w:szCs w:val="22"/>
              </w:rPr>
            </w:pPr>
          </w:p>
          <w:p w:rsidR="00D67BF8" w:rsidRPr="00230F35" w:rsidP="002F467C">
            <w:pPr>
              <w:pStyle w:val="NormalWeb"/>
              <w:spacing w:before="0" w:beforeAutospacing="0" w:after="0" w:afterAutospacing="0"/>
              <w:ind w:right="-334"/>
              <w:rPr>
                <w:rFonts w:ascii="Arial" w:hAnsi="Arial" w:cs="Arial"/>
                <w:b/>
                <w:bCs/>
                <w:sz w:val="22"/>
                <w:szCs w:val="22"/>
              </w:rPr>
            </w:pPr>
            <w:r w:rsidR="00E67719">
              <w:rPr>
                <w:rFonts w:ascii="Arial" w:hAnsi="Arial" w:cs="Arial"/>
                <w:b/>
                <w:bCs/>
                <w:sz w:val="22"/>
                <w:szCs w:val="22"/>
              </w:rPr>
              <w:t>For completion by M</w:t>
            </w:r>
            <w:r w:rsidRPr="00230F35">
              <w:rPr>
                <w:rFonts w:ascii="Arial" w:hAnsi="Arial" w:cs="Arial"/>
                <w:b/>
                <w:bCs/>
                <w:sz w:val="22"/>
                <w:szCs w:val="22"/>
              </w:rPr>
              <w:t>arker 2</w:t>
            </w:r>
            <w:r w:rsidR="00E67719">
              <w:rPr>
                <w:rFonts w:ascii="Arial" w:hAnsi="Arial" w:cs="Arial"/>
                <w:b/>
                <w:bCs/>
                <w:sz w:val="22"/>
                <w:szCs w:val="22"/>
              </w:rPr>
              <w:t>/M</w:t>
            </w:r>
            <w:r w:rsidRPr="00230F35" w:rsidR="00230F35">
              <w:rPr>
                <w:rFonts w:ascii="Arial" w:hAnsi="Arial" w:cs="Arial"/>
                <w:b/>
                <w:bCs/>
                <w:sz w:val="22"/>
                <w:szCs w:val="22"/>
              </w:rPr>
              <w:t>oderator</w:t>
            </w:r>
            <w:r w:rsidRPr="00230F35">
              <w:rPr>
                <w:rFonts w:ascii="Arial" w:hAnsi="Arial" w:cs="Arial"/>
                <w:b/>
                <w:bCs/>
                <w:sz w:val="22"/>
                <w:szCs w:val="22"/>
              </w:rPr>
              <w:t>:</w:t>
            </w:r>
          </w:p>
          <w:p w:rsidR="00D67BF8" w:rsidRPr="00230F35" w:rsidP="002F467C">
            <w:pPr>
              <w:pStyle w:val="NormalWeb"/>
              <w:spacing w:before="0" w:beforeAutospacing="0" w:after="0" w:afterAutospacing="0"/>
              <w:ind w:right="-334"/>
              <w:rPr>
                <w:rFonts w:ascii="Arial" w:hAnsi="Arial" w:cs="Arial"/>
                <w:b/>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D67BF8" w:rsidRPr="00230F35" w:rsidP="002F467C">
            <w:pPr>
              <w:pStyle w:val="NormalWeb"/>
              <w:spacing w:before="0" w:beforeAutospacing="0" w:after="0" w:afterAutospacing="0"/>
              <w:ind w:right="-334"/>
              <w:rPr>
                <w:rFonts w:ascii="Arial" w:hAnsi="Arial" w:cs="Arial"/>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p>
          <w:p w:rsidR="00D67BF8" w:rsidP="002F467C">
            <w:pPr>
              <w:pStyle w:val="NormalWeb"/>
              <w:spacing w:before="0" w:beforeAutospacing="0" w:after="0" w:afterAutospacing="0"/>
              <w:ind w:right="-334"/>
              <w:rPr>
                <w:rFonts w:ascii="Arial" w:hAnsi="Arial" w:cs="Arial"/>
                <w:bCs/>
                <w:sz w:val="22"/>
                <w:szCs w:val="22"/>
              </w:rPr>
            </w:pPr>
          </w:p>
          <w:p w:rsidR="00B56E7B" w:rsidRPr="00230F35" w:rsidP="002F467C">
            <w:pPr>
              <w:pStyle w:val="NormalWeb"/>
              <w:spacing w:before="0" w:beforeAutospacing="0" w:after="0" w:afterAutospacing="0"/>
              <w:ind w:right="-334"/>
              <w:rPr>
                <w:rFonts w:ascii="Arial" w:hAnsi="Arial" w:cs="Arial"/>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p>
          <w:p w:rsidR="00D67BF8" w:rsidRPr="00230F35" w:rsidP="002F467C">
            <w:pPr>
              <w:pStyle w:val="NormalWeb"/>
              <w:spacing w:before="0" w:beforeAutospacing="0" w:after="0" w:afterAutospacing="0"/>
              <w:ind w:right="-334"/>
              <w:rPr>
                <w:rFonts w:ascii="Arial" w:hAnsi="Arial" w:cs="Arial"/>
                <w:bCs/>
                <w:sz w:val="22"/>
                <w:szCs w:val="22"/>
              </w:rPr>
            </w:pPr>
          </w:p>
        </w:tc>
      </w:tr>
      <w:tr w:rsidTr="008D674F">
        <w:tblPrEx>
          <w:tblW w:w="0" w:type="auto"/>
          <w:tblLook w:val="04A0"/>
        </w:tblPrEx>
        <w:trPr>
          <w:trHeight w:val="720"/>
        </w:trPr>
        <w:tc>
          <w:tcPr>
            <w:tcW w:w="5211" w:type="dxa"/>
            <w:gridSpan w:val="2"/>
          </w:tcPr>
          <w:p w:rsidR="00B56E7B" w:rsidRPr="00230F35" w:rsidP="002F467C">
            <w:pPr>
              <w:pStyle w:val="NormalWeb"/>
              <w:spacing w:before="0" w:beforeAutospacing="0" w:after="0" w:afterAutospacing="0"/>
              <w:ind w:right="-334"/>
              <w:rPr>
                <w:rFonts w:ascii="Arial" w:hAnsi="Arial" w:cs="Arial"/>
                <w:bCs/>
                <w:sz w:val="22"/>
                <w:szCs w:val="22"/>
              </w:rPr>
            </w:pPr>
            <w:r w:rsidRPr="00230F35" w:rsidR="00D67BF8">
              <w:rPr>
                <w:rFonts w:ascii="Arial" w:hAnsi="Arial" w:cs="Arial"/>
                <w:bCs/>
                <w:sz w:val="22"/>
                <w:szCs w:val="22"/>
              </w:rPr>
              <w:t>Marker’s Signature</w:t>
            </w:r>
            <w:r>
              <w:rPr>
                <w:rFonts w:ascii="Arial" w:hAnsi="Arial" w:cs="Arial"/>
                <w:bCs/>
                <w:sz w:val="22"/>
                <w:szCs w:val="22"/>
              </w:rPr>
              <w:t>:</w:t>
            </w:r>
          </w:p>
        </w:tc>
        <w:tc>
          <w:tcPr>
            <w:tcW w:w="3645" w:type="dxa"/>
            <w:gridSpan w:val="3"/>
          </w:tcPr>
          <w:p w:rsidR="00D67BF8" w:rsidRPr="00230F35"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Tr="009C1A08">
        <w:tblPrEx>
          <w:tblW w:w="0" w:type="auto"/>
          <w:tblLook w:val="04A0"/>
        </w:tblPrEx>
        <w:trPr>
          <w:trHeight w:val="720"/>
        </w:trPr>
        <w:tc>
          <w:tcPr>
            <w:tcW w:w="8856" w:type="dxa"/>
            <w:gridSpan w:val="5"/>
          </w:tcPr>
          <w:p w:rsidR="00230F35" w:rsidRPr="00B34964" w:rsidP="00230F35">
            <w:pPr>
              <w:rPr>
                <w:rFonts w:ascii="Arial" w:hAnsi="Arial" w:cs="Arial"/>
                <w:b/>
                <w:sz w:val="22"/>
                <w:szCs w:val="22"/>
              </w:rPr>
            </w:pPr>
            <w:r w:rsidRPr="00B34964">
              <w:rPr>
                <w:rFonts w:ascii="Arial" w:hAnsi="Arial" w:cs="Arial"/>
                <w:b/>
                <w:sz w:val="22"/>
                <w:szCs w:val="22"/>
              </w:rPr>
              <w:t>External Examiner’s comments (if relevant)</w:t>
            </w:r>
          </w:p>
          <w:p w:rsidR="00230F35" w:rsidRPr="00230F35" w:rsidP="002F467C">
            <w:pPr>
              <w:pStyle w:val="NormalWeb"/>
              <w:spacing w:before="0" w:beforeAutospacing="0" w:after="0" w:afterAutospacing="0"/>
              <w:ind w:right="-334"/>
              <w:rPr>
                <w:rFonts w:ascii="Arial" w:hAnsi="Arial" w:cs="Arial"/>
                <w:bCs/>
                <w:sz w:val="22"/>
                <w:szCs w:val="22"/>
              </w:rPr>
            </w:pPr>
          </w:p>
          <w:p w:rsidR="00230F35" w:rsidRPr="00230F35" w:rsidP="002F467C">
            <w:pPr>
              <w:pStyle w:val="NormalWeb"/>
              <w:spacing w:before="0" w:beforeAutospacing="0" w:after="0" w:afterAutospacing="0"/>
              <w:ind w:right="-334"/>
              <w:rPr>
                <w:rFonts w:ascii="Arial" w:hAnsi="Arial" w:cs="Arial"/>
                <w:bCs/>
                <w:sz w:val="22"/>
                <w:szCs w:val="22"/>
              </w:rPr>
            </w:pPr>
          </w:p>
          <w:p w:rsidR="00230F35" w:rsidRPr="00230F35" w:rsidP="002F467C">
            <w:pPr>
              <w:pStyle w:val="NormalWeb"/>
              <w:spacing w:before="0" w:beforeAutospacing="0" w:after="0" w:afterAutospacing="0"/>
              <w:ind w:right="-334"/>
              <w:rPr>
                <w:rFonts w:ascii="Arial" w:hAnsi="Arial" w:cs="Arial"/>
                <w:bCs/>
                <w:sz w:val="22"/>
                <w:szCs w:val="22"/>
              </w:rPr>
            </w:pPr>
          </w:p>
          <w:p w:rsidR="00230F35" w:rsidRPr="00230F35" w:rsidP="002F467C">
            <w:pPr>
              <w:pStyle w:val="NormalWeb"/>
              <w:spacing w:before="0" w:beforeAutospacing="0" w:after="0" w:afterAutospacing="0"/>
              <w:ind w:right="-334"/>
              <w:rPr>
                <w:rFonts w:ascii="Arial" w:hAnsi="Arial" w:cs="Arial"/>
                <w:bCs/>
                <w:sz w:val="22"/>
                <w:szCs w:val="22"/>
              </w:rPr>
            </w:pPr>
          </w:p>
          <w:p w:rsidR="00230F35" w:rsidRPr="00230F35" w:rsidP="002F467C">
            <w:pPr>
              <w:pStyle w:val="NormalWeb"/>
              <w:spacing w:before="0" w:beforeAutospacing="0" w:after="0" w:afterAutospacing="0"/>
              <w:ind w:right="-334"/>
              <w:rPr>
                <w:rFonts w:ascii="Arial" w:hAnsi="Arial" w:cs="Arial"/>
                <w:bCs/>
                <w:sz w:val="22"/>
                <w:szCs w:val="22"/>
              </w:rPr>
            </w:pPr>
          </w:p>
          <w:p w:rsidR="00230F35" w:rsidRPr="00230F35" w:rsidP="002F467C">
            <w:pPr>
              <w:pStyle w:val="NormalWeb"/>
              <w:spacing w:before="0" w:beforeAutospacing="0" w:after="0" w:afterAutospacing="0"/>
              <w:ind w:right="-334"/>
              <w:rPr>
                <w:rFonts w:ascii="Arial" w:hAnsi="Arial" w:cs="Arial"/>
                <w:bCs/>
                <w:sz w:val="22"/>
                <w:szCs w:val="22"/>
              </w:rPr>
            </w:pPr>
          </w:p>
          <w:p w:rsidR="00230F35" w:rsidRPr="00230F35" w:rsidP="002F467C">
            <w:pPr>
              <w:pStyle w:val="NormalWeb"/>
              <w:spacing w:before="0" w:beforeAutospacing="0" w:after="0" w:afterAutospacing="0"/>
              <w:ind w:right="-334"/>
              <w:rPr>
                <w:rFonts w:ascii="Arial" w:hAnsi="Arial" w:cs="Arial"/>
                <w:bCs/>
                <w:sz w:val="22"/>
                <w:szCs w:val="22"/>
              </w:rPr>
            </w:pPr>
          </w:p>
          <w:p w:rsidR="00230F35" w:rsidRPr="00230F35" w:rsidP="002F467C">
            <w:pPr>
              <w:pStyle w:val="NormalWeb"/>
              <w:spacing w:before="0" w:beforeAutospacing="0" w:after="0" w:afterAutospacing="0"/>
              <w:ind w:right="-334"/>
              <w:rPr>
                <w:rFonts w:ascii="Arial" w:hAnsi="Arial" w:cs="Arial"/>
                <w:bCs/>
                <w:sz w:val="22"/>
                <w:szCs w:val="22"/>
              </w:rPr>
            </w:pPr>
          </w:p>
          <w:p w:rsidR="00230F35" w:rsidP="002F467C">
            <w:pPr>
              <w:pStyle w:val="NormalWeb"/>
              <w:spacing w:before="0" w:beforeAutospacing="0" w:after="0" w:afterAutospacing="0"/>
              <w:ind w:right="-334"/>
              <w:rPr>
                <w:rFonts w:ascii="Arial" w:hAnsi="Arial" w:cs="Arial"/>
                <w:bCs/>
                <w:sz w:val="22"/>
                <w:szCs w:val="22"/>
              </w:rPr>
            </w:pPr>
          </w:p>
          <w:p w:rsidR="00B56E7B" w:rsidRPr="00230F35" w:rsidP="002F467C">
            <w:pPr>
              <w:pStyle w:val="NormalWeb"/>
              <w:spacing w:before="0" w:beforeAutospacing="0" w:after="0" w:afterAutospacing="0"/>
              <w:ind w:right="-334"/>
              <w:rPr>
                <w:rFonts w:ascii="Arial" w:hAnsi="Arial" w:cs="Arial"/>
                <w:bCs/>
                <w:sz w:val="22"/>
                <w:szCs w:val="22"/>
              </w:rPr>
            </w:pPr>
          </w:p>
          <w:p w:rsidR="00230F35" w:rsidRPr="00230F35" w:rsidP="002F467C">
            <w:pPr>
              <w:pStyle w:val="NormalWeb"/>
              <w:spacing w:before="0" w:beforeAutospacing="0" w:after="0" w:afterAutospacing="0"/>
              <w:ind w:right="-334"/>
              <w:rPr>
                <w:rFonts w:ascii="Arial" w:hAnsi="Arial" w:cs="Arial"/>
                <w:bCs/>
                <w:sz w:val="22"/>
                <w:szCs w:val="22"/>
              </w:rPr>
            </w:pPr>
          </w:p>
        </w:tc>
      </w:tr>
      <w:tr w:rsidTr="00230F35">
        <w:tblPrEx>
          <w:tblW w:w="0" w:type="auto"/>
          <w:tblLook w:val="04A0"/>
        </w:tblPrEx>
        <w:trPr>
          <w:trHeight w:val="720"/>
        </w:trPr>
        <w:tc>
          <w:tcPr>
            <w:tcW w:w="5211" w:type="dxa"/>
            <w:gridSpan w:val="2"/>
          </w:tcPr>
          <w:p w:rsidR="00230F35" w:rsidRPr="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230F35" w:rsidRPr="00230F35" w:rsidP="00230F35">
            <w:pPr>
              <w:rPr>
                <w:rFonts w:ascii="Arial" w:hAnsi="Arial" w:cs="Arial"/>
                <w:sz w:val="22"/>
                <w:szCs w:val="22"/>
              </w:rPr>
            </w:pPr>
            <w:r w:rsidRPr="00230F35">
              <w:rPr>
                <w:rFonts w:ascii="Arial" w:hAnsi="Arial" w:cs="Arial"/>
                <w:sz w:val="22"/>
                <w:szCs w:val="22"/>
              </w:rPr>
              <w:t>Date:</w:t>
            </w:r>
          </w:p>
        </w:tc>
      </w:tr>
    </w:tbl>
    <w:p w:rsidR="00EC7546" w:rsidRPr="00D67BF8" w:rsidP="00FA07E9">
      <w:pPr>
        <w:pStyle w:val="NormalWeb"/>
        <w:spacing w:before="0" w:beforeAutospacing="0" w:after="0" w:afterAutospacing="0"/>
        <w:ind w:right="-334"/>
        <w:rPr>
          <w:rFonts w:ascii="Trebuchet MS" w:hAnsi="Trebuchet MS" w:cs="Tahoma"/>
          <w:bCs/>
          <w:sz w:val="24"/>
          <w:szCs w:val="24"/>
        </w:rPr>
        <w:sectPr w:rsidSect="00B462B1">
          <w:footerReference w:type="default" r:id="rId7"/>
          <w:pgSz w:w="12240" w:h="15840"/>
          <w:pgMar w:top="567" w:right="1797" w:bottom="567" w:left="1797" w:header="567" w:footer="720" w:gutter="0"/>
          <w:pgNumType w:start="1"/>
          <w:cols w:space="720"/>
        </w:sectPr>
      </w:pPr>
    </w:p>
    <w:p w:rsidR="00A05217" w:rsidRPr="00A05217" w:rsidP="004232B3">
      <w:pPr>
        <w:pStyle w:val="Heading1"/>
        <w:keepNext/>
        <w:keepLines/>
        <w:spacing w:before="360" w:after="80" w:line="278" w:lineRule="auto"/>
        <w:rPr>
          <w:rFonts w:ascii="Times New Roman" w:eastAsia="Times New Roman" w:hAnsi="Times New Roman" w:cs="Times New Roman"/>
          <w:b/>
          <w:bCs/>
          <w:color w:val="auto" w:themeShade="BF"/>
          <w:kern w:val="2"/>
          <w:sz w:val="40"/>
          <w:szCs w:val="40"/>
          <w:lang w:val="" w:eastAsia="" w:bidi="ar-SA"/>
        </w:rPr>
      </w:pPr>
      <w:r w:rsidRPr="00A05217">
        <w:rPr>
          <w:rFonts w:ascii="Times New Roman" w:eastAsia="Times New Roman" w:hAnsi="Times New Roman" w:cs="Times New Roman"/>
          <w:b/>
          <w:bCs/>
          <w:color w:val="auto" w:themeShade="BF"/>
          <w:kern w:val="2"/>
          <w:sz w:val="40"/>
          <w:szCs w:val="40"/>
          <w:lang w:val="" w:eastAsia="" w:bidi="ar-SA"/>
        </w:rPr>
        <w:t xml:space="preserve">A Critical Comparison of </w:t>
      </w:r>
      <w:r w:rsidR="003047C9">
        <w:rPr>
          <w:rFonts w:ascii="Times New Roman" w:eastAsia="Times New Roman" w:hAnsi="Times New Roman" w:cs="Times New Roman"/>
          <w:b/>
          <w:bCs/>
          <w:color w:val="auto" w:themeShade="BF"/>
          <w:kern w:val="2"/>
          <w:sz w:val="40"/>
          <w:szCs w:val="40"/>
          <w:lang w:val="" w:eastAsia="" w:bidi="ar-SA"/>
        </w:rPr>
        <w:t>T</w:t>
      </w:r>
      <w:r w:rsidRPr="00A05217">
        <w:rPr>
          <w:rFonts w:ascii="Times New Roman" w:eastAsia="Times New Roman" w:hAnsi="Times New Roman" w:cs="Times New Roman"/>
          <w:b/>
          <w:bCs/>
          <w:color w:val="auto" w:themeShade="BF"/>
          <w:kern w:val="2"/>
          <w:sz w:val="40"/>
          <w:szCs w:val="40"/>
          <w:lang w:val="" w:eastAsia="" w:bidi="ar-SA"/>
        </w:rPr>
        <w:t>wo Secondary Sources</w:t>
      </w:r>
    </w:p>
    <w:p w:rsidR="00E74491" w:rsidRPr="004232B3" w:rsidP="004232B3">
      <w:pPr>
        <w:pStyle w:val="Heading1"/>
        <w:keepNext/>
        <w:keepLines/>
        <w:spacing w:before="360" w:after="80" w:line="278" w:lineRule="auto"/>
        <w:rPr>
          <w:rFonts w:ascii="Times New Roman" w:eastAsia="Times New Roman" w:hAnsi="Times New Roman" w:cs="Times New Roman"/>
          <w:b w:val="0"/>
          <w:bCs w:val="0"/>
          <w:color w:val="auto" w:themeShade="BF"/>
          <w:kern w:val="2"/>
          <w:sz w:val="40"/>
          <w:szCs w:val="40"/>
          <w:lang w:val="" w:eastAsia="" w:bidi="ar-SA"/>
        </w:rPr>
      </w:pPr>
      <w:r w:rsidRPr="004232B3">
        <w:rPr>
          <w:rFonts w:ascii="Times New Roman" w:eastAsia="Times New Roman" w:hAnsi="Times New Roman" w:cs="Times New Roman"/>
          <w:b w:val="0"/>
          <w:bCs w:val="0"/>
          <w:color w:val="auto" w:themeShade="BF"/>
          <w:kern w:val="2"/>
          <w:sz w:val="40"/>
          <w:szCs w:val="40"/>
          <w:lang w:val="" w:eastAsia="" w:bidi="ar-SA"/>
        </w:rPr>
        <w:t>Introduction</w:t>
      </w:r>
    </w:p>
    <w:p w:rsidR="009A2B4B" w:rsidRPr="004232B3" w:rsidP="009A2B4B">
      <w:pPr>
        <w:spacing w:after="160" w:line="278" w:lineRule="auto"/>
        <w:rPr>
          <w:rFonts w:ascii="Times New Roman" w:eastAsia="Aptos" w:hAnsi="Times New Roman" w:cs="Times New Roman"/>
          <w:kern w:val="2"/>
          <w:sz w:val="24"/>
          <w:szCs w:val="24"/>
          <w:lang w:val="" w:eastAsia="" w:bidi="ar-SA"/>
        </w:rPr>
      </w:pPr>
      <w:r w:rsidRPr="004232B3">
        <w:rPr>
          <w:rFonts w:ascii="Times New Roman" w:eastAsia="Aptos" w:hAnsi="Times New Roman" w:cs="Times New Roman"/>
          <w:kern w:val="2"/>
          <w:sz w:val="24"/>
          <w:szCs w:val="24"/>
          <w:lang w:val="" w:eastAsia="" w:bidi="ar-SA"/>
        </w:rPr>
        <w:t xml:space="preserve">This paper presents a critical comparative analysis of two studies that explore belief in reincarnation within predominantly Christian contexts: T. L. Brink’s </w:t>
      </w:r>
      <w:r w:rsidRPr="004232B3" w:rsidR="000E1E8B">
        <w:rPr>
          <w:rFonts w:ascii="Times New Roman" w:eastAsia="Aptos" w:hAnsi="Times New Roman" w:cs="Times New Roman"/>
          <w:kern w:val="2"/>
          <w:sz w:val="24"/>
          <w:szCs w:val="24"/>
          <w:lang w:val="" w:eastAsia="" w:bidi="ar-SA"/>
        </w:rPr>
        <w:t>“</w:t>
      </w:r>
      <w:r w:rsidRPr="004232B3">
        <w:rPr>
          <w:rFonts w:ascii="Times New Roman" w:eastAsia="Aptos" w:hAnsi="Times New Roman" w:cs="Times New Roman"/>
          <w:kern w:val="2"/>
          <w:sz w:val="24"/>
          <w:szCs w:val="24"/>
          <w:lang w:val="" w:eastAsia="" w:bidi="ar-SA"/>
        </w:rPr>
        <w:t>Inconsistency of Belief among Roman Catholic Girls: Concerning Religion, Astrology, Reincarnation</w:t>
      </w:r>
      <w:r w:rsidRPr="004232B3" w:rsidR="000E1E8B">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2"/>
      </w:r>
      <w:r w:rsidRPr="004232B3">
        <w:rPr>
          <w:rFonts w:ascii="Times New Roman" w:eastAsia="Aptos" w:hAnsi="Times New Roman" w:cs="Times New Roman"/>
          <w:kern w:val="2"/>
          <w:sz w:val="24"/>
          <w:szCs w:val="24"/>
          <w:lang w:val="" w:eastAsia="" w:bidi="ar-SA"/>
        </w:rPr>
        <w:t xml:space="preserve"> and Walter and Waterhouse’s</w:t>
      </w:r>
      <w:r w:rsidRPr="004232B3" w:rsidR="000E1E8B">
        <w:rPr>
          <w:rFonts w:ascii="Times New Roman" w:eastAsia="Aptos" w:hAnsi="Times New Roman" w:cs="Times New Roman"/>
          <w:kern w:val="2"/>
          <w:sz w:val="24"/>
          <w:szCs w:val="24"/>
          <w:lang w:val="" w:eastAsia="" w:bidi="ar-SA"/>
        </w:rPr>
        <w:t xml:space="preserve"> “</w:t>
      </w:r>
      <w:r w:rsidRPr="004232B3">
        <w:rPr>
          <w:rFonts w:ascii="Times New Roman" w:eastAsia="Aptos" w:hAnsi="Times New Roman" w:cs="Times New Roman"/>
          <w:kern w:val="2"/>
          <w:sz w:val="24"/>
          <w:szCs w:val="24"/>
          <w:lang w:val="" w:eastAsia="" w:bidi="ar-SA"/>
        </w:rPr>
        <w:t>A Very Private Belief: Reincarnation in Contemporary England</w:t>
      </w:r>
      <w:r w:rsidRPr="004232B3" w:rsidR="004232B3">
        <w:rPr>
          <w:rFonts w:ascii="Times New Roman" w:eastAsia="Aptos" w:hAnsi="Times New Roman" w:cs="Times New Roman"/>
          <w:kern w:val="2"/>
          <w:sz w:val="24"/>
          <w:szCs w:val="24"/>
          <w:lang w:val="" w:eastAsia="" w:bidi="ar-SA"/>
        </w:rPr>
        <w:t>.</w:t>
      </w:r>
      <w:r w:rsidRPr="004232B3" w:rsidR="000E1E8B">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3"/>
      </w:r>
      <w:r w:rsidRPr="004232B3" w:rsidR="000E1E8B">
        <w:rPr>
          <w:rFonts w:ascii="Times New Roman" w:eastAsia="Aptos" w:hAnsi="Times New Roman" w:cs="Times New Roman"/>
          <w:kern w:val="2"/>
          <w:sz w:val="24"/>
          <w:szCs w:val="24"/>
          <w:lang w:val="" w:eastAsia="" w:bidi="ar-SA"/>
        </w:rPr>
        <w:t xml:space="preserve"> </w:t>
      </w:r>
      <w:r w:rsidRPr="004232B3">
        <w:rPr>
          <w:rFonts w:ascii="Times New Roman" w:eastAsia="Aptos" w:hAnsi="Times New Roman" w:cs="Times New Roman"/>
          <w:kern w:val="2"/>
          <w:sz w:val="24"/>
          <w:szCs w:val="24"/>
          <w:lang w:val="" w:eastAsia="" w:bidi="ar-SA"/>
        </w:rPr>
        <w:t>Although both</w:t>
      </w:r>
      <w:r w:rsidRPr="004232B3" w:rsidR="004232B3">
        <w:rPr>
          <w:rFonts w:ascii="Times New Roman" w:eastAsia="Aptos" w:hAnsi="Times New Roman" w:cs="Times New Roman"/>
          <w:kern w:val="2"/>
          <w:sz w:val="24"/>
          <w:szCs w:val="24"/>
          <w:lang w:val="" w:eastAsia="" w:bidi="ar-SA"/>
        </w:rPr>
        <w:t xml:space="preserve"> texts</w:t>
      </w:r>
      <w:r w:rsidRPr="004232B3">
        <w:rPr>
          <w:rFonts w:ascii="Times New Roman" w:eastAsia="Aptos" w:hAnsi="Times New Roman" w:cs="Times New Roman"/>
          <w:kern w:val="2"/>
          <w:sz w:val="24"/>
          <w:szCs w:val="24"/>
          <w:lang w:val="" w:eastAsia="" w:bidi="ar-SA"/>
        </w:rPr>
        <w:t xml:space="preserve"> </w:t>
      </w:r>
      <w:r w:rsidRPr="004232B3" w:rsidR="000E1E8B">
        <w:rPr>
          <w:rFonts w:ascii="Times New Roman" w:eastAsia="Aptos" w:hAnsi="Times New Roman" w:cs="Times New Roman"/>
          <w:kern w:val="2"/>
          <w:sz w:val="24"/>
          <w:szCs w:val="24"/>
          <w:lang w:val="" w:eastAsia="" w:bidi="ar-SA"/>
        </w:rPr>
        <w:t>explore</w:t>
      </w:r>
      <w:r w:rsidRPr="004232B3">
        <w:rPr>
          <w:rFonts w:ascii="Times New Roman" w:eastAsia="Aptos" w:hAnsi="Times New Roman" w:cs="Times New Roman"/>
          <w:kern w:val="2"/>
          <w:sz w:val="24"/>
          <w:szCs w:val="24"/>
          <w:lang w:val="" w:eastAsia="" w:bidi="ar-SA"/>
        </w:rPr>
        <w:t xml:space="preserve"> the coexistence of reincarnation belief within Christian-identified populations, they do so through </w:t>
      </w:r>
      <w:r w:rsidRPr="004232B3" w:rsidR="000E1E8B">
        <w:rPr>
          <w:rFonts w:ascii="Times New Roman" w:eastAsia="Aptos" w:hAnsi="Times New Roman" w:cs="Times New Roman"/>
          <w:kern w:val="2"/>
          <w:sz w:val="24"/>
          <w:szCs w:val="24"/>
          <w:lang w:val="" w:eastAsia="" w:bidi="ar-SA"/>
        </w:rPr>
        <w:t xml:space="preserve">individual </w:t>
      </w:r>
      <w:r w:rsidRPr="004232B3">
        <w:rPr>
          <w:rFonts w:ascii="Times New Roman" w:eastAsia="Aptos" w:hAnsi="Times New Roman" w:cs="Times New Roman"/>
          <w:kern w:val="2"/>
          <w:sz w:val="24"/>
          <w:szCs w:val="24"/>
          <w:lang w:val="" w:eastAsia="" w:bidi="ar-SA"/>
        </w:rPr>
        <w:t>methodological designs and with differing interpretative orientations. These differences give rise to contrasting conclusions, not only about the nature of the belief itself but also about how it ought to be understood and situated within broader patterns of religiosity.</w:t>
      </w:r>
    </w:p>
    <w:p w:rsidR="00ED3B26" w:rsidRPr="004232B3" w:rsidP="00ED3B26">
      <w:pPr>
        <w:spacing w:after="160" w:line="278" w:lineRule="auto"/>
        <w:rPr>
          <w:rFonts w:ascii="Times New Roman" w:eastAsia="Aptos" w:hAnsi="Times New Roman" w:cs="Times New Roman"/>
          <w:kern w:val="2"/>
          <w:sz w:val="24"/>
          <w:szCs w:val="24"/>
          <w:lang w:val="" w:eastAsia="" w:bidi="ar-SA"/>
        </w:rPr>
      </w:pPr>
      <w:r w:rsidRPr="004232B3">
        <w:rPr>
          <w:rFonts w:ascii="Times New Roman" w:eastAsia="Aptos" w:hAnsi="Times New Roman" w:cs="Times New Roman"/>
          <w:kern w:val="2"/>
          <w:sz w:val="24"/>
          <w:szCs w:val="24"/>
          <w:lang w:val="" w:eastAsia="" w:bidi="ar-SA"/>
        </w:rPr>
        <w:t>In what follows, th</w:t>
      </w:r>
      <w:r w:rsidRPr="004232B3" w:rsidR="00EB3CAA">
        <w:rPr>
          <w:rFonts w:ascii="Times New Roman" w:eastAsia="Aptos" w:hAnsi="Times New Roman" w:cs="Times New Roman"/>
          <w:kern w:val="2"/>
          <w:sz w:val="24"/>
          <w:szCs w:val="24"/>
          <w:lang w:val="" w:eastAsia="" w:bidi="ar-SA"/>
        </w:rPr>
        <w:t>is</w:t>
      </w:r>
      <w:r w:rsidRPr="004232B3">
        <w:rPr>
          <w:rFonts w:ascii="Times New Roman" w:eastAsia="Aptos" w:hAnsi="Times New Roman" w:cs="Times New Roman"/>
          <w:kern w:val="2"/>
          <w:sz w:val="24"/>
          <w:szCs w:val="24"/>
          <w:lang w:val="" w:eastAsia="" w:bidi="ar-SA"/>
        </w:rPr>
        <w:t xml:space="preserve"> paper </w:t>
      </w:r>
      <w:r w:rsidRPr="004232B3" w:rsidR="002006DE">
        <w:rPr>
          <w:rFonts w:ascii="Times New Roman" w:eastAsia="Aptos" w:hAnsi="Times New Roman" w:cs="Times New Roman"/>
          <w:kern w:val="2"/>
          <w:sz w:val="24"/>
          <w:szCs w:val="24"/>
          <w:lang w:val="" w:eastAsia="" w:bidi="ar-SA"/>
        </w:rPr>
        <w:t xml:space="preserve">seeks to </w:t>
      </w:r>
      <w:r w:rsidRPr="004232B3">
        <w:rPr>
          <w:rFonts w:ascii="Times New Roman" w:eastAsia="Aptos" w:hAnsi="Times New Roman" w:cs="Times New Roman"/>
          <w:kern w:val="2"/>
          <w:sz w:val="24"/>
          <w:szCs w:val="24"/>
          <w:lang w:val="" w:eastAsia="" w:bidi="ar-SA"/>
        </w:rPr>
        <w:t xml:space="preserve">undertake a structured comparison across three key </w:t>
      </w:r>
      <w:r w:rsidRPr="004232B3" w:rsidR="004232B3">
        <w:rPr>
          <w:rFonts w:ascii="Times New Roman" w:eastAsia="Aptos" w:hAnsi="Times New Roman" w:cs="Times New Roman"/>
          <w:kern w:val="2"/>
          <w:sz w:val="24"/>
          <w:szCs w:val="24"/>
          <w:lang w:val="" w:eastAsia="" w:bidi="ar-SA"/>
        </w:rPr>
        <w:t>vectors</w:t>
      </w:r>
      <w:r w:rsidRPr="004232B3">
        <w:rPr>
          <w:rFonts w:ascii="Times New Roman" w:eastAsia="Aptos" w:hAnsi="Times New Roman" w:cs="Times New Roman"/>
          <w:kern w:val="2"/>
          <w:sz w:val="24"/>
          <w:szCs w:val="24"/>
          <w:lang w:val="" w:eastAsia="" w:bidi="ar-SA"/>
        </w:rPr>
        <w:t xml:space="preserve">. First, it examines how methodological design shapes the nature and scope of the data collected, as well as the types of interpretation that become possible. Second, it explores how researcher reflexivity and positionality inform access to participants, the framing of questions, and the epistemological stance taken towards belief contradiction. Third, it considers the theoretical consequences of these methodological and reflexive choices, </w:t>
      </w:r>
      <w:r w:rsidRPr="004232B3">
        <w:rPr>
          <w:rFonts w:ascii="Times New Roman" w:eastAsia="Aptos" w:hAnsi="Times New Roman" w:cs="Times New Roman"/>
          <w:kern w:val="2"/>
          <w:sz w:val="24"/>
          <w:szCs w:val="24"/>
          <w:lang w:val="" w:eastAsia="" w:bidi="ar-SA"/>
        </w:rPr>
        <w:t>while being careful not to impose theoretical labels that the authors themselves do not claim.</w:t>
      </w:r>
    </w:p>
    <w:p w:rsidR="00881898" w:rsidRPr="00E52A3C" w:rsidP="00E52A3C">
      <w:pPr>
        <w:pStyle w:val="Heading1"/>
        <w:keepNext/>
        <w:keepLines/>
        <w:spacing w:before="360" w:after="80" w:line="278" w:lineRule="auto"/>
        <w:rPr>
          <w:rFonts w:ascii="Times New Roman" w:eastAsia="Times New Roman" w:hAnsi="Times New Roman" w:cs="Times New Roman"/>
          <w:b w:val="0"/>
          <w:bCs w:val="0"/>
          <w:color w:val="auto" w:themeShade="BF"/>
          <w:kern w:val="2"/>
          <w:sz w:val="40"/>
          <w:szCs w:val="40"/>
          <w:lang w:val="" w:eastAsia="" w:bidi="ar-SA"/>
        </w:rPr>
      </w:pPr>
      <w:r w:rsidRPr="00E52A3C">
        <w:rPr>
          <w:rFonts w:ascii="Times New Roman" w:eastAsia="Times New Roman" w:hAnsi="Times New Roman" w:cs="Times New Roman"/>
          <w:b w:val="0"/>
          <w:bCs w:val="0"/>
          <w:color w:val="auto" w:themeShade="BF"/>
          <w:kern w:val="2"/>
          <w:sz w:val="40"/>
          <w:szCs w:val="40"/>
          <w:lang w:val="" w:eastAsia="" w:bidi="ar-SA"/>
        </w:rPr>
        <w:t>Contextualizing the Studies</w:t>
      </w:r>
    </w:p>
    <w:p w:rsidR="000D06BB" w:rsidRPr="00E52A3C" w:rsidP="00954B2D">
      <w:pPr>
        <w:spacing w:after="160" w:line="278" w:lineRule="auto"/>
        <w:rPr>
          <w:rFonts w:ascii="Times New Roman" w:eastAsia="Aptos" w:hAnsi="Times New Roman" w:cs="Times New Roman"/>
          <w:kern w:val="2"/>
          <w:sz w:val="24"/>
          <w:szCs w:val="24"/>
          <w:lang w:val="" w:eastAsia="" w:bidi="ar-SA"/>
        </w:rPr>
      </w:pPr>
      <w:r w:rsidRPr="00E52A3C">
        <w:rPr>
          <w:rFonts w:ascii="Times New Roman" w:eastAsia="Aptos" w:hAnsi="Times New Roman" w:cs="Times New Roman"/>
          <w:kern w:val="2"/>
          <w:sz w:val="24"/>
          <w:szCs w:val="24"/>
          <w:lang w:val="" w:eastAsia="" w:bidi="ar-SA"/>
        </w:rPr>
        <w:t xml:space="preserve">The differences in Brink’s and Walter and Waterhouse’s approaches are </w:t>
      </w:r>
      <w:r w:rsidRPr="00E52A3C" w:rsidR="00ED3B26">
        <w:rPr>
          <w:rFonts w:ascii="Times New Roman" w:eastAsia="Aptos" w:hAnsi="Times New Roman" w:cs="Times New Roman"/>
          <w:kern w:val="2"/>
          <w:sz w:val="24"/>
          <w:szCs w:val="24"/>
          <w:lang w:val="" w:eastAsia="" w:bidi="ar-SA"/>
        </w:rPr>
        <w:t>produced within</w:t>
      </w:r>
      <w:r w:rsidRPr="00E52A3C">
        <w:rPr>
          <w:rFonts w:ascii="Times New Roman" w:eastAsia="Aptos" w:hAnsi="Times New Roman" w:cs="Times New Roman"/>
          <w:kern w:val="2"/>
          <w:sz w:val="24"/>
          <w:szCs w:val="24"/>
          <w:lang w:val="" w:eastAsia="" w:bidi="ar-SA"/>
        </w:rPr>
        <w:t xml:space="preserve"> the research climates of their respective periods. </w:t>
      </w:r>
      <w:r w:rsidRPr="00E52A3C" w:rsidR="0029314E">
        <w:rPr>
          <w:rFonts w:ascii="Times New Roman" w:eastAsia="Aptos" w:hAnsi="Times New Roman" w:cs="Times New Roman"/>
          <w:kern w:val="2"/>
          <w:sz w:val="24"/>
          <w:szCs w:val="24"/>
          <w:lang w:val="" w:eastAsia="" w:bidi="ar-SA"/>
        </w:rPr>
        <w:t xml:space="preserve">Brink’s study </w:t>
      </w:r>
      <w:r w:rsidRPr="00E52A3C" w:rsidR="004232B3">
        <w:rPr>
          <w:rFonts w:ascii="Times New Roman" w:eastAsia="Aptos" w:hAnsi="Times New Roman" w:cs="Times New Roman"/>
          <w:kern w:val="2"/>
          <w:sz w:val="24"/>
          <w:szCs w:val="24"/>
          <w:lang w:val="" w:eastAsia="" w:bidi="ar-SA"/>
        </w:rPr>
        <w:t xml:space="preserve">as he makes mention of, </w:t>
      </w:r>
      <w:r w:rsidRPr="00E52A3C" w:rsidR="0029314E">
        <w:rPr>
          <w:rFonts w:ascii="Times New Roman" w:eastAsia="Aptos" w:hAnsi="Times New Roman" w:cs="Times New Roman"/>
          <w:kern w:val="2"/>
          <w:sz w:val="24"/>
          <w:szCs w:val="24"/>
          <w:lang w:val="" w:eastAsia="" w:bidi="ar-SA"/>
        </w:rPr>
        <w:t xml:space="preserve">reflects a 1970s </w:t>
      </w:r>
      <w:r w:rsidRPr="00E52A3C" w:rsidR="00ED3B26">
        <w:rPr>
          <w:rFonts w:ascii="Times New Roman" w:eastAsia="Aptos" w:hAnsi="Times New Roman" w:cs="Times New Roman"/>
          <w:kern w:val="2"/>
          <w:sz w:val="24"/>
          <w:szCs w:val="24"/>
          <w:lang w:val="" w:eastAsia="" w:bidi="ar-SA"/>
        </w:rPr>
        <w:t>study</w:t>
      </w:r>
      <w:r w:rsidRPr="00E52A3C" w:rsidR="0029314E">
        <w:rPr>
          <w:rFonts w:ascii="Times New Roman" w:eastAsia="Aptos" w:hAnsi="Times New Roman" w:cs="Times New Roman"/>
          <w:kern w:val="2"/>
          <w:sz w:val="24"/>
          <w:szCs w:val="24"/>
          <w:lang w:val="" w:eastAsia="" w:bidi="ar-SA"/>
        </w:rPr>
        <w:t xml:space="preserve"> of religion still committed to measuring belief against institutional norms.</w:t>
      </w:r>
      <w:r>
        <w:rPr>
          <w:rFonts w:ascii="Times New Roman" w:eastAsia="Aptos" w:hAnsi="Times New Roman" w:cs="Times New Roman"/>
          <w:kern w:val="2"/>
          <w:sz w:val="24"/>
          <w:szCs w:val="24"/>
          <w:vertAlign w:val="superscript"/>
          <w:lang w:val="" w:eastAsia="" w:bidi="ar-SA"/>
        </w:rPr>
        <w:footnoteReference w:id="4"/>
      </w:r>
      <w:r w:rsidRPr="00E52A3C" w:rsidR="0029314E">
        <w:rPr>
          <w:rFonts w:ascii="Times New Roman" w:eastAsia="Aptos" w:hAnsi="Times New Roman" w:cs="Times New Roman"/>
          <w:kern w:val="2"/>
          <w:sz w:val="24"/>
          <w:szCs w:val="24"/>
          <w:lang w:val="" w:eastAsia="" w:bidi="ar-SA"/>
        </w:rPr>
        <w:t xml:space="preserve"> This was a period marked by the aftershocks of the 1960s countercultural movements, growing anxiety over moral decline, and the continued influence of the secularisation thesis. Bryan Wilson’s </w:t>
      </w:r>
      <w:r w:rsidRPr="00E52A3C" w:rsidR="00CB2056">
        <w:rPr>
          <w:rFonts w:ascii="Times New Roman" w:eastAsia="Aptos" w:hAnsi="Times New Roman" w:cs="Times New Roman"/>
          <w:kern w:val="2"/>
          <w:sz w:val="24"/>
          <w:szCs w:val="24"/>
          <w:lang w:val="" w:eastAsia="" w:bidi="ar-SA"/>
        </w:rPr>
        <w:t>“</w:t>
      </w:r>
      <w:r w:rsidRPr="00E52A3C" w:rsidR="0029314E">
        <w:rPr>
          <w:rFonts w:ascii="Times New Roman" w:eastAsia="Aptos" w:hAnsi="Times New Roman" w:cs="Times New Roman"/>
          <w:kern w:val="2"/>
          <w:sz w:val="24"/>
          <w:szCs w:val="24"/>
          <w:lang w:val="" w:eastAsia="" w:bidi="ar-SA"/>
        </w:rPr>
        <w:t>Religion in Secular Society</w:t>
      </w:r>
      <w:r w:rsidRPr="00E52A3C" w:rsidR="00CB2056">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5"/>
      </w:r>
      <w:r w:rsidRPr="00E52A3C" w:rsidR="00CB2056">
        <w:rPr>
          <w:rFonts w:ascii="Times New Roman" w:eastAsia="Aptos" w:hAnsi="Times New Roman" w:cs="Times New Roman"/>
          <w:kern w:val="2"/>
          <w:sz w:val="24"/>
          <w:szCs w:val="24"/>
          <w:lang w:val="" w:eastAsia="" w:bidi="ar-SA"/>
        </w:rPr>
        <w:t xml:space="preserve"> </w:t>
      </w:r>
      <w:r w:rsidRPr="00E52A3C" w:rsidR="0029314E">
        <w:rPr>
          <w:rFonts w:ascii="Times New Roman" w:eastAsia="Aptos" w:hAnsi="Times New Roman" w:cs="Times New Roman"/>
          <w:kern w:val="2"/>
          <w:sz w:val="24"/>
          <w:szCs w:val="24"/>
          <w:lang w:val="" w:eastAsia="" w:bidi="ar-SA"/>
        </w:rPr>
        <w:t>was especially influential within British sociology of religion, where his argument—that modernisation leads to the decline of religious authority—shaped both academic frameworks and policy thinking.</w:t>
      </w:r>
      <w:r>
        <w:rPr>
          <w:rFonts w:ascii="Times New Roman" w:eastAsia="Aptos" w:hAnsi="Times New Roman" w:cs="Times New Roman"/>
          <w:kern w:val="2"/>
          <w:sz w:val="24"/>
          <w:szCs w:val="24"/>
          <w:vertAlign w:val="superscript"/>
          <w:lang w:val="" w:eastAsia="" w:bidi="ar-SA"/>
        </w:rPr>
        <w:footnoteReference w:id="6"/>
      </w:r>
      <w:r w:rsidRPr="00E52A3C" w:rsidR="0029314E">
        <w:rPr>
          <w:rFonts w:ascii="Times New Roman" w:eastAsia="Aptos" w:hAnsi="Times New Roman" w:cs="Times New Roman"/>
          <w:kern w:val="2"/>
          <w:sz w:val="24"/>
          <w:szCs w:val="24"/>
          <w:lang w:val="" w:eastAsia="" w:bidi="ar-SA"/>
        </w:rPr>
        <w:t xml:space="preserve">. </w:t>
      </w:r>
      <w:r w:rsidRPr="00E52A3C" w:rsidR="00B11AB3">
        <w:rPr>
          <w:rFonts w:ascii="Times New Roman" w:eastAsia="Aptos" w:hAnsi="Times New Roman" w:cs="Times New Roman"/>
          <w:kern w:val="2"/>
          <w:sz w:val="24"/>
          <w:szCs w:val="24"/>
          <w:lang w:val="" w:eastAsia="" w:bidi="ar-SA"/>
        </w:rPr>
        <w:t>In addition to this, w</w:t>
      </w:r>
      <w:r w:rsidRPr="00E52A3C">
        <w:rPr>
          <w:rFonts w:ascii="Times New Roman" w:eastAsia="Aptos" w:hAnsi="Times New Roman" w:cs="Times New Roman"/>
          <w:kern w:val="2"/>
          <w:sz w:val="24"/>
          <w:szCs w:val="24"/>
          <w:lang w:val="" w:eastAsia="" w:bidi="ar-SA"/>
        </w:rPr>
        <w:t xml:space="preserve">hile Brink does not cite Festinger, his approach is broadly consistent with the logic of </w:t>
      </w:r>
      <w:r w:rsidRPr="00E52A3C" w:rsidR="0029314E">
        <w:rPr>
          <w:rFonts w:ascii="Times New Roman" w:eastAsia="Aptos" w:hAnsi="Times New Roman" w:cs="Times New Roman"/>
          <w:kern w:val="2"/>
          <w:sz w:val="24"/>
          <w:szCs w:val="24"/>
          <w:lang w:val="" w:eastAsia="" w:bidi="ar-SA"/>
        </w:rPr>
        <w:t xml:space="preserve">Leon Festinger’s theory of cognitive dissonance, developed in </w:t>
      </w:r>
      <w:r w:rsidRPr="00E52A3C">
        <w:rPr>
          <w:rFonts w:ascii="Times New Roman" w:eastAsia="Aptos" w:hAnsi="Times New Roman" w:cs="Times New Roman"/>
          <w:kern w:val="2"/>
          <w:sz w:val="24"/>
          <w:szCs w:val="24"/>
          <w:lang w:val="" w:eastAsia="" w:bidi="ar-SA"/>
        </w:rPr>
        <w:t>“</w:t>
      </w:r>
      <w:r w:rsidRPr="00E52A3C" w:rsidR="0029314E">
        <w:rPr>
          <w:rFonts w:ascii="Times New Roman" w:eastAsia="Aptos" w:hAnsi="Times New Roman" w:cs="Times New Roman"/>
          <w:kern w:val="2"/>
          <w:sz w:val="24"/>
          <w:szCs w:val="24"/>
          <w:lang w:val="" w:eastAsia="" w:bidi="ar-SA"/>
        </w:rPr>
        <w:t>A Theory of Cognitive Dissonance</w:t>
      </w:r>
      <w:r w:rsidRPr="00E52A3C" w:rsidR="00B11AB3">
        <w:rPr>
          <w:rFonts w:ascii="Times New Roman" w:eastAsia="Aptos" w:hAnsi="Times New Roman" w:cs="Times New Roman"/>
          <w:kern w:val="2"/>
          <w:sz w:val="24"/>
          <w:szCs w:val="24"/>
          <w:lang w:val="" w:eastAsia="" w:bidi="ar-SA"/>
        </w:rPr>
        <w:t>,</w:t>
      </w:r>
      <w:r w:rsidRPr="00E52A3C">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7"/>
      </w:r>
      <w:r w:rsidRPr="00E52A3C" w:rsidR="0029314E">
        <w:rPr>
          <w:rFonts w:ascii="Times New Roman" w:eastAsia="Aptos" w:hAnsi="Times New Roman" w:cs="Times New Roman"/>
          <w:kern w:val="2"/>
          <w:sz w:val="24"/>
          <w:szCs w:val="24"/>
          <w:lang w:val="" w:eastAsia="" w:bidi="ar-SA"/>
        </w:rPr>
        <w:t xml:space="preserve"> which posits </w:t>
      </w:r>
      <w:r w:rsidRPr="00E52A3C" w:rsidR="0029314E">
        <w:rPr>
          <w:rFonts w:ascii="Times New Roman" w:eastAsia="Aptos" w:hAnsi="Times New Roman" w:cs="Times New Roman"/>
          <w:kern w:val="2"/>
          <w:sz w:val="24"/>
          <w:szCs w:val="24"/>
          <w:lang w:val="" w:eastAsia="" w:bidi="ar-SA"/>
        </w:rPr>
        <w:t>that individuals experience psychological discomfort when holding conflicting beliefs, and are thus motivated to resolve or rationalise the inconsistency</w:t>
      </w:r>
      <w:r w:rsidRPr="00E52A3C" w:rsidR="00B11AB3">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8"/>
      </w:r>
      <w:r w:rsidRPr="00E52A3C" w:rsidR="00B11AB3">
        <w:rPr>
          <w:rFonts w:ascii="Times New Roman" w:eastAsia="Aptos" w:hAnsi="Times New Roman" w:cs="Times New Roman"/>
          <w:kern w:val="2"/>
          <w:sz w:val="24"/>
          <w:szCs w:val="24"/>
          <w:lang w:val="" w:eastAsia="" w:bidi="ar-SA"/>
        </w:rPr>
        <w:t xml:space="preserve"> </w:t>
      </w:r>
      <w:r w:rsidRPr="00E52A3C" w:rsidR="0029314E">
        <w:rPr>
          <w:rFonts w:ascii="Times New Roman" w:eastAsia="Aptos" w:hAnsi="Times New Roman" w:cs="Times New Roman"/>
          <w:kern w:val="2"/>
          <w:sz w:val="24"/>
          <w:szCs w:val="24"/>
          <w:lang w:val="" w:eastAsia="" w:bidi="ar-SA"/>
        </w:rPr>
        <w:t xml:space="preserve">This </w:t>
      </w:r>
      <w:r w:rsidRPr="00E52A3C">
        <w:rPr>
          <w:rFonts w:ascii="Times New Roman" w:eastAsia="Aptos" w:hAnsi="Times New Roman" w:cs="Times New Roman"/>
          <w:kern w:val="2"/>
          <w:sz w:val="24"/>
          <w:szCs w:val="24"/>
          <w:lang w:val="" w:eastAsia="" w:bidi="ar-SA"/>
        </w:rPr>
        <w:t>understanding can be</w:t>
      </w:r>
      <w:r>
        <w:rPr>
          <w:rFonts w:ascii="Aptos" w:eastAsia="Aptos" w:hAnsi="Aptos" w:cstheme="minorBidi"/>
          <w:kern w:val="2"/>
          <w:sz w:val="24"/>
          <w:szCs w:val="24"/>
          <w:lang w:val="" w:eastAsia="" w:bidi="ar-SA"/>
        </w:rPr>
        <w:t xml:space="preserve"> </w:t>
      </w:r>
      <w:r w:rsidRPr="00E52A3C">
        <w:rPr>
          <w:rFonts w:ascii="Times New Roman" w:eastAsia="Aptos" w:hAnsi="Times New Roman" w:cs="Times New Roman"/>
          <w:kern w:val="2"/>
          <w:sz w:val="24"/>
          <w:szCs w:val="24"/>
          <w:lang w:val="" w:eastAsia="" w:bidi="ar-SA"/>
        </w:rPr>
        <w:t>heard in</w:t>
      </w:r>
      <w:r w:rsidRPr="00E52A3C" w:rsidR="0029314E">
        <w:rPr>
          <w:rFonts w:ascii="Times New Roman" w:eastAsia="Aptos" w:hAnsi="Times New Roman" w:cs="Times New Roman"/>
          <w:kern w:val="2"/>
          <w:sz w:val="24"/>
          <w:szCs w:val="24"/>
          <w:lang w:val="" w:eastAsia="" w:bidi="ar-SA"/>
        </w:rPr>
        <w:t xml:space="preserve"> Brink’s interpretation of survey responses in which Catholic girls affirm both belief in heaven and in reincarnation—two views traditionally understood as theologically incompatible. Rather than exploring how participants might personally reconcile these views, Brink treats the contradiction as a measurable inconsistency, symptomatic of a broader breakdown in doctrinal adherence. His use of survey data reflects this orientation, positioning belief inconsistency as a problem to be recorded and explained, rather than interpreted on its own terms.</w:t>
      </w:r>
      <w:r w:rsidRPr="00E52A3C">
        <w:rPr>
          <w:rFonts w:ascii="Times New Roman" w:eastAsia="Aptos" w:hAnsi="Times New Roman" w:cs="Times New Roman"/>
          <w:kern w:val="2"/>
          <w:sz w:val="24"/>
          <w:szCs w:val="24"/>
          <w:lang w:val="" w:eastAsia="" w:bidi="ar-SA"/>
        </w:rPr>
        <w:t xml:space="preserve"> </w:t>
      </w:r>
    </w:p>
    <w:p w:rsidR="0029314E" w:rsidRPr="00E52A3C" w:rsidP="00954B2D">
      <w:pPr>
        <w:spacing w:after="160" w:line="278" w:lineRule="auto"/>
        <w:rPr>
          <w:rFonts w:ascii="Times New Roman" w:eastAsia="Aptos" w:hAnsi="Times New Roman" w:cs="Times New Roman"/>
          <w:kern w:val="2"/>
          <w:sz w:val="24"/>
          <w:szCs w:val="24"/>
          <w:lang w:val="" w:eastAsia="" w:bidi="ar-SA"/>
        </w:rPr>
      </w:pPr>
      <w:r w:rsidRPr="00E52A3C">
        <w:rPr>
          <w:rFonts w:ascii="Times New Roman" w:eastAsia="Aptos" w:hAnsi="Times New Roman" w:cs="Times New Roman"/>
          <w:kern w:val="2"/>
          <w:sz w:val="24"/>
          <w:szCs w:val="24"/>
          <w:lang w:val="" w:eastAsia="" w:bidi="ar-SA"/>
        </w:rPr>
        <w:t xml:space="preserve">Two decades later, Walter and Waterhouse were working in a different intellectual and disciplinary landscape. The assumption that belief must be internally consistent had come under sustained critique, and attention had shifted toward the hybridity and reflexivity of lived religion. Rather than measuring belief against institutional norms, their open-ended interviews allowed participants to explain the logic of their views in their own terms. Their approach reflects a broader move toward studying religion as it is practiced, rather than as it is prescribed—a shift </w:t>
      </w:r>
      <w:r w:rsidRPr="00E52A3C" w:rsidR="000D06BB">
        <w:rPr>
          <w:rFonts w:ascii="Times New Roman" w:eastAsia="Aptos" w:hAnsi="Times New Roman" w:cs="Times New Roman"/>
          <w:kern w:val="2"/>
          <w:sz w:val="24"/>
          <w:szCs w:val="24"/>
          <w:lang w:val="" w:eastAsia="" w:bidi="ar-SA"/>
        </w:rPr>
        <w:t>which responded to</w:t>
      </w:r>
      <w:r w:rsidRPr="00E52A3C">
        <w:rPr>
          <w:rFonts w:ascii="Times New Roman" w:eastAsia="Aptos" w:hAnsi="Times New Roman" w:cs="Times New Roman"/>
          <w:kern w:val="2"/>
          <w:sz w:val="24"/>
          <w:szCs w:val="24"/>
          <w:lang w:val="" w:eastAsia="" w:bidi="ar-SA"/>
        </w:rPr>
        <w:t xml:space="preserve"> the rise of individualized, seeker-oriented spiritualities in late modernity</w:t>
      </w:r>
      <w:r w:rsidRPr="00E52A3C" w:rsidR="000D06BB">
        <w:rPr>
          <w:rFonts w:ascii="Times New Roman" w:eastAsia="Aptos" w:hAnsi="Times New Roman" w:cs="Times New Roman"/>
          <w:kern w:val="2"/>
          <w:sz w:val="24"/>
          <w:szCs w:val="24"/>
          <w:lang w:val="" w:eastAsia="" w:bidi="ar-SA"/>
        </w:rPr>
        <w:t>.</w:t>
      </w:r>
      <w:r w:rsidRPr="00E52A3C">
        <w:rPr>
          <w:rFonts w:ascii="Times New Roman" w:eastAsia="Aptos" w:hAnsi="Times New Roman" w:cs="Times New Roman"/>
          <w:kern w:val="2"/>
          <w:sz w:val="24"/>
          <w:szCs w:val="24"/>
          <w:lang w:val="" w:eastAsia="" w:bidi="ar-SA"/>
        </w:rPr>
        <w:t xml:space="preserve"> </w:t>
      </w:r>
      <w:r w:rsidRPr="00E52A3C" w:rsidR="00A157EF">
        <w:rPr>
          <w:rFonts w:ascii="Times New Roman" w:eastAsia="Aptos" w:hAnsi="Times New Roman" w:cs="Times New Roman"/>
          <w:kern w:val="2"/>
          <w:sz w:val="24"/>
          <w:szCs w:val="24"/>
          <w:lang w:val="" w:eastAsia="" w:bidi="ar-SA"/>
        </w:rPr>
        <w:t>Their study makes space for</w:t>
      </w:r>
      <w:r w:rsidRPr="00E52A3C">
        <w:rPr>
          <w:rFonts w:ascii="Times New Roman" w:eastAsia="Aptos" w:hAnsi="Times New Roman" w:cs="Times New Roman"/>
          <w:kern w:val="2"/>
          <w:sz w:val="24"/>
          <w:szCs w:val="24"/>
          <w:lang w:val="" w:eastAsia="" w:bidi="ar-SA"/>
        </w:rPr>
        <w:t xml:space="preserve"> lived religion framework</w:t>
      </w:r>
      <w:r w:rsidRPr="00E52A3C" w:rsidR="00A157EF">
        <w:rPr>
          <w:rFonts w:ascii="Times New Roman" w:eastAsia="Aptos" w:hAnsi="Times New Roman" w:cs="Times New Roman"/>
          <w:kern w:val="2"/>
          <w:sz w:val="24"/>
          <w:szCs w:val="24"/>
          <w:lang w:val="" w:eastAsia="" w:bidi="ar-SA"/>
        </w:rPr>
        <w:t>s</w:t>
      </w:r>
      <w:r w:rsidRPr="00E52A3C">
        <w:rPr>
          <w:rFonts w:ascii="Times New Roman" w:eastAsia="Aptos" w:hAnsi="Times New Roman" w:cs="Times New Roman"/>
          <w:kern w:val="2"/>
          <w:sz w:val="24"/>
          <w:szCs w:val="24"/>
          <w:lang w:val="" w:eastAsia="" w:bidi="ar-SA"/>
        </w:rPr>
        <w:t xml:space="preserve">, which highlight the everyday, improvisational, and often contradictory ways people construct meaning outside formal theological categories. A clear example comes from their interview with </w:t>
      </w:r>
      <w:r w:rsidRPr="00E52A3C" w:rsidR="00A157EF">
        <w:rPr>
          <w:rFonts w:ascii="Times New Roman" w:eastAsia="Aptos" w:hAnsi="Times New Roman" w:cs="Times New Roman"/>
          <w:kern w:val="2"/>
          <w:sz w:val="24"/>
          <w:szCs w:val="24"/>
          <w:lang w:val="" w:eastAsia="" w:bidi="ar-SA"/>
        </w:rPr>
        <w:t>a participant who states, “how can so many bad things happen in the world if you have a loving God?... The thought of reincarnation provided the answers for me.”</w:t>
      </w:r>
      <w:r>
        <w:rPr>
          <w:rFonts w:ascii="Times New Roman" w:eastAsia="Aptos" w:hAnsi="Times New Roman" w:cs="Times New Roman"/>
          <w:kern w:val="2"/>
          <w:sz w:val="24"/>
          <w:szCs w:val="24"/>
          <w:vertAlign w:val="superscript"/>
          <w:lang w:val="" w:eastAsia="" w:bidi="ar-SA"/>
        </w:rPr>
        <w:footnoteReference w:id="9"/>
      </w:r>
      <w:r w:rsidRPr="00E52A3C" w:rsidR="00B11AB3">
        <w:rPr>
          <w:rFonts w:ascii="Times New Roman" w:eastAsia="Aptos" w:hAnsi="Times New Roman" w:cs="Times New Roman"/>
          <w:kern w:val="2"/>
          <w:sz w:val="24"/>
          <w:szCs w:val="24"/>
          <w:lang w:val="" w:eastAsia="" w:bidi="ar-SA"/>
        </w:rPr>
        <w:t xml:space="preserve"> </w:t>
      </w:r>
      <w:r w:rsidRPr="00E52A3C">
        <w:rPr>
          <w:rFonts w:ascii="Times New Roman" w:eastAsia="Aptos" w:hAnsi="Times New Roman" w:cs="Times New Roman"/>
          <w:kern w:val="2"/>
          <w:sz w:val="24"/>
          <w:szCs w:val="24"/>
          <w:lang w:val="" w:eastAsia="" w:bidi="ar-SA"/>
        </w:rPr>
        <w:t xml:space="preserve">Rather than treating this as a failure of coherence, the authors allow her account to stand on its own terms, illustrating how personal spirituality often defies binary classification. In contrast to Brink’s framing, contradiction here is not a problem to be resolved but a meaningful part of religious life. The </w:t>
      </w:r>
      <w:r w:rsidRPr="00E52A3C" w:rsidR="00A157EF">
        <w:rPr>
          <w:rFonts w:ascii="Times New Roman" w:eastAsia="Aptos" w:hAnsi="Times New Roman" w:cs="Times New Roman"/>
          <w:kern w:val="2"/>
          <w:sz w:val="24"/>
          <w:szCs w:val="24"/>
          <w:lang w:val="" w:eastAsia="" w:bidi="ar-SA"/>
        </w:rPr>
        <w:t>flexibility</w:t>
      </w:r>
      <w:r w:rsidRPr="00E52A3C">
        <w:rPr>
          <w:rFonts w:ascii="Times New Roman" w:eastAsia="Aptos" w:hAnsi="Times New Roman" w:cs="Times New Roman"/>
          <w:kern w:val="2"/>
          <w:sz w:val="24"/>
          <w:szCs w:val="24"/>
          <w:lang w:val="" w:eastAsia="" w:bidi="ar-SA"/>
        </w:rPr>
        <w:t xml:space="preserve"> of their method </w:t>
      </w:r>
      <w:r w:rsidRPr="00E52A3C" w:rsidR="00A157EF">
        <w:rPr>
          <w:rFonts w:ascii="Times New Roman" w:eastAsia="Aptos" w:hAnsi="Times New Roman" w:cs="Times New Roman"/>
          <w:kern w:val="2"/>
          <w:sz w:val="24"/>
          <w:szCs w:val="24"/>
          <w:lang w:val="" w:eastAsia="" w:bidi="ar-SA"/>
        </w:rPr>
        <w:t>invites</w:t>
      </w:r>
      <w:r w:rsidRPr="00E52A3C">
        <w:rPr>
          <w:rFonts w:ascii="Times New Roman" w:eastAsia="Aptos" w:hAnsi="Times New Roman" w:cs="Times New Roman"/>
          <w:kern w:val="2"/>
          <w:sz w:val="24"/>
          <w:szCs w:val="24"/>
          <w:lang w:val="" w:eastAsia="" w:bidi="ar-SA"/>
        </w:rPr>
        <w:t xml:space="preserve"> a different kind of knowledge—one grounded in narrative, </w:t>
      </w:r>
      <w:r w:rsidRPr="00E52A3C" w:rsidR="00A157EF">
        <w:rPr>
          <w:rFonts w:ascii="Times New Roman" w:eastAsia="Aptos" w:hAnsi="Times New Roman" w:cs="Times New Roman"/>
          <w:kern w:val="2"/>
          <w:sz w:val="24"/>
          <w:szCs w:val="24"/>
          <w:lang w:val="" w:eastAsia="" w:bidi="ar-SA"/>
        </w:rPr>
        <w:t>nuance</w:t>
      </w:r>
      <w:r w:rsidRPr="00E52A3C">
        <w:rPr>
          <w:rFonts w:ascii="Times New Roman" w:eastAsia="Aptos" w:hAnsi="Times New Roman" w:cs="Times New Roman"/>
          <w:kern w:val="2"/>
          <w:sz w:val="24"/>
          <w:szCs w:val="24"/>
          <w:lang w:val="" w:eastAsia="" w:bidi="ar-SA"/>
        </w:rPr>
        <w:t>, and subjective coherence.</w:t>
      </w:r>
    </w:p>
    <w:p w:rsidR="00954B2D" w:rsidRPr="00E52A3C" w:rsidP="00954B2D">
      <w:pPr>
        <w:spacing w:after="160" w:line="278" w:lineRule="auto"/>
        <w:rPr>
          <w:rFonts w:ascii="Times New Roman" w:eastAsia="Aptos" w:hAnsi="Times New Roman" w:cs="Times New Roman"/>
          <w:kern w:val="2"/>
          <w:sz w:val="24"/>
          <w:szCs w:val="24"/>
          <w:lang w:val="" w:eastAsia="" w:bidi="ar-SA"/>
        </w:rPr>
      </w:pPr>
      <w:r w:rsidRPr="00E52A3C">
        <w:rPr>
          <w:rFonts w:ascii="Times New Roman" w:eastAsia="Aptos" w:hAnsi="Times New Roman" w:cs="Times New Roman"/>
          <w:kern w:val="2"/>
          <w:sz w:val="24"/>
          <w:szCs w:val="24"/>
          <w:lang w:val="" w:eastAsia="" w:bidi="ar-SA"/>
        </w:rPr>
        <w:t>Both</w:t>
      </w:r>
      <w:r w:rsidRPr="00E52A3C" w:rsidR="000C04CC">
        <w:rPr>
          <w:rFonts w:ascii="Times New Roman" w:eastAsia="Aptos" w:hAnsi="Times New Roman" w:cs="Times New Roman"/>
          <w:kern w:val="2"/>
          <w:sz w:val="24"/>
          <w:szCs w:val="24"/>
          <w:lang w:val="" w:eastAsia="" w:bidi="ar-SA"/>
        </w:rPr>
        <w:t xml:space="preserve"> studies reflect different methods of data collection</w:t>
      </w:r>
      <w:r w:rsidRPr="00E52A3C">
        <w:rPr>
          <w:rFonts w:ascii="Times New Roman" w:eastAsia="Aptos" w:hAnsi="Times New Roman" w:cs="Times New Roman"/>
          <w:kern w:val="2"/>
          <w:sz w:val="24"/>
          <w:szCs w:val="24"/>
          <w:lang w:val="" w:eastAsia="" w:bidi="ar-SA"/>
        </w:rPr>
        <w:t xml:space="preserve">, </w:t>
      </w:r>
      <w:r w:rsidRPr="00E52A3C" w:rsidR="00B11AB3">
        <w:rPr>
          <w:rFonts w:ascii="Times New Roman" w:eastAsia="Aptos" w:hAnsi="Times New Roman" w:cs="Times New Roman"/>
          <w:kern w:val="2"/>
          <w:sz w:val="24"/>
          <w:szCs w:val="24"/>
          <w:lang w:val="" w:eastAsia="" w:bidi="ar-SA"/>
        </w:rPr>
        <w:t xml:space="preserve">neither of which </w:t>
      </w:r>
      <w:r w:rsidRPr="00E52A3C">
        <w:rPr>
          <w:rFonts w:ascii="Times New Roman" w:eastAsia="Aptos" w:hAnsi="Times New Roman" w:cs="Times New Roman"/>
          <w:kern w:val="2"/>
          <w:sz w:val="24"/>
          <w:szCs w:val="24"/>
          <w:lang w:val="" w:eastAsia="" w:bidi="ar-SA"/>
        </w:rPr>
        <w:t>occur in a vacuum</w:t>
      </w:r>
      <w:r w:rsidRPr="00E52A3C" w:rsidR="000C04CC">
        <w:rPr>
          <w:rFonts w:ascii="Times New Roman" w:eastAsia="Aptos" w:hAnsi="Times New Roman" w:cs="Times New Roman"/>
          <w:kern w:val="2"/>
          <w:sz w:val="24"/>
          <w:szCs w:val="24"/>
          <w:lang w:val="" w:eastAsia="" w:bidi="ar-SA"/>
        </w:rPr>
        <w:t>; they emerge from</w:t>
      </w:r>
      <w:r w:rsidRPr="00E52A3C">
        <w:rPr>
          <w:rFonts w:ascii="Times New Roman" w:eastAsia="Aptos" w:hAnsi="Times New Roman" w:cs="Times New Roman"/>
          <w:kern w:val="2"/>
          <w:sz w:val="24"/>
          <w:szCs w:val="24"/>
          <w:lang w:val="" w:eastAsia="" w:bidi="ar-SA"/>
        </w:rPr>
        <w:t xml:space="preserve"> different periods with</w:t>
      </w:r>
      <w:r w:rsidRPr="00E52A3C" w:rsidR="000C04CC">
        <w:rPr>
          <w:rFonts w:ascii="Times New Roman" w:eastAsia="Aptos" w:hAnsi="Times New Roman" w:cs="Times New Roman"/>
          <w:kern w:val="2"/>
          <w:sz w:val="24"/>
          <w:szCs w:val="24"/>
          <w:lang w:val="" w:eastAsia="" w:bidi="ar-SA"/>
        </w:rPr>
        <w:t xml:space="preserve"> differing assumptions about how religious experience can be known. Brink’s analysis operates within a </w:t>
      </w:r>
      <w:r w:rsidRPr="00E52A3C" w:rsidR="00B11AB3">
        <w:rPr>
          <w:rFonts w:ascii="Times New Roman" w:eastAsia="Aptos" w:hAnsi="Times New Roman" w:cs="Times New Roman"/>
          <w:kern w:val="2"/>
          <w:sz w:val="24"/>
          <w:szCs w:val="24"/>
          <w:lang w:val="" w:eastAsia="" w:bidi="ar-SA"/>
        </w:rPr>
        <w:t>time</w:t>
      </w:r>
      <w:r w:rsidRPr="00E52A3C" w:rsidR="000C04CC">
        <w:rPr>
          <w:rFonts w:ascii="Times New Roman" w:eastAsia="Aptos" w:hAnsi="Times New Roman" w:cs="Times New Roman"/>
          <w:kern w:val="2"/>
          <w:sz w:val="24"/>
          <w:szCs w:val="24"/>
          <w:lang w:val="" w:eastAsia="" w:bidi="ar-SA"/>
        </w:rPr>
        <w:t xml:space="preserve"> where coherence is </w:t>
      </w:r>
      <w:r w:rsidRPr="00E52A3C">
        <w:rPr>
          <w:rFonts w:ascii="Times New Roman" w:eastAsia="Aptos" w:hAnsi="Times New Roman" w:cs="Times New Roman"/>
          <w:kern w:val="2"/>
          <w:sz w:val="24"/>
          <w:szCs w:val="24"/>
          <w:lang w:val="" w:eastAsia="" w:bidi="ar-SA"/>
        </w:rPr>
        <w:t>expected,</w:t>
      </w:r>
      <w:r w:rsidRPr="00E52A3C" w:rsidR="000C04CC">
        <w:rPr>
          <w:rFonts w:ascii="Times New Roman" w:eastAsia="Aptos" w:hAnsi="Times New Roman" w:cs="Times New Roman"/>
          <w:kern w:val="2"/>
          <w:sz w:val="24"/>
          <w:szCs w:val="24"/>
          <w:lang w:val="" w:eastAsia="" w:bidi="ar-SA"/>
        </w:rPr>
        <w:t xml:space="preserve"> and inconsistency is approached as psychological tension. Walter and Waterhouse, writing in a different intellectual </w:t>
      </w:r>
      <w:r w:rsidRPr="00E52A3C" w:rsidR="00B11AB3">
        <w:rPr>
          <w:rFonts w:ascii="Times New Roman" w:eastAsia="Aptos" w:hAnsi="Times New Roman" w:cs="Times New Roman"/>
          <w:kern w:val="2"/>
          <w:sz w:val="24"/>
          <w:szCs w:val="24"/>
          <w:lang w:val="" w:eastAsia="" w:bidi="ar-SA"/>
        </w:rPr>
        <w:t>period</w:t>
      </w:r>
      <w:r w:rsidRPr="00E52A3C" w:rsidR="000C04CC">
        <w:rPr>
          <w:rFonts w:ascii="Times New Roman" w:eastAsia="Aptos" w:hAnsi="Times New Roman" w:cs="Times New Roman"/>
          <w:kern w:val="2"/>
          <w:sz w:val="24"/>
          <w:szCs w:val="24"/>
          <w:lang w:val="" w:eastAsia="" w:bidi="ar-SA"/>
        </w:rPr>
        <w:t xml:space="preserve">, present </w:t>
      </w:r>
      <w:r w:rsidR="003F1BC3">
        <w:rPr>
          <w:rFonts w:ascii="Times New Roman" w:eastAsia="Aptos" w:hAnsi="Times New Roman" w:cs="Times New Roman"/>
          <w:kern w:val="2"/>
          <w:sz w:val="24"/>
          <w:szCs w:val="24"/>
          <w:lang w:val="" w:eastAsia="" w:bidi="ar-SA"/>
        </w:rPr>
        <w:t>inconsistency</w:t>
      </w:r>
      <w:r w:rsidRPr="00E52A3C" w:rsidR="000C04CC">
        <w:rPr>
          <w:rFonts w:ascii="Times New Roman" w:eastAsia="Aptos" w:hAnsi="Times New Roman" w:cs="Times New Roman"/>
          <w:kern w:val="2"/>
          <w:sz w:val="24"/>
          <w:szCs w:val="24"/>
          <w:lang w:val="" w:eastAsia="" w:bidi="ar-SA"/>
        </w:rPr>
        <w:t xml:space="preserve"> as an ordinary feature of contemporary spirituality, shaped by plural commitments and subjective negotiation. T</w:t>
      </w:r>
      <w:r w:rsidRPr="00E52A3C">
        <w:rPr>
          <w:rFonts w:ascii="Times New Roman" w:eastAsia="Aptos" w:hAnsi="Times New Roman" w:cs="Times New Roman"/>
          <w:kern w:val="2"/>
          <w:sz w:val="24"/>
          <w:szCs w:val="24"/>
          <w:lang w:val="" w:eastAsia="" w:bidi="ar-SA"/>
        </w:rPr>
        <w:t>heir environments echo</w:t>
      </w:r>
      <w:r w:rsidRPr="00E52A3C" w:rsidR="000C04CC">
        <w:rPr>
          <w:rFonts w:ascii="Times New Roman" w:eastAsia="Aptos" w:hAnsi="Times New Roman" w:cs="Times New Roman"/>
          <w:kern w:val="2"/>
          <w:sz w:val="24"/>
          <w:szCs w:val="24"/>
          <w:lang w:val="" w:eastAsia="" w:bidi="ar-SA"/>
        </w:rPr>
        <w:t xml:space="preserve"> in their respective method</w:t>
      </w:r>
      <w:r w:rsidRPr="00E52A3C">
        <w:rPr>
          <w:rFonts w:ascii="Times New Roman" w:eastAsia="Aptos" w:hAnsi="Times New Roman" w:cs="Times New Roman"/>
          <w:kern w:val="2"/>
          <w:sz w:val="24"/>
          <w:szCs w:val="24"/>
          <w:lang w:val="" w:eastAsia="" w:bidi="ar-SA"/>
        </w:rPr>
        <w:t>ologies</w:t>
      </w:r>
      <w:r w:rsidRPr="00E52A3C" w:rsidR="000C04CC">
        <w:rPr>
          <w:rFonts w:ascii="Times New Roman" w:eastAsia="Aptos" w:hAnsi="Times New Roman" w:cs="Times New Roman"/>
          <w:kern w:val="2"/>
          <w:sz w:val="24"/>
          <w:szCs w:val="24"/>
          <w:lang w:val="" w:eastAsia="" w:bidi="ar-SA"/>
        </w:rPr>
        <w:t xml:space="preserve"> and shape the kinds of insight each study makes possible. In this sense, each study not only produces different accounts of reincarnation belief but participates in constructing what counts as legitimate knowledge about religion. These </w:t>
      </w:r>
      <w:r w:rsidR="003F1BC3">
        <w:rPr>
          <w:rFonts w:ascii="Times New Roman" w:eastAsia="Aptos" w:hAnsi="Times New Roman" w:cs="Times New Roman"/>
          <w:kern w:val="2"/>
          <w:sz w:val="24"/>
          <w:szCs w:val="24"/>
          <w:lang w:val="" w:eastAsia="" w:bidi="ar-SA"/>
        </w:rPr>
        <w:t>points</w:t>
      </w:r>
      <w:r w:rsidRPr="00E52A3C" w:rsidR="000C04CC">
        <w:rPr>
          <w:rFonts w:ascii="Times New Roman" w:eastAsia="Aptos" w:hAnsi="Times New Roman" w:cs="Times New Roman"/>
          <w:kern w:val="2"/>
          <w:sz w:val="24"/>
          <w:szCs w:val="24"/>
          <w:lang w:val="" w:eastAsia="" w:bidi="ar-SA"/>
        </w:rPr>
        <w:t xml:space="preserve"> are </w:t>
      </w:r>
      <w:r w:rsidRPr="00E52A3C">
        <w:rPr>
          <w:rFonts w:ascii="Times New Roman" w:eastAsia="Aptos" w:hAnsi="Times New Roman" w:cs="Times New Roman"/>
          <w:kern w:val="2"/>
          <w:sz w:val="24"/>
          <w:szCs w:val="24"/>
          <w:lang w:val="" w:eastAsia="" w:bidi="ar-SA"/>
        </w:rPr>
        <w:t>discussed</w:t>
      </w:r>
      <w:r w:rsidRPr="00E52A3C" w:rsidR="000C04CC">
        <w:rPr>
          <w:rFonts w:ascii="Times New Roman" w:eastAsia="Aptos" w:hAnsi="Times New Roman" w:cs="Times New Roman"/>
          <w:kern w:val="2"/>
          <w:sz w:val="24"/>
          <w:szCs w:val="24"/>
          <w:lang w:val="" w:eastAsia="" w:bidi="ar-SA"/>
        </w:rPr>
        <w:t xml:space="preserve"> in greater detail in the </w:t>
      </w:r>
      <w:r w:rsidRPr="00E52A3C">
        <w:rPr>
          <w:rFonts w:ascii="Times New Roman" w:eastAsia="Aptos" w:hAnsi="Times New Roman" w:cs="Times New Roman"/>
          <w:kern w:val="2"/>
          <w:sz w:val="24"/>
          <w:szCs w:val="24"/>
          <w:lang w:val="" w:eastAsia="" w:bidi="ar-SA"/>
        </w:rPr>
        <w:t>sections that follow</w:t>
      </w:r>
      <w:r w:rsidRPr="00E52A3C" w:rsidR="000C04CC">
        <w:rPr>
          <w:rFonts w:ascii="Times New Roman" w:eastAsia="Aptos" w:hAnsi="Times New Roman" w:cs="Times New Roman"/>
          <w:kern w:val="2"/>
          <w:sz w:val="24"/>
          <w:szCs w:val="24"/>
          <w:lang w:val="" w:eastAsia="" w:bidi="ar-SA"/>
        </w:rPr>
        <w:t>.</w:t>
      </w:r>
    </w:p>
    <w:p w:rsidR="000C04CC" w:rsidRPr="00E52A3C" w:rsidP="00E52A3C">
      <w:pPr>
        <w:pStyle w:val="Heading1"/>
        <w:keepNext/>
        <w:keepLines/>
        <w:spacing w:before="360" w:after="80" w:line="278" w:lineRule="auto"/>
        <w:rPr>
          <w:rFonts w:ascii="Times New Roman" w:eastAsia="Times New Roman" w:hAnsi="Times New Roman" w:cs="Times New Roman"/>
          <w:b w:val="0"/>
          <w:bCs w:val="0"/>
          <w:color w:val="auto" w:themeShade="BF"/>
          <w:kern w:val="2"/>
          <w:sz w:val="40"/>
          <w:szCs w:val="40"/>
          <w:lang w:val="" w:eastAsia="" w:bidi="ar-SA"/>
        </w:rPr>
      </w:pPr>
      <w:r w:rsidRPr="00E52A3C">
        <w:rPr>
          <w:rFonts w:ascii="Times New Roman" w:eastAsia="Times New Roman" w:hAnsi="Times New Roman" w:cs="Times New Roman"/>
          <w:b w:val="0"/>
          <w:bCs w:val="0"/>
          <w:color w:val="auto" w:themeShade="BF"/>
          <w:kern w:val="2"/>
          <w:sz w:val="40"/>
          <w:szCs w:val="40"/>
          <w:lang w:val="" w:eastAsia="" w:bidi="ar-SA"/>
        </w:rPr>
        <w:t>Methodological Approaches</w:t>
      </w:r>
    </w:p>
    <w:p w:rsidR="00881898" w:rsidRPr="00E52A3C" w:rsidP="00E52A3C">
      <w:pPr>
        <w:pStyle w:val="Heading2"/>
        <w:keepNext/>
        <w:keepLines/>
        <w:spacing w:before="160" w:after="80" w:line="278" w:lineRule="auto"/>
        <w:rPr>
          <w:rFonts w:ascii="Times New Roman" w:eastAsia="Times New Roman" w:hAnsi="Times New Roman" w:cs="Times New Roman"/>
          <w:b w:val="0"/>
          <w:bCs w:val="0"/>
          <w:i w:val="0"/>
          <w:iCs w:val="0"/>
          <w:color w:val="auto" w:themeShade="BF"/>
          <w:kern w:val="2"/>
          <w:sz w:val="32"/>
          <w:szCs w:val="32"/>
          <w:lang w:val="" w:eastAsia="" w:bidi="ar-SA"/>
        </w:rPr>
      </w:pPr>
      <w:r w:rsidRPr="00E52A3C">
        <w:rPr>
          <w:rFonts w:ascii="Times New Roman" w:eastAsia="Times New Roman" w:hAnsi="Times New Roman" w:cs="Times New Roman"/>
          <w:b w:val="0"/>
          <w:bCs w:val="0"/>
          <w:i w:val="0"/>
          <w:iCs w:val="0"/>
          <w:color w:val="auto" w:themeShade="BF"/>
          <w:kern w:val="2"/>
          <w:sz w:val="32"/>
          <w:szCs w:val="32"/>
          <w:lang w:val="" w:eastAsia="" w:bidi="ar-SA"/>
        </w:rPr>
        <w:t>Survey-Based vs. Interview-Based Research</w:t>
      </w:r>
    </w:p>
    <w:p w:rsidR="00F8171A" w:rsidRPr="00D04595" w:rsidP="00F8171A">
      <w:pPr>
        <w:spacing w:after="160" w:line="278" w:lineRule="auto"/>
        <w:rPr>
          <w:rFonts w:ascii="Times New Roman" w:eastAsia="Aptos" w:hAnsi="Times New Roman" w:cs="Times New Roman"/>
          <w:kern w:val="2"/>
          <w:sz w:val="24"/>
          <w:szCs w:val="24"/>
          <w:lang w:val="" w:eastAsia="" w:bidi="ar-SA"/>
        </w:rPr>
      </w:pPr>
      <w:r w:rsidRPr="00D04595">
        <w:rPr>
          <w:rFonts w:ascii="Times New Roman" w:eastAsia="Aptos" w:hAnsi="Times New Roman" w:cs="Times New Roman"/>
          <w:kern w:val="2"/>
          <w:sz w:val="24"/>
          <w:szCs w:val="24"/>
          <w:lang w:val="" w:eastAsia="" w:bidi="ar-SA"/>
        </w:rPr>
        <w:t>As briefly mentioned earlier, t</w:t>
      </w:r>
      <w:r w:rsidRPr="00D04595">
        <w:rPr>
          <w:rFonts w:ascii="Times New Roman" w:eastAsia="Aptos" w:hAnsi="Times New Roman" w:cs="Times New Roman"/>
          <w:kern w:val="2"/>
          <w:sz w:val="24"/>
          <w:szCs w:val="24"/>
          <w:lang w:val="" w:eastAsia="" w:bidi="ar-SA"/>
        </w:rPr>
        <w:t xml:space="preserve">he methodological differences between </w:t>
      </w:r>
      <w:r w:rsidRPr="00D04595" w:rsidR="00E52A3C">
        <w:rPr>
          <w:rFonts w:ascii="Times New Roman" w:eastAsia="Aptos" w:hAnsi="Times New Roman" w:cs="Times New Roman"/>
          <w:kern w:val="2"/>
          <w:sz w:val="24"/>
          <w:szCs w:val="24"/>
          <w:lang w:val="" w:eastAsia="" w:bidi="ar-SA"/>
        </w:rPr>
        <w:t>Brink and</w:t>
      </w:r>
      <w:r w:rsidRPr="00D04595">
        <w:rPr>
          <w:rFonts w:ascii="Times New Roman" w:eastAsia="Aptos" w:hAnsi="Times New Roman" w:cs="Times New Roman"/>
          <w:kern w:val="2"/>
          <w:sz w:val="24"/>
          <w:szCs w:val="24"/>
          <w:lang w:val="" w:eastAsia="" w:bidi="ar-SA"/>
        </w:rPr>
        <w:t xml:space="preserve"> Walter and Waterhouse structure the kinds of data collected, the interpretive possibilities available, and the conceptual</w:t>
      </w:r>
      <w:r w:rsidRPr="00D04595" w:rsidR="00E52A3C">
        <w:rPr>
          <w:rFonts w:ascii="Times New Roman" w:eastAsia="Aptos" w:hAnsi="Times New Roman" w:cs="Times New Roman"/>
          <w:kern w:val="2"/>
          <w:sz w:val="24"/>
          <w:szCs w:val="24"/>
          <w:lang w:val="" w:eastAsia="" w:bidi="ar-SA"/>
        </w:rPr>
        <w:t xml:space="preserve">ization </w:t>
      </w:r>
      <w:r w:rsidRPr="00D04595">
        <w:rPr>
          <w:rFonts w:ascii="Times New Roman" w:eastAsia="Aptos" w:hAnsi="Times New Roman" w:cs="Times New Roman"/>
          <w:kern w:val="2"/>
          <w:sz w:val="24"/>
          <w:szCs w:val="24"/>
          <w:lang w:val="" w:eastAsia="" w:bidi="ar-SA"/>
        </w:rPr>
        <w:t>of belief itself. Brink’s use of a closed-question survey is designed to test internal consistency. Respondents—Catholic girls attending a parochial high school—were asked to express agreement or disagreement with discrete belief statements, including “I believe in reincarnation” and “Jesus is the Saviour.”</w:t>
      </w:r>
      <w:r>
        <w:rPr>
          <w:rFonts w:ascii="Times New Roman" w:eastAsia="Aptos" w:hAnsi="Times New Roman" w:cs="Times New Roman"/>
          <w:kern w:val="2"/>
          <w:sz w:val="24"/>
          <w:szCs w:val="24"/>
          <w:vertAlign w:val="superscript"/>
          <w:lang w:val="" w:eastAsia="" w:bidi="ar-SA"/>
        </w:rPr>
        <w:footnoteReference w:id="10"/>
      </w:r>
      <w:r w:rsidRPr="00D04595" w:rsidR="00E52A3C">
        <w:rPr>
          <w:rFonts w:ascii="Times New Roman" w:eastAsia="Aptos" w:hAnsi="Times New Roman" w:cs="Times New Roman"/>
          <w:kern w:val="2"/>
          <w:sz w:val="24"/>
          <w:szCs w:val="24"/>
          <w:lang w:val="" w:eastAsia="" w:bidi="ar-SA"/>
        </w:rPr>
        <w:t xml:space="preserve"> </w:t>
      </w:r>
      <w:r w:rsidRPr="00D04595">
        <w:rPr>
          <w:rFonts w:ascii="Times New Roman" w:eastAsia="Aptos" w:hAnsi="Times New Roman" w:cs="Times New Roman"/>
          <w:kern w:val="2"/>
          <w:sz w:val="24"/>
          <w:szCs w:val="24"/>
          <w:lang w:val="" w:eastAsia="" w:bidi="ar-SA"/>
        </w:rPr>
        <w:t>Beliefs are treated as mutually exclusive and quantifiable, and contradiction is inferred when a participant affirms both reincarnation and core Catholic teachings. For example, Brink reports that while 54% of those who believed in reincarnation also affirmed that “Jesus is the Saviour,” this figure was significantly lower than among non-reincarnationists, and is presented as evidence of a “lack of understanding” or belief inconsistency</w:t>
      </w:r>
      <w:r w:rsidRPr="00D04595" w:rsidR="00E52A3C">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11"/>
      </w:r>
    </w:p>
    <w:p w:rsidR="00F8171A" w:rsidRPr="00D04595" w:rsidP="00F8171A">
      <w:pPr>
        <w:spacing w:after="160" w:line="278" w:lineRule="auto"/>
        <w:rPr>
          <w:rFonts w:ascii="Times New Roman" w:eastAsia="Aptos" w:hAnsi="Times New Roman" w:cs="Times New Roman"/>
          <w:kern w:val="2"/>
          <w:sz w:val="24"/>
          <w:szCs w:val="24"/>
          <w:lang w:val="" w:eastAsia="" w:bidi="ar-SA"/>
        </w:rPr>
      </w:pPr>
      <w:r w:rsidRPr="00D04595">
        <w:rPr>
          <w:rFonts w:ascii="Times New Roman" w:eastAsia="Aptos" w:hAnsi="Times New Roman" w:cs="Times New Roman"/>
          <w:kern w:val="2"/>
          <w:sz w:val="24"/>
          <w:szCs w:val="24"/>
          <w:lang w:val="" w:eastAsia="" w:bidi="ar-SA"/>
        </w:rPr>
        <w:t xml:space="preserve">Rather than exploring how respondents interpret these overlapping beliefs, </w:t>
      </w:r>
      <w:r w:rsidRPr="00D04595" w:rsidR="004657CC">
        <w:rPr>
          <w:rFonts w:ascii="Times New Roman" w:eastAsia="Aptos" w:hAnsi="Times New Roman" w:cs="Times New Roman"/>
          <w:kern w:val="2"/>
          <w:sz w:val="24"/>
          <w:szCs w:val="24"/>
          <w:lang w:val="" w:eastAsia="" w:bidi="ar-SA"/>
        </w:rPr>
        <w:t xml:space="preserve">Brink presents inconsistency as a measurable deviation from Catholic teaching and interprets overlapping beliefs as indicators of misunderstanding or conceptual confusion. While he does not cite cognitive dissonance theory, his framing of contradiction—as something to be identified and accounted for—bears resemblance to its underlying assumptions. </w:t>
      </w:r>
      <w:r w:rsidRPr="00D04595">
        <w:rPr>
          <w:rFonts w:ascii="Times New Roman" w:eastAsia="Aptos" w:hAnsi="Times New Roman" w:cs="Times New Roman"/>
          <w:kern w:val="2"/>
          <w:sz w:val="24"/>
          <w:szCs w:val="24"/>
          <w:lang w:val="" w:eastAsia="" w:bidi="ar-SA"/>
        </w:rPr>
        <w:t>Yet</w:t>
      </w:r>
      <w:r w:rsidRPr="00D04595" w:rsidR="004657CC">
        <w:rPr>
          <w:rFonts w:ascii="Times New Roman" w:eastAsia="Aptos" w:hAnsi="Times New Roman" w:cs="Times New Roman"/>
          <w:kern w:val="2"/>
          <w:sz w:val="24"/>
          <w:szCs w:val="24"/>
          <w:lang w:val="" w:eastAsia="" w:bidi="ar-SA"/>
        </w:rPr>
        <w:t>,</w:t>
      </w:r>
      <w:r w:rsidRPr="00D04595">
        <w:rPr>
          <w:rFonts w:ascii="Times New Roman" w:eastAsia="Aptos" w:hAnsi="Times New Roman" w:cs="Times New Roman"/>
          <w:kern w:val="2"/>
          <w:sz w:val="24"/>
          <w:szCs w:val="24"/>
          <w:lang w:val="" w:eastAsia="" w:bidi="ar-SA"/>
        </w:rPr>
        <w:t xml:space="preserve"> he offers no qualitative engagement with how belief in reincarnation might function symbolically, affectively, or narratively within Catholic identity. </w:t>
      </w:r>
      <w:r w:rsidRPr="00D04595" w:rsidR="004657CC">
        <w:rPr>
          <w:rFonts w:ascii="Times New Roman" w:eastAsia="Aptos" w:hAnsi="Times New Roman" w:cs="Times New Roman"/>
          <w:kern w:val="2"/>
          <w:sz w:val="24"/>
          <w:szCs w:val="24"/>
          <w:lang w:val="" w:eastAsia="" w:bidi="ar-SA"/>
        </w:rPr>
        <w:t>His</w:t>
      </w:r>
      <w:r w:rsidRPr="00D04595">
        <w:rPr>
          <w:rFonts w:ascii="Times New Roman" w:eastAsia="Aptos" w:hAnsi="Times New Roman" w:cs="Times New Roman"/>
          <w:kern w:val="2"/>
          <w:sz w:val="24"/>
          <w:szCs w:val="24"/>
          <w:lang w:val="" w:eastAsia="" w:bidi="ar-SA"/>
        </w:rPr>
        <w:t xml:space="preserve"> method allows for classification, but not </w:t>
      </w:r>
      <w:r w:rsidRPr="00D04595" w:rsidR="004657CC">
        <w:rPr>
          <w:rFonts w:ascii="Times New Roman" w:eastAsia="Aptos" w:hAnsi="Times New Roman" w:cs="Times New Roman"/>
          <w:kern w:val="2"/>
          <w:sz w:val="24"/>
          <w:szCs w:val="24"/>
          <w:lang w:val="" w:eastAsia="" w:bidi="ar-SA"/>
        </w:rPr>
        <w:t>interpretation,</w:t>
      </w:r>
      <w:r w:rsidRPr="00D04595">
        <w:rPr>
          <w:rFonts w:ascii="Times New Roman" w:eastAsia="Aptos" w:hAnsi="Times New Roman" w:cs="Times New Roman"/>
          <w:kern w:val="2"/>
          <w:sz w:val="24"/>
          <w:szCs w:val="24"/>
          <w:lang w:val="" w:eastAsia="" w:bidi="ar-SA"/>
        </w:rPr>
        <w:t xml:space="preserve"> </w:t>
      </w:r>
      <w:r w:rsidRPr="00D04595" w:rsidR="004657CC">
        <w:rPr>
          <w:rFonts w:ascii="Times New Roman" w:eastAsia="Aptos" w:hAnsi="Times New Roman" w:cs="Times New Roman"/>
          <w:kern w:val="2"/>
          <w:sz w:val="24"/>
          <w:szCs w:val="24"/>
          <w:lang w:val="" w:eastAsia="" w:bidi="ar-SA"/>
        </w:rPr>
        <w:t>rendering</w:t>
      </w:r>
      <w:r w:rsidRPr="00D04595">
        <w:rPr>
          <w:rFonts w:ascii="Times New Roman" w:eastAsia="Aptos" w:hAnsi="Times New Roman" w:cs="Times New Roman"/>
          <w:kern w:val="2"/>
          <w:sz w:val="24"/>
          <w:szCs w:val="24"/>
          <w:lang w:val="" w:eastAsia="" w:bidi="ar-SA"/>
        </w:rPr>
        <w:t xml:space="preserve"> contradiction visible as statistical deviation from theological orthodoxy.</w:t>
      </w:r>
    </w:p>
    <w:p w:rsidR="00F8171A" w:rsidRPr="00D04595" w:rsidP="00F8171A">
      <w:pPr>
        <w:spacing w:after="160" w:line="278" w:lineRule="auto"/>
        <w:rPr>
          <w:rFonts w:ascii="Times New Roman" w:eastAsia="Aptos" w:hAnsi="Times New Roman" w:cs="Times New Roman"/>
          <w:kern w:val="2"/>
          <w:sz w:val="24"/>
          <w:szCs w:val="24"/>
          <w:lang w:val="" w:eastAsia="" w:bidi="ar-SA"/>
        </w:rPr>
      </w:pPr>
      <w:r w:rsidRPr="00D04595">
        <w:rPr>
          <w:rFonts w:ascii="Times New Roman" w:eastAsia="Aptos" w:hAnsi="Times New Roman" w:cs="Times New Roman"/>
          <w:kern w:val="2"/>
          <w:sz w:val="24"/>
          <w:szCs w:val="24"/>
          <w:lang w:val="" w:eastAsia="" w:bidi="ar-SA"/>
        </w:rPr>
        <w:t>Walter and Waterhouse by contrast, work with open-ended, semi-structured interviews that foreground how belief is articulated in everyday terms.</w:t>
      </w:r>
      <w:r>
        <w:rPr>
          <w:rFonts w:ascii="Times New Roman" w:eastAsia="Aptos" w:hAnsi="Times New Roman" w:cs="Times New Roman"/>
          <w:kern w:val="2"/>
          <w:sz w:val="24"/>
          <w:szCs w:val="24"/>
          <w:vertAlign w:val="superscript"/>
          <w:lang w:val="" w:eastAsia="" w:bidi="ar-SA"/>
        </w:rPr>
        <w:footnoteReference w:id="12"/>
      </w:r>
      <w:r w:rsidRPr="00D04595">
        <w:rPr>
          <w:rFonts w:ascii="Times New Roman" w:eastAsia="Aptos" w:hAnsi="Times New Roman" w:cs="Times New Roman"/>
          <w:kern w:val="2"/>
          <w:sz w:val="24"/>
          <w:szCs w:val="24"/>
          <w:lang w:val="" w:eastAsia="" w:bidi="ar-SA"/>
        </w:rPr>
        <w:t xml:space="preserve"> Their method does not presume internal coherence, nor does it treat inconsistency as something requiring resolution. </w:t>
      </w:r>
      <w:r w:rsidR="003E4DE0">
        <w:rPr>
          <w:rFonts w:ascii="Times New Roman" w:eastAsia="Aptos" w:hAnsi="Times New Roman" w:cs="Times New Roman"/>
          <w:kern w:val="2"/>
          <w:sz w:val="24"/>
          <w:szCs w:val="24"/>
          <w:lang w:val="" w:eastAsia="" w:bidi="ar-SA"/>
        </w:rPr>
        <w:t xml:space="preserve">Some </w:t>
      </w:r>
      <w:r w:rsidRPr="00D04595">
        <w:rPr>
          <w:rFonts w:ascii="Times New Roman" w:eastAsia="Aptos" w:hAnsi="Times New Roman" w:cs="Times New Roman"/>
          <w:kern w:val="2"/>
          <w:sz w:val="24"/>
          <w:szCs w:val="24"/>
          <w:lang w:val="" w:eastAsia="" w:bidi="ar-SA"/>
        </w:rPr>
        <w:t>respondent</w:t>
      </w:r>
      <w:r w:rsidR="003E4DE0">
        <w:rPr>
          <w:rFonts w:ascii="Times New Roman" w:eastAsia="Aptos" w:hAnsi="Times New Roman" w:cs="Times New Roman"/>
          <w:kern w:val="2"/>
          <w:sz w:val="24"/>
          <w:szCs w:val="24"/>
          <w:lang w:val="" w:eastAsia="" w:bidi="ar-SA"/>
        </w:rPr>
        <w:t>s</w:t>
      </w:r>
      <w:r w:rsidRPr="00D04595">
        <w:rPr>
          <w:rFonts w:ascii="Times New Roman" w:eastAsia="Aptos" w:hAnsi="Times New Roman" w:cs="Times New Roman"/>
          <w:kern w:val="2"/>
          <w:sz w:val="24"/>
          <w:szCs w:val="24"/>
          <w:lang w:val="" w:eastAsia="" w:bidi="ar-SA"/>
        </w:rPr>
        <w:t xml:space="preserve">, for example, </w:t>
      </w:r>
      <w:r w:rsidR="003E4DE0">
        <w:rPr>
          <w:rFonts w:ascii="Times New Roman" w:eastAsia="Aptos" w:hAnsi="Times New Roman" w:cs="Times New Roman"/>
          <w:kern w:val="2"/>
          <w:sz w:val="24"/>
          <w:szCs w:val="24"/>
          <w:lang w:val="" w:eastAsia="" w:bidi="ar-SA"/>
        </w:rPr>
        <w:t>drew on Hindu scriptures often referencing karma as an influence in their beliefs around reincarnation.</w:t>
      </w:r>
      <w:r w:rsidRPr="00D04595">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13"/>
      </w:r>
      <w:r w:rsidRPr="00D04595">
        <w:rPr>
          <w:rFonts w:ascii="Times New Roman" w:eastAsia="Aptos" w:hAnsi="Times New Roman" w:cs="Times New Roman"/>
          <w:kern w:val="2"/>
          <w:sz w:val="24"/>
          <w:szCs w:val="24"/>
          <w:lang w:val="" w:eastAsia="" w:bidi="ar-SA"/>
        </w:rPr>
        <w:t xml:space="preserve"> </w:t>
      </w:r>
      <w:r w:rsidR="003E4DE0">
        <w:rPr>
          <w:rFonts w:ascii="Times New Roman" w:eastAsia="Aptos" w:hAnsi="Times New Roman" w:cs="Times New Roman"/>
          <w:kern w:val="2"/>
          <w:sz w:val="24"/>
          <w:szCs w:val="24"/>
          <w:lang w:val="" w:eastAsia="" w:bidi="ar-SA"/>
        </w:rPr>
        <w:t>The researchers however, did not frame these explanations</w:t>
      </w:r>
      <w:r w:rsidRPr="00D04595">
        <w:rPr>
          <w:rFonts w:ascii="Times New Roman" w:eastAsia="Aptos" w:hAnsi="Times New Roman" w:cs="Times New Roman"/>
          <w:kern w:val="2"/>
          <w:sz w:val="24"/>
          <w:szCs w:val="24"/>
          <w:lang w:val="" w:eastAsia="" w:bidi="ar-SA"/>
        </w:rPr>
        <w:t xml:space="preserve"> as a declaration</w:t>
      </w:r>
      <w:r w:rsidR="003E4DE0">
        <w:rPr>
          <w:rFonts w:ascii="Times New Roman" w:eastAsia="Aptos" w:hAnsi="Times New Roman" w:cs="Times New Roman"/>
          <w:kern w:val="2"/>
          <w:sz w:val="24"/>
          <w:szCs w:val="24"/>
          <w:lang w:val="" w:eastAsia="" w:bidi="ar-SA"/>
        </w:rPr>
        <w:t>s</w:t>
      </w:r>
      <w:r w:rsidRPr="00D04595">
        <w:rPr>
          <w:rFonts w:ascii="Times New Roman" w:eastAsia="Aptos" w:hAnsi="Times New Roman" w:cs="Times New Roman"/>
          <w:kern w:val="2"/>
          <w:sz w:val="24"/>
          <w:szCs w:val="24"/>
          <w:lang w:val="" w:eastAsia="" w:bidi="ar-SA"/>
        </w:rPr>
        <w:t xml:space="preserve"> of faith, nor as an abandonment of Christian identit</w:t>
      </w:r>
      <w:r w:rsidR="003E4DE0">
        <w:rPr>
          <w:rFonts w:ascii="Times New Roman" w:eastAsia="Aptos" w:hAnsi="Times New Roman" w:cs="Times New Roman"/>
          <w:kern w:val="2"/>
          <w:sz w:val="24"/>
          <w:szCs w:val="24"/>
          <w:lang w:val="" w:eastAsia="" w:bidi="ar-SA"/>
        </w:rPr>
        <w:t>ies</w:t>
      </w:r>
      <w:r w:rsidRPr="00D04595">
        <w:rPr>
          <w:rFonts w:ascii="Times New Roman" w:eastAsia="Aptos" w:hAnsi="Times New Roman" w:cs="Times New Roman"/>
          <w:kern w:val="2"/>
          <w:sz w:val="24"/>
          <w:szCs w:val="24"/>
          <w:lang w:val="" w:eastAsia="" w:bidi="ar-SA"/>
        </w:rPr>
        <w:t>, but as an interpretive resource—</w:t>
      </w:r>
      <w:r w:rsidR="003E4DE0">
        <w:rPr>
          <w:rFonts w:ascii="Times New Roman" w:eastAsia="Aptos" w:hAnsi="Times New Roman" w:cs="Times New Roman"/>
          <w:kern w:val="2"/>
          <w:sz w:val="24"/>
          <w:szCs w:val="24"/>
          <w:lang w:val="" w:eastAsia="" w:bidi="ar-SA"/>
        </w:rPr>
        <w:t>noting how some participants even made links to Western notions</w:t>
      </w:r>
      <w:r w:rsidRPr="00D04595">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14"/>
      </w:r>
      <w:r w:rsidRPr="00D04595" w:rsidR="004657CC">
        <w:rPr>
          <w:rFonts w:ascii="Times New Roman" w:eastAsia="Aptos" w:hAnsi="Times New Roman" w:cs="Times New Roman"/>
          <w:kern w:val="2"/>
          <w:sz w:val="24"/>
          <w:szCs w:val="24"/>
          <w:lang w:val="" w:eastAsia="" w:bidi="ar-SA"/>
        </w:rPr>
        <w:t xml:space="preserve"> </w:t>
      </w:r>
      <w:r w:rsidRPr="00D04595">
        <w:rPr>
          <w:rFonts w:ascii="Times New Roman" w:eastAsia="Aptos" w:hAnsi="Times New Roman" w:cs="Times New Roman"/>
          <w:kern w:val="2"/>
          <w:sz w:val="24"/>
          <w:szCs w:val="24"/>
          <w:lang w:val="" w:eastAsia="" w:bidi="ar-SA"/>
        </w:rPr>
        <w:t xml:space="preserve">Such expressions would be unmeasurable in Brink’s </w:t>
      </w:r>
      <w:r w:rsidRPr="00D04595" w:rsidR="004657CC">
        <w:rPr>
          <w:rFonts w:ascii="Times New Roman" w:eastAsia="Aptos" w:hAnsi="Times New Roman" w:cs="Times New Roman"/>
          <w:kern w:val="2"/>
          <w:sz w:val="24"/>
          <w:szCs w:val="24"/>
          <w:lang w:val="" w:eastAsia="" w:bidi="ar-SA"/>
        </w:rPr>
        <w:t>methodology</w:t>
      </w:r>
      <w:r w:rsidRPr="00D04595">
        <w:rPr>
          <w:rFonts w:ascii="Times New Roman" w:eastAsia="Aptos" w:hAnsi="Times New Roman" w:cs="Times New Roman"/>
          <w:kern w:val="2"/>
          <w:sz w:val="24"/>
          <w:szCs w:val="24"/>
          <w:lang w:val="" w:eastAsia="" w:bidi="ar-SA"/>
        </w:rPr>
        <w:t xml:space="preserve">. They lack creedal clarity, resist binary classification, and defy attribution to a single belief system. Yet it is precisely this ambiguity that Walter and Waterhouse make central. Their interviewees are not defenders of formal </w:t>
      </w:r>
      <w:r w:rsidRPr="00D04595" w:rsidR="004657CC">
        <w:rPr>
          <w:rFonts w:ascii="Times New Roman" w:eastAsia="Aptos" w:hAnsi="Times New Roman" w:cs="Times New Roman"/>
          <w:kern w:val="2"/>
          <w:sz w:val="24"/>
          <w:szCs w:val="24"/>
          <w:lang w:val="" w:eastAsia="" w:bidi="ar-SA"/>
        </w:rPr>
        <w:t>institutional religious beliefs,</w:t>
      </w:r>
      <w:r w:rsidRPr="00D04595">
        <w:rPr>
          <w:rFonts w:ascii="Times New Roman" w:eastAsia="Aptos" w:hAnsi="Times New Roman" w:cs="Times New Roman"/>
          <w:kern w:val="2"/>
          <w:sz w:val="24"/>
          <w:szCs w:val="24"/>
          <w:lang w:val="" w:eastAsia="" w:bidi="ar-SA"/>
        </w:rPr>
        <w:t xml:space="preserve"> but meaning-makers, navigating plural influences</w:t>
      </w:r>
      <w:r w:rsidRPr="00D04595" w:rsidR="004657CC">
        <w:rPr>
          <w:rFonts w:ascii="Times New Roman" w:eastAsia="Aptos" w:hAnsi="Times New Roman" w:cs="Times New Roman"/>
          <w:kern w:val="2"/>
          <w:sz w:val="24"/>
          <w:szCs w:val="24"/>
          <w:lang w:val="" w:eastAsia="" w:bidi="ar-SA"/>
        </w:rPr>
        <w:t>, perhaps</w:t>
      </w:r>
      <w:r w:rsidRPr="00D04595">
        <w:rPr>
          <w:rFonts w:ascii="Times New Roman" w:eastAsia="Aptos" w:hAnsi="Times New Roman" w:cs="Times New Roman"/>
          <w:kern w:val="2"/>
          <w:sz w:val="24"/>
          <w:szCs w:val="24"/>
          <w:lang w:val="" w:eastAsia="" w:bidi="ar-SA"/>
        </w:rPr>
        <w:t xml:space="preserve">—Christian, spiritualist, therapeutic, and existential. </w:t>
      </w:r>
      <w:r w:rsidRPr="00D04595" w:rsidR="00E52A3C">
        <w:rPr>
          <w:rFonts w:ascii="Times New Roman" w:eastAsia="Aptos" w:hAnsi="Times New Roman" w:cs="Times New Roman"/>
          <w:kern w:val="2"/>
          <w:sz w:val="24"/>
          <w:szCs w:val="24"/>
          <w:lang w:val="" w:eastAsia="" w:bidi="ar-SA"/>
        </w:rPr>
        <w:t>Again,</w:t>
      </w:r>
      <w:r w:rsidRPr="00D04595" w:rsidR="004657CC">
        <w:rPr>
          <w:rFonts w:ascii="Times New Roman" w:eastAsia="Aptos" w:hAnsi="Times New Roman" w:cs="Times New Roman"/>
          <w:kern w:val="2"/>
          <w:sz w:val="24"/>
          <w:szCs w:val="24"/>
          <w:lang w:val="" w:eastAsia="" w:bidi="ar-SA"/>
        </w:rPr>
        <w:t xml:space="preserve"> reflecting</w:t>
      </w:r>
      <w:r w:rsidRPr="00D04595">
        <w:rPr>
          <w:rFonts w:ascii="Times New Roman" w:eastAsia="Aptos" w:hAnsi="Times New Roman" w:cs="Times New Roman"/>
          <w:kern w:val="2"/>
          <w:sz w:val="24"/>
          <w:szCs w:val="24"/>
          <w:lang w:val="" w:eastAsia="" w:bidi="ar-SA"/>
        </w:rPr>
        <w:t xml:space="preserve"> a </w:t>
      </w:r>
      <w:r w:rsidRPr="00D04595">
        <w:rPr>
          <w:rFonts w:ascii="Times New Roman" w:eastAsia="Aptos" w:hAnsi="Times New Roman" w:cs="Times New Roman"/>
          <w:kern w:val="2"/>
          <w:sz w:val="24"/>
          <w:szCs w:val="24"/>
          <w:lang w:val="" w:eastAsia="" w:bidi="ar-SA"/>
        </w:rPr>
        <w:t>broader shift in the sociology of religion from institutional affiliation to lived experience, where belief is understood not as propositional assent but as interpretive labour.</w:t>
      </w:r>
    </w:p>
    <w:p w:rsidR="00ED38BB" w:rsidRPr="00D04595" w:rsidP="00ED38BB">
      <w:pPr>
        <w:spacing w:after="160" w:line="278" w:lineRule="auto"/>
        <w:rPr>
          <w:rFonts w:ascii="Times New Roman" w:eastAsia="Aptos" w:hAnsi="Times New Roman" w:cs="Times New Roman"/>
          <w:kern w:val="2"/>
          <w:sz w:val="24"/>
          <w:szCs w:val="24"/>
          <w:lang w:val="" w:eastAsia="" w:bidi="ar-SA"/>
        </w:rPr>
      </w:pPr>
      <w:r w:rsidRPr="00D04595">
        <w:rPr>
          <w:rFonts w:ascii="Times New Roman" w:eastAsia="Aptos" w:hAnsi="Times New Roman" w:cs="Times New Roman"/>
          <w:kern w:val="2"/>
          <w:sz w:val="24"/>
          <w:szCs w:val="24"/>
          <w:lang w:val="" w:eastAsia="" w:bidi="ar-SA"/>
        </w:rPr>
        <w:t xml:space="preserve">Through their data collection, </w:t>
      </w:r>
      <w:r w:rsidRPr="00D04595" w:rsidR="00F8171A">
        <w:rPr>
          <w:rFonts w:ascii="Times New Roman" w:eastAsia="Aptos" w:hAnsi="Times New Roman" w:cs="Times New Roman"/>
          <w:kern w:val="2"/>
          <w:sz w:val="24"/>
          <w:szCs w:val="24"/>
          <w:lang w:val="" w:eastAsia="" w:bidi="ar-SA"/>
        </w:rPr>
        <w:t xml:space="preserve">Brink’s approach constructs belief as something stable, measurable, and ideally coherent. Walter and Waterhouse’s method reflects a different epistemological assumption: that belief may be fragmented, experimental, and internally plural. Each method produces different kinds of data, but more significantly, each enacts a different theory of religion. What Brink’s study renders as inconsistency, Walter and Waterhouse present as </w:t>
      </w:r>
      <w:r w:rsidRPr="00D04595" w:rsidR="00CC1028">
        <w:rPr>
          <w:rFonts w:ascii="Times New Roman" w:eastAsia="Aptos" w:hAnsi="Times New Roman" w:cs="Times New Roman"/>
          <w:kern w:val="2"/>
          <w:sz w:val="24"/>
          <w:szCs w:val="24"/>
          <w:lang w:val="" w:eastAsia="" w:bidi="ar-SA"/>
        </w:rPr>
        <w:t>nuance</w:t>
      </w:r>
      <w:r w:rsidRPr="00D04595" w:rsidR="00F8171A">
        <w:rPr>
          <w:rFonts w:ascii="Times New Roman" w:eastAsia="Aptos" w:hAnsi="Times New Roman" w:cs="Times New Roman"/>
          <w:kern w:val="2"/>
          <w:sz w:val="24"/>
          <w:szCs w:val="24"/>
          <w:lang w:val="" w:eastAsia="" w:bidi="ar-SA"/>
        </w:rPr>
        <w:t>.</w:t>
      </w:r>
    </w:p>
    <w:p w:rsidR="00881898" w:rsidRPr="00A84B07" w:rsidP="00A84B07">
      <w:pPr>
        <w:pStyle w:val="Heading2"/>
        <w:keepNext/>
        <w:keepLines/>
        <w:spacing w:before="160" w:after="80" w:line="278" w:lineRule="auto"/>
        <w:rPr>
          <w:rFonts w:ascii="Times New Roman" w:eastAsia="Times New Roman" w:hAnsi="Times New Roman" w:cs="Times New Roman"/>
          <w:b w:val="0"/>
          <w:bCs w:val="0"/>
          <w:i w:val="0"/>
          <w:iCs w:val="0"/>
          <w:color w:val="auto" w:themeShade="BF"/>
          <w:kern w:val="2"/>
          <w:sz w:val="32"/>
          <w:szCs w:val="32"/>
          <w:lang w:val="" w:eastAsia="" w:bidi="ar-SA"/>
        </w:rPr>
      </w:pPr>
      <w:r w:rsidRPr="00A84B07">
        <w:rPr>
          <w:rFonts w:ascii="Times New Roman" w:eastAsia="Times New Roman" w:hAnsi="Times New Roman" w:cs="Times New Roman"/>
          <w:b w:val="0"/>
          <w:bCs w:val="0"/>
          <w:i w:val="0"/>
          <w:iCs w:val="0"/>
          <w:color w:val="auto" w:themeShade="BF"/>
          <w:kern w:val="2"/>
          <w:sz w:val="32"/>
          <w:szCs w:val="32"/>
          <w:lang w:val="" w:eastAsia="" w:bidi="ar-SA"/>
        </w:rPr>
        <w:t>Reflexivity and Researcher Positionality</w:t>
      </w:r>
    </w:p>
    <w:p w:rsidR="00CA2BFE" w:rsidRPr="00A84B07" w:rsidP="00CA2BFE">
      <w:pPr>
        <w:spacing w:after="160" w:line="278" w:lineRule="auto"/>
        <w:rPr>
          <w:rFonts w:ascii="Times New Roman" w:eastAsia="Aptos" w:hAnsi="Times New Roman" w:cs="Times New Roman"/>
          <w:kern w:val="2"/>
          <w:sz w:val="24"/>
          <w:szCs w:val="24"/>
          <w:lang w:val="" w:eastAsia="" w:bidi="ar-SA"/>
        </w:rPr>
      </w:pPr>
      <w:r w:rsidRPr="00A84B07">
        <w:rPr>
          <w:rFonts w:ascii="Times New Roman" w:eastAsia="Aptos" w:hAnsi="Times New Roman" w:cs="Times New Roman"/>
          <w:kern w:val="2"/>
          <w:sz w:val="24"/>
          <w:szCs w:val="24"/>
          <w:lang w:val="" w:eastAsia="" w:bidi="ar-SA"/>
        </w:rPr>
        <w:t xml:space="preserve">The </w:t>
      </w:r>
      <w:r w:rsidRPr="00A84B07">
        <w:rPr>
          <w:rFonts w:ascii="Times New Roman" w:eastAsia="Aptos" w:hAnsi="Times New Roman" w:cs="Times New Roman"/>
          <w:kern w:val="2"/>
          <w:sz w:val="24"/>
          <w:szCs w:val="24"/>
          <w:lang w:val="" w:eastAsia="" w:bidi="ar-SA"/>
        </w:rPr>
        <w:t>position of the researcher—whether insider, outsider, or somewhere in between—</w:t>
      </w:r>
      <w:r w:rsidRPr="00A84B07" w:rsidR="00EF6187">
        <w:rPr>
          <w:rFonts w:ascii="Times New Roman" w:eastAsia="Aptos" w:hAnsi="Times New Roman" w:cs="Times New Roman"/>
          <w:kern w:val="2"/>
          <w:sz w:val="24"/>
          <w:szCs w:val="24"/>
          <w:lang w:val="" w:eastAsia="" w:bidi="ar-SA"/>
        </w:rPr>
        <w:t xml:space="preserve">also contributes to </w:t>
      </w:r>
      <w:r w:rsidRPr="00A84B07">
        <w:rPr>
          <w:rFonts w:ascii="Times New Roman" w:eastAsia="Aptos" w:hAnsi="Times New Roman" w:cs="Times New Roman"/>
          <w:kern w:val="2"/>
          <w:sz w:val="24"/>
          <w:szCs w:val="24"/>
          <w:lang w:val="" w:eastAsia="" w:bidi="ar-SA"/>
        </w:rPr>
        <w:t>shap</w:t>
      </w:r>
      <w:r w:rsidRPr="00A84B07" w:rsidR="00EF6187">
        <w:rPr>
          <w:rFonts w:ascii="Times New Roman" w:eastAsia="Aptos" w:hAnsi="Times New Roman" w:cs="Times New Roman"/>
          <w:kern w:val="2"/>
          <w:sz w:val="24"/>
          <w:szCs w:val="24"/>
          <w:lang w:val="" w:eastAsia="" w:bidi="ar-SA"/>
        </w:rPr>
        <w:t>ing</w:t>
      </w:r>
      <w:r w:rsidRPr="00A84B07">
        <w:rPr>
          <w:rFonts w:ascii="Times New Roman" w:eastAsia="Aptos" w:hAnsi="Times New Roman" w:cs="Times New Roman"/>
          <w:kern w:val="2"/>
          <w:sz w:val="24"/>
          <w:szCs w:val="24"/>
          <w:lang w:val="" w:eastAsia="" w:bidi="ar-SA"/>
        </w:rPr>
        <w:t xml:space="preserve"> what questions are asked, what counts as data, and how interpretation unfolds. A comparison of Brink and Walter and Waterhouse reveals how reflexivity—whether acknowledged or withheld—fundamentally informs the type of knowledge a study is equipped to produce.</w:t>
      </w:r>
    </w:p>
    <w:p w:rsidR="00CA2BFE" w:rsidRPr="00A84B07" w:rsidP="00CA2BFE">
      <w:pPr>
        <w:spacing w:after="160" w:line="278" w:lineRule="auto"/>
        <w:rPr>
          <w:rFonts w:ascii="Times New Roman" w:eastAsia="Aptos" w:hAnsi="Times New Roman" w:cs="Times New Roman"/>
          <w:kern w:val="2"/>
          <w:sz w:val="24"/>
          <w:szCs w:val="24"/>
          <w:lang w:val="" w:eastAsia="" w:bidi="ar-SA"/>
        </w:rPr>
      </w:pPr>
      <w:r w:rsidRPr="00A84B07">
        <w:rPr>
          <w:rFonts w:ascii="Times New Roman" w:eastAsia="Aptos" w:hAnsi="Times New Roman" w:cs="Times New Roman"/>
          <w:kern w:val="2"/>
          <w:sz w:val="24"/>
          <w:szCs w:val="24"/>
          <w:lang w:val="" w:eastAsia="" w:bidi="ar-SA"/>
        </w:rPr>
        <w:t>Brink’s approach is marked by detachment. There is no engagement with how participants themselves understand or negotiate their beliefs. Instead, belief is treated as an external object: something to be measured, categorised, and evaluated according to its proximity to official teaching. Brink does not reflect on his role as a researcher or on the assumptions underpinning his interpretive frame. His mode of presentation—statistical analysis, generalisable trends, neutral tone—gives the appearance of objectivity. Yet this very framing enacts what J. Z. Smith calls the illusion of “innocent comparison</w:t>
      </w:r>
      <w:r w:rsidRPr="00A84B07" w:rsidR="004C67E5">
        <w:rPr>
          <w:rFonts w:ascii="Times New Roman" w:eastAsia="Aptos" w:hAnsi="Times New Roman" w:cs="Times New Roman"/>
          <w:kern w:val="2"/>
          <w:sz w:val="24"/>
          <w:szCs w:val="24"/>
          <w:lang w:val="" w:eastAsia="" w:bidi="ar-SA"/>
        </w:rPr>
        <w:t xml:space="preserve">,” </w:t>
      </w:r>
      <w:r w:rsidRPr="00A84B07">
        <w:rPr>
          <w:rFonts w:ascii="Times New Roman" w:eastAsia="Aptos" w:hAnsi="Times New Roman" w:cs="Times New Roman"/>
          <w:kern w:val="2"/>
          <w:sz w:val="24"/>
          <w:szCs w:val="24"/>
          <w:lang w:val="" w:eastAsia="" w:bidi="ar-SA"/>
        </w:rPr>
        <w:t>where the scholar’s categories remain unexamined even as they structure the phenomenon being described</w:t>
      </w:r>
      <w:r w:rsidRPr="00A84B07" w:rsidR="004C67E5">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15"/>
      </w:r>
      <w:r w:rsidRPr="00A84B07">
        <w:rPr>
          <w:rFonts w:ascii="Times New Roman" w:eastAsia="Aptos" w:hAnsi="Times New Roman" w:cs="Times New Roman"/>
          <w:kern w:val="2"/>
          <w:sz w:val="24"/>
          <w:szCs w:val="24"/>
          <w:lang w:val="" w:eastAsia="" w:bidi="ar-SA"/>
        </w:rPr>
        <w:t xml:space="preserve"> To map belief from the outside is still to make interpretive choices; Brink’s silence on these choices is itself a form of positionality.</w:t>
      </w:r>
    </w:p>
    <w:p w:rsidR="00CA2BFE" w:rsidRPr="00A84B07" w:rsidP="0078104B">
      <w:pPr>
        <w:spacing w:after="160" w:line="278" w:lineRule="auto"/>
        <w:rPr>
          <w:rFonts w:ascii="Times New Roman" w:eastAsia="Aptos" w:hAnsi="Times New Roman" w:cs="Times New Roman"/>
          <w:kern w:val="2"/>
          <w:sz w:val="24"/>
          <w:szCs w:val="24"/>
          <w:lang w:val="" w:eastAsia="" w:bidi="ar-SA"/>
        </w:rPr>
      </w:pPr>
      <w:r w:rsidRPr="00A84B07">
        <w:rPr>
          <w:rFonts w:ascii="Times New Roman" w:eastAsia="Aptos" w:hAnsi="Times New Roman" w:cs="Times New Roman"/>
          <w:kern w:val="2"/>
          <w:sz w:val="24"/>
          <w:szCs w:val="24"/>
          <w:lang w:val="" w:eastAsia="" w:bidi="ar-SA"/>
        </w:rPr>
        <w:t xml:space="preserve">Walter and Waterhouse, by contrast, acknowledge their interpretive stance more directly. While they do not position themselves as insiders, their method—open-ended interviews that foreground personal narratives—invites a kind of proximity. Their role is not to test belief against external standards but to listen for how meaning is constructed and expressed. </w:t>
      </w:r>
      <w:r w:rsidRPr="00A84B07" w:rsidR="003E4DE0">
        <w:rPr>
          <w:rFonts w:ascii="Times New Roman" w:eastAsia="Aptos" w:hAnsi="Times New Roman" w:cs="Times New Roman"/>
          <w:kern w:val="2"/>
          <w:sz w:val="24"/>
          <w:szCs w:val="24"/>
          <w:lang w:val="" w:eastAsia="" w:bidi="ar-SA"/>
        </w:rPr>
        <w:t>Regarding</w:t>
      </w:r>
      <w:r w:rsidRPr="00A84B07" w:rsidR="0078104B">
        <w:rPr>
          <w:rFonts w:ascii="Times New Roman" w:eastAsia="Aptos" w:hAnsi="Times New Roman" w:cs="Times New Roman"/>
          <w:kern w:val="2"/>
          <w:sz w:val="24"/>
          <w:szCs w:val="24"/>
          <w:lang w:val="" w:eastAsia="" w:bidi="ar-SA"/>
        </w:rPr>
        <w:t xml:space="preserve"> their beliefs in reincarnation, “s</w:t>
      </w:r>
      <w:r w:rsidRPr="00A84B07" w:rsidR="0078104B">
        <w:rPr>
          <w:rFonts w:ascii="Times New Roman" w:eastAsia="Aptos" w:hAnsi="Times New Roman" w:cs="Times New Roman"/>
          <w:kern w:val="2"/>
          <w:sz w:val="24"/>
          <w:szCs w:val="24"/>
          <w:lang w:val="" w:eastAsia="" w:bidi="ar-SA"/>
        </w:rPr>
        <w:t>ome respondents spoke of personal experiences</w:t>
      </w:r>
      <w:r w:rsidRPr="00A84B07" w:rsidR="0078104B">
        <w:rPr>
          <w:rFonts w:ascii="Times New Roman" w:eastAsia="Aptos" w:hAnsi="Times New Roman" w:cs="Times New Roman"/>
          <w:kern w:val="2"/>
          <w:sz w:val="24"/>
          <w:szCs w:val="24"/>
          <w:lang w:val="" w:eastAsia="" w:bidi="ar-SA"/>
        </w:rPr>
        <w:t xml:space="preserve"> </w:t>
      </w:r>
      <w:r w:rsidRPr="00A84B07" w:rsidR="0078104B">
        <w:rPr>
          <w:rFonts w:ascii="Times New Roman" w:eastAsia="Aptos" w:hAnsi="Times New Roman" w:cs="Times New Roman"/>
          <w:kern w:val="2"/>
          <w:sz w:val="24"/>
          <w:szCs w:val="24"/>
          <w:lang w:val="" w:eastAsia="" w:bidi="ar-SA"/>
        </w:rPr>
        <w:t>that they took as more or less suggestive of a previous life - precognition or</w:t>
      </w:r>
      <w:r w:rsidRPr="00A84B07" w:rsidR="0078104B">
        <w:rPr>
          <w:rFonts w:ascii="Times New Roman" w:eastAsia="Aptos" w:hAnsi="Times New Roman" w:cs="Times New Roman"/>
          <w:kern w:val="2"/>
          <w:sz w:val="24"/>
          <w:szCs w:val="24"/>
          <w:lang w:val="" w:eastAsia="" w:bidi="ar-SA"/>
        </w:rPr>
        <w:t xml:space="preserve"> </w:t>
      </w:r>
      <w:r w:rsidRPr="00A84B07" w:rsidR="0078104B">
        <w:rPr>
          <w:rFonts w:ascii="Times New Roman" w:eastAsia="Aptos" w:hAnsi="Times New Roman" w:cs="Times New Roman"/>
          <w:kern w:val="2"/>
          <w:sz w:val="24"/>
          <w:szCs w:val="24"/>
          <w:lang w:val="" w:eastAsia="" w:bidi="ar-SA"/>
        </w:rPr>
        <w:t>familiarity with places, people, music, and in one case food</w:t>
      </w:r>
      <w:r w:rsidRPr="00A84B07">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16"/>
      </w:r>
      <w:r w:rsidRPr="00A84B07">
        <w:rPr>
          <w:rFonts w:ascii="Times New Roman" w:eastAsia="Aptos" w:hAnsi="Times New Roman" w:cs="Times New Roman"/>
          <w:kern w:val="2"/>
          <w:sz w:val="24"/>
          <w:szCs w:val="24"/>
          <w:lang w:val="" w:eastAsia="" w:bidi="ar-SA"/>
        </w:rPr>
        <w:t xml:space="preserve"> The belief is personal, partial, and situated—untidy by design. Rather than treating this as incoherence, Walter and Waterhouse make space for it to be </w:t>
      </w:r>
      <w:r w:rsidR="003F1BC3">
        <w:rPr>
          <w:rFonts w:ascii="Times New Roman" w:eastAsia="Aptos" w:hAnsi="Times New Roman" w:cs="Times New Roman"/>
          <w:kern w:val="2"/>
          <w:sz w:val="24"/>
          <w:szCs w:val="24"/>
          <w:lang w:val="" w:eastAsia="" w:bidi="ar-SA"/>
        </w:rPr>
        <w:t>understood on its</w:t>
      </w:r>
      <w:r w:rsidRPr="00A84B07">
        <w:rPr>
          <w:rFonts w:ascii="Times New Roman" w:eastAsia="Aptos" w:hAnsi="Times New Roman" w:cs="Times New Roman"/>
          <w:kern w:val="2"/>
          <w:sz w:val="24"/>
          <w:szCs w:val="24"/>
          <w:lang w:val="" w:eastAsia="" w:bidi="ar-SA"/>
        </w:rPr>
        <w:t xml:space="preserve"> own terms.</w:t>
      </w:r>
    </w:p>
    <w:p w:rsidR="007659C2" w:rsidRPr="00A84B07" w:rsidP="007659C2">
      <w:pPr>
        <w:spacing w:after="160" w:line="278" w:lineRule="auto"/>
        <w:rPr>
          <w:rFonts w:ascii="Times New Roman" w:eastAsia="Aptos" w:hAnsi="Times New Roman" w:cs="Times New Roman"/>
          <w:kern w:val="2"/>
          <w:sz w:val="24"/>
          <w:szCs w:val="24"/>
          <w:lang w:val="" w:eastAsia="" w:bidi="ar-SA"/>
        </w:rPr>
      </w:pPr>
      <w:r w:rsidRPr="00A84B07">
        <w:rPr>
          <w:rFonts w:ascii="Times New Roman" w:eastAsia="Aptos" w:hAnsi="Times New Roman" w:cs="Times New Roman"/>
          <w:kern w:val="2"/>
          <w:sz w:val="24"/>
          <w:szCs w:val="24"/>
          <w:lang w:val="" w:eastAsia="" w:bidi="ar-SA"/>
        </w:rPr>
        <w:t xml:space="preserve">However, this reflexive attentiveness may </w:t>
      </w:r>
      <w:r w:rsidRPr="00A84B07" w:rsidR="003E4DE0">
        <w:rPr>
          <w:rFonts w:ascii="Times New Roman" w:eastAsia="Aptos" w:hAnsi="Times New Roman" w:cs="Times New Roman"/>
          <w:kern w:val="2"/>
          <w:sz w:val="24"/>
          <w:szCs w:val="24"/>
          <w:lang w:val="" w:eastAsia="" w:bidi="ar-SA"/>
        </w:rPr>
        <w:t xml:space="preserve">allow </w:t>
      </w:r>
      <w:r w:rsidRPr="00A84B07">
        <w:rPr>
          <w:rFonts w:ascii="Times New Roman" w:eastAsia="Aptos" w:hAnsi="Times New Roman" w:cs="Times New Roman"/>
          <w:kern w:val="2"/>
          <w:sz w:val="24"/>
          <w:szCs w:val="24"/>
          <w:lang w:val="" w:eastAsia="" w:bidi="ar-SA"/>
        </w:rPr>
        <w:t xml:space="preserve">what some would classify as </w:t>
      </w:r>
      <w:r w:rsidRPr="00A84B07" w:rsidR="003E4DE0">
        <w:rPr>
          <w:rFonts w:ascii="Times New Roman" w:eastAsia="Aptos" w:hAnsi="Times New Roman" w:cs="Times New Roman"/>
          <w:kern w:val="2"/>
          <w:sz w:val="24"/>
          <w:szCs w:val="24"/>
          <w:lang w:val="" w:eastAsia="" w:bidi="ar-SA"/>
        </w:rPr>
        <w:t>“</w:t>
      </w:r>
      <w:r w:rsidRPr="00A84B07">
        <w:rPr>
          <w:rFonts w:ascii="Times New Roman" w:eastAsia="Aptos" w:hAnsi="Times New Roman" w:cs="Times New Roman"/>
          <w:kern w:val="2"/>
          <w:sz w:val="24"/>
          <w:szCs w:val="24"/>
          <w:lang w:val="" w:eastAsia="" w:bidi="ar-SA"/>
        </w:rPr>
        <w:t>risk.</w:t>
      </w:r>
      <w:r w:rsidRPr="00A84B07" w:rsidR="003E4DE0">
        <w:rPr>
          <w:rFonts w:ascii="Times New Roman" w:eastAsia="Aptos" w:hAnsi="Times New Roman" w:cs="Times New Roman"/>
          <w:kern w:val="2"/>
          <w:sz w:val="24"/>
          <w:szCs w:val="24"/>
          <w:lang w:val="" w:eastAsia="" w:bidi="ar-SA"/>
        </w:rPr>
        <w:t>”</w:t>
      </w:r>
      <w:r w:rsidRPr="00A84B07">
        <w:rPr>
          <w:rFonts w:ascii="Times New Roman" w:eastAsia="Aptos" w:hAnsi="Times New Roman" w:cs="Times New Roman"/>
          <w:kern w:val="2"/>
          <w:sz w:val="24"/>
          <w:szCs w:val="24"/>
          <w:lang w:val="" w:eastAsia="" w:bidi="ar-SA"/>
        </w:rPr>
        <w:t xml:space="preserve"> When researchers align too closely with participants’ perspectives, </w:t>
      </w:r>
      <w:r w:rsidRPr="00A84B07" w:rsidR="00A84B07">
        <w:rPr>
          <w:rFonts w:ascii="Times New Roman" w:eastAsia="Aptos" w:hAnsi="Times New Roman" w:cs="Times New Roman"/>
          <w:kern w:val="2"/>
          <w:sz w:val="24"/>
          <w:szCs w:val="24"/>
          <w:lang w:val="" w:eastAsia="" w:bidi="ar-SA"/>
        </w:rPr>
        <w:t xml:space="preserve">some perceive </w:t>
      </w:r>
      <w:r w:rsidRPr="00A84B07">
        <w:rPr>
          <w:rFonts w:ascii="Times New Roman" w:eastAsia="Aptos" w:hAnsi="Times New Roman" w:cs="Times New Roman"/>
          <w:kern w:val="2"/>
          <w:sz w:val="24"/>
          <w:szCs w:val="24"/>
          <w:lang w:val="" w:eastAsia="" w:bidi="ar-SA"/>
        </w:rPr>
        <w:t>a danger that interpretation begins to slide into affirmation</w:t>
      </w:r>
      <w:r w:rsidRPr="00A84B07" w:rsidR="00756A4B">
        <w:rPr>
          <w:rFonts w:ascii="Times New Roman" w:eastAsia="Aptos" w:hAnsi="Times New Roman" w:cs="Times New Roman"/>
          <w:kern w:val="2"/>
          <w:sz w:val="24"/>
          <w:szCs w:val="24"/>
          <w:lang w:val="" w:eastAsia="" w:bidi="ar-SA"/>
        </w:rPr>
        <w:t xml:space="preserve">. </w:t>
      </w:r>
      <w:r w:rsidRPr="00A84B07">
        <w:rPr>
          <w:rFonts w:ascii="Times New Roman" w:eastAsia="Aptos" w:hAnsi="Times New Roman" w:cs="Times New Roman"/>
          <w:kern w:val="2"/>
          <w:sz w:val="24"/>
          <w:szCs w:val="24"/>
          <w:lang w:val="" w:eastAsia="" w:bidi="ar-SA"/>
        </w:rPr>
        <w:t xml:space="preserve">The line between empathetic listening and critical engagement </w:t>
      </w:r>
      <w:r w:rsidRPr="00A84B07" w:rsidR="00A84B07">
        <w:rPr>
          <w:rFonts w:ascii="Times New Roman" w:eastAsia="Aptos" w:hAnsi="Times New Roman" w:cs="Times New Roman"/>
          <w:kern w:val="2"/>
          <w:sz w:val="24"/>
          <w:szCs w:val="24"/>
          <w:lang w:val="" w:eastAsia="" w:bidi="ar-SA"/>
        </w:rPr>
        <w:t xml:space="preserve">may </w:t>
      </w:r>
      <w:r w:rsidRPr="00A84B07">
        <w:rPr>
          <w:rFonts w:ascii="Times New Roman" w:eastAsia="Aptos" w:hAnsi="Times New Roman" w:cs="Times New Roman"/>
          <w:kern w:val="2"/>
          <w:sz w:val="24"/>
          <w:szCs w:val="24"/>
          <w:lang w:val="" w:eastAsia="" w:bidi="ar-SA"/>
        </w:rPr>
        <w:t>become more difficult to sustain</w:t>
      </w:r>
      <w:r w:rsidRPr="00A84B07" w:rsidR="00756A4B">
        <w:rPr>
          <w:rFonts w:ascii="Times New Roman" w:eastAsia="Aptos" w:hAnsi="Times New Roman" w:cs="Times New Roman"/>
          <w:kern w:val="2"/>
          <w:sz w:val="24"/>
          <w:szCs w:val="24"/>
          <w:lang w:val="" w:eastAsia="" w:bidi="ar-SA"/>
        </w:rPr>
        <w:t xml:space="preserve">, which could be seen as </w:t>
      </w:r>
      <w:r w:rsidRPr="00A84B07" w:rsidR="00756A4B">
        <w:rPr>
          <w:rFonts w:ascii="Times New Roman" w:eastAsia="Aptos" w:hAnsi="Times New Roman" w:cs="Times New Roman"/>
          <w:kern w:val="2"/>
          <w:sz w:val="24"/>
          <w:szCs w:val="24"/>
          <w:lang w:val="" w:eastAsia="" w:bidi="ar-SA"/>
        </w:rPr>
        <w:t>problematic</w:t>
      </w:r>
      <w:r w:rsidRPr="00A84B07">
        <w:rPr>
          <w:rFonts w:ascii="Times New Roman" w:eastAsia="Aptos" w:hAnsi="Times New Roman" w:cs="Times New Roman"/>
          <w:kern w:val="2"/>
          <w:sz w:val="24"/>
          <w:szCs w:val="24"/>
          <w:lang w:val="" w:eastAsia="" w:bidi="ar-SA"/>
        </w:rPr>
        <w:t>.</w:t>
      </w:r>
      <w:r w:rsidRPr="00A84B07" w:rsidR="00CA2BFE">
        <w:rPr>
          <w:rFonts w:ascii="Times New Roman" w:eastAsia="Aptos" w:hAnsi="Times New Roman" w:cs="Times New Roman"/>
          <w:kern w:val="2"/>
          <w:sz w:val="24"/>
          <w:szCs w:val="24"/>
          <w:lang w:val="" w:eastAsia="" w:bidi="ar-SA"/>
        </w:rPr>
        <w:t xml:space="preserve"> Yet this very vulnerability is what opens the space for what Freiberger calls redescription</w:t>
      </w:r>
      <w:r w:rsidRPr="00A84B07" w:rsidR="00756A4B">
        <w:rPr>
          <w:rFonts w:ascii="Times New Roman" w:eastAsia="Aptos" w:hAnsi="Times New Roman" w:cs="Times New Roman"/>
          <w:kern w:val="2"/>
          <w:sz w:val="24"/>
          <w:szCs w:val="24"/>
          <w:lang w:val="" w:eastAsia="" w:bidi="ar-SA"/>
        </w:rPr>
        <w:t>, “the act of formulating alternative descriptions of religious data. It is a scholarly practice that deliberately reframes the meaning or function of a phenomenon beyond the perspective of its adherents.”</w:t>
      </w:r>
      <w:r>
        <w:rPr>
          <w:rFonts w:ascii="Times New Roman" w:eastAsia="Aptos" w:hAnsi="Times New Roman" w:cs="Times New Roman"/>
          <w:kern w:val="2"/>
          <w:sz w:val="24"/>
          <w:szCs w:val="24"/>
          <w:vertAlign w:val="superscript"/>
          <w:lang w:val="" w:eastAsia="" w:bidi="ar-SA"/>
        </w:rPr>
        <w:footnoteReference w:id="17"/>
      </w:r>
      <w:r w:rsidRPr="00A84B07" w:rsidR="00A84B07">
        <w:rPr>
          <w:rFonts w:ascii="Times New Roman" w:eastAsia="Aptos" w:hAnsi="Times New Roman" w:cs="Times New Roman"/>
          <w:kern w:val="2"/>
          <w:sz w:val="24"/>
          <w:szCs w:val="24"/>
          <w:lang w:val="" w:eastAsia="" w:bidi="ar-SA"/>
        </w:rPr>
        <w:t xml:space="preserve"> </w:t>
      </w:r>
      <w:r w:rsidRPr="00A84B07" w:rsidR="00CA2BFE">
        <w:rPr>
          <w:rFonts w:ascii="Times New Roman" w:eastAsia="Aptos" w:hAnsi="Times New Roman" w:cs="Times New Roman"/>
          <w:kern w:val="2"/>
          <w:sz w:val="24"/>
          <w:szCs w:val="24"/>
          <w:lang w:val="" w:eastAsia="" w:bidi="ar-SA"/>
        </w:rPr>
        <w:t xml:space="preserve">In this mode, the aim </w:t>
      </w:r>
      <w:r w:rsidRPr="00A84B07" w:rsidR="00756A4B">
        <w:rPr>
          <w:rFonts w:ascii="Times New Roman" w:eastAsia="Aptos" w:hAnsi="Times New Roman" w:cs="Times New Roman"/>
          <w:kern w:val="2"/>
          <w:sz w:val="24"/>
          <w:szCs w:val="24"/>
          <w:lang w:val="" w:eastAsia="" w:bidi="ar-SA"/>
        </w:rPr>
        <w:t xml:space="preserve">as Walter and Waterhouse demonstrate, </w:t>
      </w:r>
      <w:r w:rsidRPr="00A84B07" w:rsidR="00CA2BFE">
        <w:rPr>
          <w:rFonts w:ascii="Times New Roman" w:eastAsia="Aptos" w:hAnsi="Times New Roman" w:cs="Times New Roman"/>
          <w:kern w:val="2"/>
          <w:sz w:val="24"/>
          <w:szCs w:val="24"/>
          <w:lang w:val="" w:eastAsia="" w:bidi="ar-SA"/>
        </w:rPr>
        <w:t>is not to resolve inconsistencies but to render them intelligible within the frameworks that participants themselves inhabit.</w:t>
      </w:r>
      <w:r w:rsidRPr="00A84B07">
        <w:rPr>
          <w:rFonts w:ascii="Times New Roman" w:eastAsia="Aptos" w:hAnsi="Times New Roman" w:cs="Times New Roman"/>
          <w:kern w:val="2"/>
          <w:sz w:val="24"/>
          <w:szCs w:val="24"/>
          <w:lang w:val="" w:eastAsia="" w:bidi="ar-SA"/>
        </w:rPr>
        <w:t xml:space="preserve"> What emerges through the contrasts in the degree of reflexivity displayed in both studies, is a structural difference in how researcher positionality shapes the production of knowledge. Brink’s refusal to situate himself in relation to his participants creates the illusion of neutrality, allowing institutional norms to function as the silent measure of coherence. Walter and Waterhouse, on the other hand, acknowledge their interpretive role and adopt a posture of proximity that grants access to the ambiguities and improvisations shaping belief. Yet this also means their findings resist strict “closure</w:t>
      </w:r>
      <w:r w:rsidRPr="00A84B07" w:rsidR="00A84B07">
        <w:rPr>
          <w:rFonts w:ascii="Times New Roman" w:eastAsia="Aptos" w:hAnsi="Times New Roman" w:cs="Times New Roman"/>
          <w:kern w:val="2"/>
          <w:sz w:val="24"/>
          <w:szCs w:val="24"/>
          <w:lang w:val="" w:eastAsia="" w:bidi="ar-SA"/>
        </w:rPr>
        <w:t>;</w:t>
      </w:r>
      <w:r w:rsidRPr="00A84B07">
        <w:rPr>
          <w:rFonts w:ascii="Times New Roman" w:eastAsia="Aptos" w:hAnsi="Times New Roman" w:cs="Times New Roman"/>
          <w:kern w:val="2"/>
          <w:sz w:val="24"/>
          <w:szCs w:val="24"/>
          <w:lang w:val="" w:eastAsia="" w:bidi="ar-SA"/>
        </w:rPr>
        <w:t xml:space="preserve">” their positional stance makes generalisation difficult and places the burden of interpretation more heavily on the reader. In each case, the </w:t>
      </w:r>
      <w:r w:rsidRPr="00A84B07" w:rsidR="00A84B07">
        <w:rPr>
          <w:rFonts w:ascii="Times New Roman" w:eastAsia="Aptos" w:hAnsi="Times New Roman" w:cs="Times New Roman"/>
          <w:kern w:val="2"/>
          <w:sz w:val="24"/>
          <w:szCs w:val="24"/>
          <w:lang w:val="" w:eastAsia="" w:bidi="ar-SA"/>
        </w:rPr>
        <w:t>position</w:t>
      </w:r>
      <w:r w:rsidRPr="00A84B07">
        <w:rPr>
          <w:rFonts w:ascii="Times New Roman" w:eastAsia="Aptos" w:hAnsi="Times New Roman" w:cs="Times New Roman"/>
          <w:kern w:val="2"/>
          <w:sz w:val="24"/>
          <w:szCs w:val="24"/>
          <w:lang w:val="" w:eastAsia="" w:bidi="ar-SA"/>
        </w:rPr>
        <w:t xml:space="preserve"> of the researcher—declared or withheld—conditions not just what is seen, but how it is made to matter.</w:t>
      </w:r>
    </w:p>
    <w:p w:rsidR="00BD4D0B" w:rsidRPr="00A84B07" w:rsidP="00A84B07">
      <w:pPr>
        <w:pStyle w:val="Heading2"/>
        <w:keepNext/>
        <w:keepLines/>
        <w:spacing w:before="160" w:after="80" w:line="278" w:lineRule="auto"/>
        <w:rPr>
          <w:rFonts w:ascii="Times New Roman" w:eastAsia="Times New Roman" w:hAnsi="Times New Roman" w:cs="Times New Roman"/>
          <w:b w:val="0"/>
          <w:bCs w:val="0"/>
          <w:i w:val="0"/>
          <w:iCs w:val="0"/>
          <w:color w:val="auto" w:themeShade="BF"/>
          <w:kern w:val="2"/>
          <w:sz w:val="32"/>
          <w:szCs w:val="32"/>
          <w:lang w:val="" w:eastAsia="" w:bidi="ar-SA"/>
        </w:rPr>
      </w:pPr>
      <w:r w:rsidRPr="00A84B07">
        <w:rPr>
          <w:rFonts w:ascii="Times New Roman" w:eastAsia="Times New Roman" w:hAnsi="Times New Roman" w:cs="Times New Roman"/>
          <w:b w:val="0"/>
          <w:bCs w:val="0"/>
          <w:i w:val="0"/>
          <w:iCs w:val="0"/>
          <w:color w:val="auto" w:themeShade="BF"/>
          <w:kern w:val="2"/>
          <w:sz w:val="32"/>
          <w:szCs w:val="32"/>
          <w:lang w:val="" w:eastAsia="" w:bidi="ar-SA"/>
        </w:rPr>
        <w:t>Theoretical Implications and Conceptual Frameworks</w:t>
      </w:r>
    </w:p>
    <w:p w:rsidR="002006DE" w:rsidRPr="002B0E78" w:rsidP="002006DE">
      <w:pPr>
        <w:spacing w:after="160" w:line="278" w:lineRule="auto"/>
        <w:rPr>
          <w:rFonts w:ascii="Times New Roman" w:eastAsia="Aptos" w:hAnsi="Times New Roman" w:cs="Times New Roman"/>
          <w:kern w:val="2"/>
          <w:sz w:val="24"/>
          <w:szCs w:val="24"/>
          <w:lang w:val="" w:eastAsia="" w:bidi="ar-SA"/>
        </w:rPr>
      </w:pPr>
      <w:r w:rsidRPr="002B0E78">
        <w:rPr>
          <w:rFonts w:ascii="Times New Roman" w:eastAsia="Aptos" w:hAnsi="Times New Roman" w:cs="Times New Roman"/>
          <w:kern w:val="2"/>
          <w:sz w:val="24"/>
          <w:szCs w:val="24"/>
          <w:lang w:val="" w:eastAsia="" w:bidi="ar-SA"/>
        </w:rPr>
        <w:t>The methodological contrasts between Brink and Walter and Waterhouse are underpinned by differing conceptual assumptions about how belief functions and what internal consistency should entail. Although neither study lays out a comprehensive theoretical framework, their treatment of belief contradiction reflects distinct visions of religious identity: one as coherence governed by external authority, the other as negotiation embedded in personal meaning.</w:t>
      </w:r>
    </w:p>
    <w:p w:rsidR="002006DE" w:rsidRPr="002B0E78" w:rsidP="002006DE">
      <w:pPr>
        <w:spacing w:after="160" w:line="278" w:lineRule="auto"/>
        <w:rPr>
          <w:rFonts w:ascii="Times New Roman" w:eastAsia="Aptos" w:hAnsi="Times New Roman" w:cs="Times New Roman"/>
          <w:kern w:val="2"/>
          <w:sz w:val="24"/>
          <w:szCs w:val="24"/>
          <w:lang w:val="" w:eastAsia="" w:bidi="ar-SA"/>
        </w:rPr>
      </w:pPr>
      <w:r w:rsidRPr="002B0E78">
        <w:rPr>
          <w:rFonts w:ascii="Times New Roman" w:eastAsia="Aptos" w:hAnsi="Times New Roman" w:cs="Times New Roman"/>
          <w:kern w:val="2"/>
          <w:sz w:val="24"/>
          <w:szCs w:val="24"/>
          <w:lang w:val="" w:eastAsia="" w:bidi="ar-SA"/>
        </w:rPr>
        <w:t>Brink’s analysis is shaped by the assumption that Catholicism represents a unified doctrinal system, against which beliefs can be tested and measured. Participants in his study were asked to affirm or deny individual propositions, including belief in Jesus as saviour and belief in reincarnation. He notes that while 54% of reincarnation-believers also affirmed the former, this was “significantly lower” than those who did not believe in reincarnation.</w:t>
      </w:r>
      <w:r>
        <w:rPr>
          <w:rFonts w:ascii="Times New Roman" w:eastAsia="Aptos" w:hAnsi="Times New Roman" w:cs="Times New Roman"/>
          <w:kern w:val="2"/>
          <w:sz w:val="24"/>
          <w:szCs w:val="24"/>
          <w:vertAlign w:val="superscript"/>
          <w:lang w:val="" w:eastAsia="" w:bidi="ar-SA"/>
        </w:rPr>
        <w:footnoteReference w:id="18"/>
      </w:r>
      <w:r w:rsidRPr="002B0E78">
        <w:rPr>
          <w:rFonts w:ascii="Times New Roman" w:eastAsia="Aptos" w:hAnsi="Times New Roman" w:cs="Times New Roman"/>
          <w:kern w:val="2"/>
          <w:sz w:val="24"/>
          <w:szCs w:val="24"/>
          <w:lang w:val="" w:eastAsia="" w:bidi="ar-SA"/>
        </w:rPr>
        <w:t xml:space="preserve"> Rather than exploring how these beliefs might coexist, Brink presents them as logically incompatible</w:t>
      </w:r>
      <w:r w:rsidRPr="002B0E78" w:rsidR="002B0E78">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19"/>
      </w:r>
      <w:r w:rsidRPr="002B0E78" w:rsidR="002B0E78">
        <w:rPr>
          <w:rFonts w:ascii="Times New Roman" w:eastAsia="Aptos" w:hAnsi="Times New Roman" w:cs="Times New Roman"/>
          <w:kern w:val="2"/>
          <w:sz w:val="24"/>
          <w:szCs w:val="24"/>
          <w:lang w:val="" w:eastAsia="" w:bidi="ar-SA"/>
        </w:rPr>
        <w:t xml:space="preserve"> </w:t>
      </w:r>
      <w:r w:rsidRPr="002B0E78">
        <w:rPr>
          <w:rFonts w:ascii="Times New Roman" w:eastAsia="Aptos" w:hAnsi="Times New Roman" w:cs="Times New Roman"/>
          <w:kern w:val="2"/>
          <w:sz w:val="24"/>
          <w:szCs w:val="24"/>
          <w:lang w:val="" w:eastAsia="" w:bidi="ar-SA"/>
        </w:rPr>
        <w:t>The implication is that participants who hold both views suffer from confusion, miseducation, or inconsistency. Belief is framed as something that should be logically integrated and institutionally aligned. When this fails to appear, it is understood as a deviation—not from internal reasoning, but from authorised religious structures.</w:t>
      </w:r>
    </w:p>
    <w:p w:rsidR="002006DE" w:rsidRPr="002B0E78" w:rsidP="002B0E78">
      <w:pPr>
        <w:spacing w:after="160" w:line="278" w:lineRule="auto"/>
        <w:rPr>
          <w:rFonts w:ascii="Times New Roman" w:eastAsia="Aptos" w:hAnsi="Times New Roman" w:cs="Times New Roman"/>
          <w:kern w:val="2"/>
          <w:sz w:val="24"/>
          <w:szCs w:val="24"/>
          <w:lang w:val="" w:eastAsia="" w:bidi="ar-SA"/>
        </w:rPr>
      </w:pPr>
      <w:r w:rsidRPr="002B0E78">
        <w:rPr>
          <w:rFonts w:ascii="Times New Roman" w:eastAsia="Aptos" w:hAnsi="Times New Roman" w:cs="Times New Roman"/>
          <w:kern w:val="2"/>
          <w:sz w:val="24"/>
          <w:szCs w:val="24"/>
          <w:lang w:val="" w:eastAsia="" w:bidi="ar-SA"/>
        </w:rPr>
        <w:t xml:space="preserve">Walter and Waterhouse approach contradiction from a different starting point. Rather than testing for agreement with institutional claims, they allow participants to articulate their beliefs narratively, often in fragmented, tentative, or exploratory terms. One participant describes her belief in reincarnation as something which helps explain why things happen the </w:t>
      </w:r>
      <w:r w:rsidRPr="002B0E78">
        <w:rPr>
          <w:rFonts w:ascii="Times New Roman" w:eastAsia="Aptos" w:hAnsi="Times New Roman" w:cs="Times New Roman"/>
          <w:kern w:val="2"/>
          <w:sz w:val="24"/>
          <w:szCs w:val="24"/>
          <w:lang w:val="" w:eastAsia="" w:bidi="ar-SA"/>
        </w:rPr>
        <w:t>way they do</w:t>
      </w:r>
      <w:r w:rsidRPr="002B0E78" w:rsidR="002B0E78">
        <w:rPr>
          <w:rFonts w:ascii="Times New Roman" w:eastAsia="Aptos" w:hAnsi="Times New Roman" w:cs="Times New Roman"/>
          <w:kern w:val="2"/>
          <w:sz w:val="24"/>
          <w:szCs w:val="24"/>
          <w:lang w:val="" w:eastAsia="" w:bidi="ar-SA"/>
        </w:rPr>
        <w:t xml:space="preserve"> or</w:t>
      </w:r>
      <w:r w:rsidRPr="002B0E78" w:rsidR="002B0E78">
        <w:rPr>
          <w:rFonts w:ascii="Times New Roman" w:eastAsia="Aptos" w:hAnsi="Times New Roman" w:cs="Times New Roman"/>
          <w:kern w:val="2"/>
          <w:sz w:val="24"/>
          <w:szCs w:val="24"/>
          <w:lang w:val="" w:eastAsia="en-US" w:bidi="ar-SA"/>
        </w:rPr>
        <w:t xml:space="preserve"> more simply put, </w:t>
      </w:r>
      <w:r w:rsidRPr="002B0E78" w:rsidR="002B0E78">
        <w:rPr>
          <w:rFonts w:ascii="Times New Roman" w:eastAsia="Aptos" w:hAnsi="Times New Roman" w:cs="Times New Roman"/>
          <w:kern w:val="2"/>
          <w:sz w:val="24"/>
          <w:szCs w:val="24"/>
          <w:lang w:val="" w:eastAsia="" w:bidi="ar-SA"/>
        </w:rPr>
        <w:t>the idea of learning and</w:t>
      </w:r>
      <w:r w:rsidRPr="002B0E78" w:rsidR="002B0E78">
        <w:rPr>
          <w:rFonts w:ascii="Times New Roman" w:eastAsia="Aptos" w:hAnsi="Times New Roman" w:cs="Times New Roman"/>
          <w:kern w:val="2"/>
          <w:sz w:val="24"/>
          <w:szCs w:val="24"/>
          <w:lang w:val="" w:eastAsia="" w:bidi="ar-SA"/>
        </w:rPr>
        <w:t xml:space="preserve"> </w:t>
      </w:r>
      <w:r w:rsidRPr="002B0E78" w:rsidR="002B0E78">
        <w:rPr>
          <w:rFonts w:ascii="Times New Roman" w:eastAsia="Aptos" w:hAnsi="Times New Roman" w:cs="Times New Roman"/>
          <w:kern w:val="2"/>
          <w:sz w:val="24"/>
          <w:szCs w:val="24"/>
          <w:lang w:val="" w:eastAsia="" w:bidi="ar-SA"/>
        </w:rPr>
        <w:t>developing from one life to the next</w:t>
      </w:r>
      <w:r w:rsidRPr="002B0E78" w:rsidR="002B0E78">
        <w:rPr>
          <w:rFonts w:ascii="Times New Roman" w:eastAsia="Aptos" w:hAnsi="Times New Roman" w:cs="Times New Roman"/>
          <w:kern w:val="2"/>
          <w:sz w:val="24"/>
          <w:szCs w:val="24"/>
          <w:lang w:val="" w:eastAsia="" w:bidi="ar-SA"/>
        </w:rPr>
        <w:t>.</w:t>
      </w:r>
      <w:r>
        <w:rPr>
          <w:rFonts w:ascii="Times New Roman" w:eastAsia="Aptos" w:hAnsi="Times New Roman" w:cs="Times New Roman"/>
          <w:kern w:val="2"/>
          <w:sz w:val="24"/>
          <w:szCs w:val="24"/>
          <w:vertAlign w:val="superscript"/>
          <w:lang w:val="" w:eastAsia="" w:bidi="ar-SA"/>
        </w:rPr>
        <w:footnoteReference w:id="20"/>
      </w:r>
      <w:r w:rsidRPr="002B0E78" w:rsidR="002B0E78">
        <w:rPr>
          <w:rFonts w:ascii="Times New Roman" w:eastAsia="Aptos" w:hAnsi="Times New Roman" w:cs="Times New Roman"/>
          <w:kern w:val="2"/>
          <w:sz w:val="24"/>
          <w:szCs w:val="24"/>
          <w:lang w:val="" w:eastAsia="" w:bidi="ar-SA"/>
        </w:rPr>
        <w:t xml:space="preserve"> </w:t>
      </w:r>
      <w:r w:rsidRPr="002B0E78">
        <w:rPr>
          <w:rFonts w:ascii="Times New Roman" w:eastAsia="Aptos" w:hAnsi="Times New Roman" w:cs="Times New Roman"/>
          <w:kern w:val="2"/>
          <w:sz w:val="24"/>
          <w:szCs w:val="24"/>
          <w:lang w:val="" w:eastAsia="" w:bidi="ar-SA"/>
        </w:rPr>
        <w:t xml:space="preserve">There is no sense of resolution, no effort to systematise the belief. What matters is that the idea provides interpretive traction, even if it lacks theological coherence. Here, contradiction is treated </w:t>
      </w:r>
      <w:r w:rsidRPr="002B0E78" w:rsidR="00083F6F">
        <w:rPr>
          <w:rFonts w:ascii="Times New Roman" w:eastAsia="Aptos" w:hAnsi="Times New Roman" w:cs="Times New Roman"/>
          <w:kern w:val="2"/>
          <w:sz w:val="24"/>
          <w:szCs w:val="24"/>
          <w:lang w:val="" w:eastAsia="" w:bidi="ar-SA"/>
        </w:rPr>
        <w:t xml:space="preserve">as </w:t>
      </w:r>
      <w:r w:rsidRPr="002B0E78">
        <w:rPr>
          <w:rFonts w:ascii="Times New Roman" w:eastAsia="Aptos" w:hAnsi="Times New Roman" w:cs="Times New Roman"/>
          <w:kern w:val="2"/>
          <w:sz w:val="24"/>
          <w:szCs w:val="24"/>
          <w:lang w:val="" w:eastAsia="" w:bidi="ar-SA"/>
        </w:rPr>
        <w:t>a valid feature of lived religious life.</w:t>
      </w:r>
    </w:p>
    <w:p w:rsidR="002006DE" w:rsidRPr="002B0E78" w:rsidP="002006DE">
      <w:pPr>
        <w:spacing w:after="160" w:line="278" w:lineRule="auto"/>
        <w:rPr>
          <w:rFonts w:ascii="Times New Roman" w:eastAsia="Aptos" w:hAnsi="Times New Roman" w:cs="Times New Roman"/>
          <w:kern w:val="2"/>
          <w:sz w:val="24"/>
          <w:szCs w:val="24"/>
          <w:lang w:val="" w:eastAsia="" w:bidi="ar-SA"/>
        </w:rPr>
      </w:pPr>
      <w:r w:rsidRPr="002B0E78">
        <w:rPr>
          <w:rFonts w:ascii="Times New Roman" w:eastAsia="Aptos" w:hAnsi="Times New Roman" w:cs="Times New Roman"/>
          <w:kern w:val="2"/>
          <w:sz w:val="24"/>
          <w:szCs w:val="24"/>
          <w:lang w:val="" w:eastAsia="" w:bidi="ar-SA"/>
        </w:rPr>
        <w:t xml:space="preserve">This interpretive openness </w:t>
      </w:r>
      <w:r w:rsidRPr="002B0E78" w:rsidR="00305B2B">
        <w:rPr>
          <w:rFonts w:ascii="Times New Roman" w:eastAsia="Aptos" w:hAnsi="Times New Roman" w:cs="Times New Roman"/>
          <w:kern w:val="2"/>
          <w:sz w:val="24"/>
          <w:szCs w:val="24"/>
          <w:lang w:val="" w:eastAsia="" w:bidi="ar-SA"/>
        </w:rPr>
        <w:t xml:space="preserve">of Walter and Waterhouse </w:t>
      </w:r>
      <w:r w:rsidRPr="002B0E78">
        <w:rPr>
          <w:rFonts w:ascii="Times New Roman" w:eastAsia="Aptos" w:hAnsi="Times New Roman" w:cs="Times New Roman"/>
          <w:kern w:val="2"/>
          <w:sz w:val="24"/>
          <w:szCs w:val="24"/>
          <w:lang w:val="" w:eastAsia="" w:bidi="ar-SA"/>
        </w:rPr>
        <w:t xml:space="preserve">aligns with </w:t>
      </w:r>
      <w:r w:rsidRPr="002B0E78" w:rsidR="00305B2B">
        <w:rPr>
          <w:rFonts w:ascii="Times New Roman" w:eastAsia="Aptos" w:hAnsi="Times New Roman" w:cs="Times New Roman"/>
          <w:kern w:val="2"/>
          <w:sz w:val="24"/>
          <w:szCs w:val="24"/>
          <w:lang w:val="" w:eastAsia="" w:bidi="ar-SA"/>
        </w:rPr>
        <w:t>a</w:t>
      </w:r>
      <w:r w:rsidRPr="002B0E78">
        <w:rPr>
          <w:rFonts w:ascii="Times New Roman" w:eastAsia="Aptos" w:hAnsi="Times New Roman" w:cs="Times New Roman"/>
          <w:kern w:val="2"/>
          <w:sz w:val="24"/>
          <w:szCs w:val="24"/>
          <w:lang w:val="" w:eastAsia="" w:bidi="ar-SA"/>
        </w:rPr>
        <w:t xml:space="preserve"> framework of lived religion, which understands belief not as assent to formalised propositions but as a process embedded in everyday experience. It </w:t>
      </w:r>
      <w:r w:rsidRPr="002B0E78" w:rsidR="00305B2B">
        <w:rPr>
          <w:rFonts w:ascii="Times New Roman" w:eastAsia="Aptos" w:hAnsi="Times New Roman" w:cs="Times New Roman"/>
          <w:kern w:val="2"/>
          <w:sz w:val="24"/>
          <w:szCs w:val="24"/>
          <w:lang w:val="" w:eastAsia="" w:bidi="ar-SA"/>
        </w:rPr>
        <w:t>presents the study of belief systems as a type of bricolage</w:t>
      </w:r>
      <w:r w:rsidRPr="002B0E78">
        <w:rPr>
          <w:rFonts w:ascii="Times New Roman" w:eastAsia="Aptos" w:hAnsi="Times New Roman" w:cs="Times New Roman"/>
          <w:kern w:val="2"/>
          <w:sz w:val="24"/>
          <w:szCs w:val="24"/>
          <w:lang w:val="" w:eastAsia="" w:bidi="ar-SA"/>
        </w:rPr>
        <w:t xml:space="preserve">—a mode of meaning-making in which people draw on multiple, sometimes contradictory, cultural resources to navigate their world. </w:t>
      </w:r>
    </w:p>
    <w:p w:rsidR="002006DE" w:rsidRPr="002B0E78" w:rsidP="002006DE">
      <w:pPr>
        <w:spacing w:after="160" w:line="278" w:lineRule="auto"/>
        <w:rPr>
          <w:rFonts w:ascii="Times New Roman" w:eastAsia="Aptos" w:hAnsi="Times New Roman" w:cs="Times New Roman"/>
          <w:kern w:val="2"/>
          <w:sz w:val="24"/>
          <w:szCs w:val="24"/>
          <w:lang w:val="" w:eastAsia="" w:bidi="ar-SA"/>
        </w:rPr>
      </w:pPr>
      <w:r w:rsidRPr="002B0E78">
        <w:rPr>
          <w:rFonts w:ascii="Times New Roman" w:eastAsia="Aptos" w:hAnsi="Times New Roman" w:cs="Times New Roman"/>
          <w:kern w:val="2"/>
          <w:sz w:val="24"/>
          <w:szCs w:val="24"/>
          <w:lang w:val="" w:eastAsia="" w:bidi="ar-SA"/>
        </w:rPr>
        <w:t xml:space="preserve">Brink and Walter and Waterhouse </w:t>
      </w:r>
      <w:r w:rsidRPr="002B0E78" w:rsidR="002B0E78">
        <w:rPr>
          <w:rFonts w:ascii="Times New Roman" w:eastAsia="Aptos" w:hAnsi="Times New Roman" w:cs="Times New Roman"/>
          <w:kern w:val="2"/>
          <w:sz w:val="24"/>
          <w:szCs w:val="24"/>
          <w:lang w:val="" w:eastAsia="" w:bidi="ar-SA"/>
        </w:rPr>
        <w:t xml:space="preserve">do more than </w:t>
      </w:r>
      <w:r w:rsidRPr="002B0E78">
        <w:rPr>
          <w:rFonts w:ascii="Times New Roman" w:eastAsia="Aptos" w:hAnsi="Times New Roman" w:cs="Times New Roman"/>
          <w:kern w:val="2"/>
          <w:sz w:val="24"/>
          <w:szCs w:val="24"/>
          <w:lang w:val="" w:eastAsia="" w:bidi="ar-SA"/>
        </w:rPr>
        <w:t>use different method</w:t>
      </w:r>
      <w:r w:rsidRPr="002B0E78" w:rsidR="002B0E78">
        <w:rPr>
          <w:rFonts w:ascii="Times New Roman" w:eastAsia="Aptos" w:hAnsi="Times New Roman" w:cs="Times New Roman"/>
          <w:kern w:val="2"/>
          <w:sz w:val="24"/>
          <w:szCs w:val="24"/>
          <w:lang w:val="" w:eastAsia="" w:bidi="ar-SA"/>
        </w:rPr>
        <w:t>ologies</w:t>
      </w:r>
      <w:r w:rsidRPr="002B0E78">
        <w:rPr>
          <w:rFonts w:ascii="Times New Roman" w:eastAsia="Aptos" w:hAnsi="Times New Roman" w:cs="Times New Roman"/>
          <w:kern w:val="2"/>
          <w:sz w:val="24"/>
          <w:szCs w:val="24"/>
          <w:lang w:val="" w:eastAsia="" w:bidi="ar-SA"/>
        </w:rPr>
        <w:t>—the</w:t>
      </w:r>
      <w:r w:rsidRPr="002B0E78" w:rsidR="002B0E78">
        <w:rPr>
          <w:rFonts w:ascii="Times New Roman" w:eastAsia="Aptos" w:hAnsi="Times New Roman" w:cs="Times New Roman"/>
          <w:kern w:val="2"/>
          <w:sz w:val="24"/>
          <w:szCs w:val="24"/>
          <w:lang w:val="" w:eastAsia="" w:bidi="ar-SA"/>
        </w:rPr>
        <w:t>ir methodologies</w:t>
      </w:r>
      <w:r w:rsidRPr="002B0E78">
        <w:rPr>
          <w:rFonts w:ascii="Times New Roman" w:eastAsia="Aptos" w:hAnsi="Times New Roman" w:cs="Times New Roman"/>
          <w:kern w:val="2"/>
          <w:sz w:val="24"/>
          <w:szCs w:val="24"/>
          <w:lang w:val="" w:eastAsia="" w:bidi="ar-SA"/>
        </w:rPr>
        <w:t xml:space="preserve"> produce different religious realities. Neither stance is neutral. Each reflects a commitment to a particular vision of what religion is, and what it should be allowed to mean in contemporary analysis.</w:t>
      </w:r>
    </w:p>
    <w:p w:rsidR="00BD4D0B" w:rsidRPr="002B0E78" w:rsidP="002B0E78">
      <w:pPr>
        <w:pStyle w:val="Heading1"/>
        <w:keepNext/>
        <w:keepLines/>
        <w:spacing w:before="360" w:after="80" w:line="278" w:lineRule="auto"/>
        <w:rPr>
          <w:rFonts w:ascii="Times New Roman" w:eastAsia="Times New Roman" w:hAnsi="Times New Roman" w:cs="Times New Roman"/>
          <w:b w:val="0"/>
          <w:bCs w:val="0"/>
          <w:color w:val="auto" w:themeShade="BF"/>
          <w:kern w:val="2"/>
          <w:sz w:val="40"/>
          <w:szCs w:val="40"/>
          <w:lang w:val="" w:eastAsia="" w:bidi="ar-SA"/>
        </w:rPr>
      </w:pPr>
      <w:r w:rsidRPr="002B0E78">
        <w:rPr>
          <w:rFonts w:ascii="Times New Roman" w:eastAsia="Times New Roman" w:hAnsi="Times New Roman" w:cs="Times New Roman"/>
          <w:b w:val="0"/>
          <w:bCs w:val="0"/>
          <w:color w:val="auto" w:themeShade="BF"/>
          <w:kern w:val="2"/>
          <w:sz w:val="40"/>
          <w:szCs w:val="40"/>
          <w:lang w:val="" w:eastAsia="" w:bidi="ar-SA"/>
        </w:rPr>
        <w:t>Conclusion</w:t>
      </w:r>
    </w:p>
    <w:p w:rsidR="005638AD" w:rsidRPr="002B0E78" w:rsidP="005638AD">
      <w:pPr>
        <w:spacing w:after="160" w:line="278" w:lineRule="auto"/>
        <w:rPr>
          <w:rFonts w:ascii="Times New Roman" w:eastAsia="Aptos" w:hAnsi="Times New Roman" w:cs="Times New Roman"/>
          <w:kern w:val="2"/>
          <w:sz w:val="24"/>
          <w:szCs w:val="24"/>
          <w:lang w:val="" w:eastAsia="" w:bidi="ar-SA"/>
        </w:rPr>
      </w:pPr>
      <w:r w:rsidRPr="002B0E78">
        <w:rPr>
          <w:rFonts w:ascii="Times New Roman" w:eastAsia="Aptos" w:hAnsi="Times New Roman" w:cs="Times New Roman"/>
          <w:kern w:val="2"/>
          <w:sz w:val="24"/>
          <w:szCs w:val="24"/>
          <w:lang w:val="" w:eastAsia="" w:bidi="ar-SA"/>
        </w:rPr>
        <w:t xml:space="preserve">A key takeaway point from this analysis </w:t>
      </w:r>
      <w:r w:rsidRPr="002B0E78">
        <w:rPr>
          <w:rFonts w:ascii="Times New Roman" w:eastAsia="Aptos" w:hAnsi="Times New Roman" w:cs="Times New Roman"/>
          <w:kern w:val="2"/>
          <w:sz w:val="24"/>
          <w:szCs w:val="24"/>
          <w:lang w:val="" w:eastAsia="" w:bidi="ar-SA"/>
        </w:rPr>
        <w:t>is that method</w:t>
      </w:r>
      <w:r w:rsidRPr="002B0E78" w:rsidR="002B0E78">
        <w:rPr>
          <w:rFonts w:ascii="Times New Roman" w:eastAsia="Aptos" w:hAnsi="Times New Roman" w:cs="Times New Roman"/>
          <w:kern w:val="2"/>
          <w:sz w:val="24"/>
          <w:szCs w:val="24"/>
          <w:lang w:val="" w:eastAsia="" w:bidi="ar-SA"/>
        </w:rPr>
        <w:t>ologies</w:t>
      </w:r>
      <w:r w:rsidRPr="002B0E78">
        <w:rPr>
          <w:rFonts w:ascii="Times New Roman" w:eastAsia="Aptos" w:hAnsi="Times New Roman" w:cs="Times New Roman"/>
          <w:kern w:val="2"/>
          <w:sz w:val="24"/>
          <w:szCs w:val="24"/>
          <w:lang w:val="" w:eastAsia="" w:bidi="ar-SA"/>
        </w:rPr>
        <w:t xml:space="preserve"> are never neutral, and that the study of belief contradiction—especially in contexts marked by overlapping religious frameworks—depends fundamentally on how belief is constructed as an object of knowledge. Through a comparative reading of Brink and Walter and Waterhouse th</w:t>
      </w:r>
      <w:r w:rsidRPr="002B0E78">
        <w:rPr>
          <w:rFonts w:ascii="Times New Roman" w:eastAsia="Aptos" w:hAnsi="Times New Roman" w:cs="Times New Roman"/>
          <w:kern w:val="2"/>
          <w:sz w:val="24"/>
          <w:szCs w:val="24"/>
          <w:lang w:val="" w:eastAsia="" w:bidi="ar-SA"/>
        </w:rPr>
        <w:t>is paper has sought to</w:t>
      </w:r>
      <w:r w:rsidRPr="002B0E78">
        <w:rPr>
          <w:rFonts w:ascii="Times New Roman" w:eastAsia="Aptos" w:hAnsi="Times New Roman" w:cs="Times New Roman"/>
          <w:kern w:val="2"/>
          <w:sz w:val="24"/>
          <w:szCs w:val="24"/>
          <w:lang w:val="" w:eastAsia="" w:bidi="ar-SA"/>
        </w:rPr>
        <w:t xml:space="preserve"> </w:t>
      </w:r>
      <w:r w:rsidRPr="002B0E78">
        <w:rPr>
          <w:rFonts w:ascii="Times New Roman" w:eastAsia="Aptos" w:hAnsi="Times New Roman" w:cs="Times New Roman"/>
          <w:kern w:val="2"/>
          <w:sz w:val="24"/>
          <w:szCs w:val="24"/>
          <w:lang w:val="" w:eastAsia="" w:bidi="ar-SA"/>
        </w:rPr>
        <w:t>demonstrate how what</w:t>
      </w:r>
      <w:r w:rsidRPr="002B0E78">
        <w:rPr>
          <w:rFonts w:ascii="Times New Roman" w:eastAsia="Aptos" w:hAnsi="Times New Roman" w:cs="Times New Roman"/>
          <w:kern w:val="2"/>
          <w:sz w:val="24"/>
          <w:szCs w:val="24"/>
          <w:lang w:val="" w:eastAsia="" w:bidi="ar-SA"/>
        </w:rPr>
        <w:t xml:space="preserve"> counts as inconsistency, coherence, or contradiction is not merely discovered by research but shaped by its underlying assumptions, methodological form, and epistemological stance.</w:t>
      </w:r>
    </w:p>
    <w:p w:rsidR="005638AD" w:rsidRPr="002B0E78" w:rsidP="005638AD">
      <w:pPr>
        <w:spacing w:after="160" w:line="278" w:lineRule="auto"/>
        <w:rPr>
          <w:rFonts w:ascii="Times New Roman" w:eastAsia="Aptos" w:hAnsi="Times New Roman" w:cs="Times New Roman"/>
          <w:kern w:val="2"/>
          <w:sz w:val="24"/>
          <w:szCs w:val="24"/>
          <w:lang w:val="" w:eastAsia="" w:bidi="ar-SA"/>
        </w:rPr>
      </w:pPr>
      <w:r w:rsidRPr="002B0E78">
        <w:rPr>
          <w:rFonts w:ascii="Times New Roman" w:eastAsia="Aptos" w:hAnsi="Times New Roman" w:cs="Times New Roman"/>
          <w:kern w:val="2"/>
          <w:sz w:val="24"/>
          <w:szCs w:val="24"/>
          <w:lang w:val="" w:eastAsia="" w:bidi="ar-SA"/>
        </w:rPr>
        <w:t>Brink’s approach, grounded in a mid-century concern with institutional alignment, frames contradiction as a failure of integration, while Walter and Waterhouse, working within a late-modern paradigm of lived religion, treat contradiction as a meaningful, even necessary, expression of religious subjectivity. These differences carry conceptual weight</w:t>
      </w:r>
      <w:r w:rsidR="00644919">
        <w:rPr>
          <w:rFonts w:ascii="Times New Roman" w:eastAsia="Aptos" w:hAnsi="Times New Roman" w:cs="Times New Roman"/>
          <w:kern w:val="2"/>
          <w:sz w:val="24"/>
          <w:szCs w:val="24"/>
          <w:lang w:val="" w:eastAsia="" w:bidi="ar-SA"/>
        </w:rPr>
        <w:t xml:space="preserve"> which</w:t>
      </w:r>
      <w:r w:rsidRPr="002B0E78">
        <w:rPr>
          <w:rFonts w:ascii="Times New Roman" w:eastAsia="Aptos" w:hAnsi="Times New Roman" w:cs="Times New Roman"/>
          <w:kern w:val="2"/>
          <w:sz w:val="24"/>
          <w:szCs w:val="24"/>
          <w:lang w:val="" w:eastAsia="" w:bidi="ar-SA"/>
        </w:rPr>
        <w:t xml:space="preserve"> reveal that belief is not a stable </w:t>
      </w:r>
      <w:r w:rsidR="00644919">
        <w:rPr>
          <w:rFonts w:ascii="Times New Roman" w:eastAsia="Aptos" w:hAnsi="Times New Roman" w:cs="Times New Roman"/>
          <w:kern w:val="2"/>
          <w:sz w:val="24"/>
          <w:szCs w:val="24"/>
          <w:lang w:val="" w:eastAsia="" w:bidi="ar-SA"/>
        </w:rPr>
        <w:t>phenomenon</w:t>
      </w:r>
      <w:r w:rsidRPr="002B0E78">
        <w:rPr>
          <w:rFonts w:ascii="Times New Roman" w:eastAsia="Aptos" w:hAnsi="Times New Roman" w:cs="Times New Roman"/>
          <w:kern w:val="2"/>
          <w:sz w:val="24"/>
          <w:szCs w:val="24"/>
          <w:lang w:val="" w:eastAsia="" w:bidi="ar-SA"/>
        </w:rPr>
        <w:t xml:space="preserve"> waiting to be captured, but a shifting field of interpretation, always mediated by the tools and positions of those who seek to understand it.</w:t>
      </w:r>
    </w:p>
    <w:p w:rsidR="00881898" w:rsidRPr="002B0E78" w:rsidP="00253923">
      <w:pPr>
        <w:spacing w:after="160" w:line="278" w:lineRule="auto"/>
        <w:rPr>
          <w:rFonts w:ascii="Times New Roman" w:eastAsia="Aptos" w:hAnsi="Times New Roman" w:cs="Times New Roman"/>
          <w:kern w:val="2"/>
          <w:sz w:val="24"/>
          <w:szCs w:val="24"/>
          <w:lang w:val="" w:eastAsia="" w:bidi="ar-SA"/>
        </w:rPr>
      </w:pPr>
      <w:r w:rsidRPr="002B0E78">
        <w:rPr>
          <w:rFonts w:ascii="Times New Roman" w:eastAsia="Aptos" w:hAnsi="Times New Roman" w:cs="Times New Roman"/>
          <w:kern w:val="2"/>
          <w:sz w:val="24"/>
          <w:szCs w:val="24"/>
          <w:lang w:val="" w:eastAsia="" w:bidi="ar-SA"/>
        </w:rPr>
        <w:t xml:space="preserve">This </w:t>
      </w:r>
      <w:r w:rsidRPr="002B0E78" w:rsidR="00F406F4">
        <w:rPr>
          <w:rFonts w:ascii="Times New Roman" w:eastAsia="Aptos" w:hAnsi="Times New Roman" w:cs="Times New Roman"/>
          <w:kern w:val="2"/>
          <w:sz w:val="24"/>
          <w:szCs w:val="24"/>
          <w:lang w:val="" w:eastAsia="" w:bidi="ar-SA"/>
        </w:rPr>
        <w:t>point is of great significance</w:t>
      </w:r>
      <w:r w:rsidRPr="002B0E78">
        <w:rPr>
          <w:rFonts w:ascii="Times New Roman" w:eastAsia="Aptos" w:hAnsi="Times New Roman" w:cs="Times New Roman"/>
          <w:kern w:val="2"/>
          <w:sz w:val="24"/>
          <w:szCs w:val="24"/>
          <w:lang w:val="" w:eastAsia="" w:bidi="ar-SA"/>
        </w:rPr>
        <w:t xml:space="preserve"> because it </w:t>
      </w:r>
      <w:r w:rsidRPr="002B0E78" w:rsidR="007B1BD1">
        <w:rPr>
          <w:rFonts w:ascii="Times New Roman" w:eastAsia="Aptos" w:hAnsi="Times New Roman" w:cs="Times New Roman"/>
          <w:kern w:val="2"/>
          <w:sz w:val="24"/>
          <w:szCs w:val="24"/>
          <w:lang w:val="" w:eastAsia="" w:bidi="ar-SA"/>
        </w:rPr>
        <w:t>opens</w:t>
      </w:r>
      <w:r w:rsidRPr="002B0E78">
        <w:rPr>
          <w:rFonts w:ascii="Times New Roman" w:eastAsia="Aptos" w:hAnsi="Times New Roman" w:cs="Times New Roman"/>
          <w:kern w:val="2"/>
          <w:sz w:val="24"/>
          <w:szCs w:val="24"/>
          <w:lang w:val="" w:eastAsia="" w:bidi="ar-SA"/>
        </w:rPr>
        <w:t xml:space="preserve"> a broader question for the study of religion: What kinds of religious life become visible when we shift the interpretive frame? And conversely, what forms of experience are excluded when our methods demand coherence or legibility according to inherited standards? For</w:t>
      </w:r>
      <w:r w:rsidRPr="002B0E78" w:rsidR="00F406F4">
        <w:rPr>
          <w:rFonts w:ascii="Times New Roman" w:eastAsia="Aptos" w:hAnsi="Times New Roman" w:cs="Times New Roman"/>
          <w:kern w:val="2"/>
          <w:sz w:val="24"/>
          <w:szCs w:val="24"/>
          <w:lang w:val="" w:eastAsia="" w:bidi="ar-SA"/>
        </w:rPr>
        <w:t xml:space="preserve"> researchers</w:t>
      </w:r>
      <w:r w:rsidRPr="002B0E78">
        <w:rPr>
          <w:rFonts w:ascii="Times New Roman" w:eastAsia="Aptos" w:hAnsi="Times New Roman" w:cs="Times New Roman"/>
          <w:kern w:val="2"/>
          <w:sz w:val="24"/>
          <w:szCs w:val="24"/>
          <w:lang w:val="" w:eastAsia="" w:bidi="ar-SA"/>
        </w:rPr>
        <w:t xml:space="preserve"> working at the intersection of religious studies, sociology, and anthropology, this comparison offers a reminder that </w:t>
      </w:r>
      <w:r w:rsidRPr="002B0E78" w:rsidR="00253923">
        <w:rPr>
          <w:rFonts w:ascii="Times New Roman" w:eastAsia="Aptos" w:hAnsi="Times New Roman" w:cs="Times New Roman"/>
          <w:kern w:val="2"/>
          <w:sz w:val="24"/>
          <w:szCs w:val="24"/>
          <w:lang w:val="" w:eastAsia="" w:bidi="ar-SA"/>
        </w:rPr>
        <w:t xml:space="preserve">ones’ </w:t>
      </w:r>
      <w:r w:rsidRPr="002B0E78">
        <w:rPr>
          <w:rFonts w:ascii="Times New Roman" w:eastAsia="Aptos" w:hAnsi="Times New Roman" w:cs="Times New Roman"/>
          <w:kern w:val="2"/>
          <w:sz w:val="24"/>
          <w:szCs w:val="24"/>
          <w:lang w:val="" w:eastAsia="" w:bidi="ar-SA"/>
        </w:rPr>
        <w:t>research designs do more than gather data—they delimit the realities we are able to perceive.</w:t>
      </w:r>
      <w:r w:rsidRPr="002B0E78">
        <w:rPr>
          <w:rFonts w:ascii="Times New Roman" w:eastAsia="Times New Roman" w:hAnsi="Times New Roman" w:cs="Times New Roman"/>
          <w:vanish/>
          <w:kern w:val="0"/>
          <w:sz w:val="16"/>
          <w:szCs w:val="16"/>
          <w:lang w:val="" w:eastAsia="" w:bidi="ar-SA"/>
        </w:rPr>
        <w:t>Top of Form</w:t>
      </w:r>
    </w:p>
    <w:p w:rsidR="00894598" w:rsidP="00A56539">
      <w:pPr>
        <w:spacing w:before="100" w:beforeAutospacing="1" w:after="100" w:afterAutospacing="1" w:line="240" w:lineRule="auto"/>
        <w:rPr>
          <w:rFonts w:ascii="Arial" w:eastAsia="Times New Roman" w:hAnsi="Arial" w:cs="Arial"/>
          <w:kern w:val="0"/>
          <w:sz w:val="16"/>
          <w:szCs w:val="16"/>
          <w:lang w:val="" w:eastAsia="" w:bidi="ar-SA"/>
        </w:rPr>
      </w:pPr>
      <w:r w:rsidRPr="00881898">
        <w:rPr>
          <w:rFonts w:ascii="Arial" w:eastAsia="Times New Roman" w:hAnsi="Arial" w:cs="Arial"/>
          <w:vanish/>
          <w:kern w:val="0"/>
          <w:sz w:val="16"/>
          <w:szCs w:val="16"/>
          <w:lang w:val="" w:eastAsia="" w:bidi="ar-SA"/>
        </w:rPr>
        <w:t>Bottom of Form</w:t>
      </w:r>
    </w:p>
    <w:p w:rsidR="00894598">
      <w:pPr>
        <w:spacing w:after="160" w:line="278" w:lineRule="auto"/>
        <w:rPr>
          <w:rFonts w:ascii="Arial" w:eastAsia="Times New Roman" w:hAnsi="Arial" w:cs="Arial"/>
          <w:kern w:val="0"/>
          <w:sz w:val="16"/>
          <w:szCs w:val="16"/>
          <w:lang w:val="" w:eastAsia="" w:bidi="ar-SA"/>
        </w:rPr>
      </w:pPr>
      <w:r>
        <w:rPr>
          <w:rFonts w:ascii="Arial" w:eastAsia="Times New Roman" w:hAnsi="Arial" w:cs="Arial"/>
          <w:kern w:val="0"/>
          <w:sz w:val="16"/>
          <w:szCs w:val="16"/>
          <w:lang w:val="" w:eastAsia="" w:bidi="ar-SA"/>
        </w:rPr>
        <w:br w:type="page"/>
      </w:r>
    </w:p>
    <w:p w:rsidR="00E74491" w:rsidP="00894598">
      <w:pPr>
        <w:pStyle w:val="Heading1"/>
        <w:keepNext/>
        <w:keepLines/>
        <w:spacing w:before="360" w:after="80" w:line="278" w:lineRule="auto"/>
        <w:rPr>
          <w:rFonts w:ascii="Times New Roman" w:eastAsia="Times New Roman" w:hAnsi="Times New Roman" w:cs="Times New Roman"/>
          <w:b w:val="0"/>
          <w:bCs w:val="0"/>
          <w:color w:val="auto" w:themeShade="BF"/>
          <w:kern w:val="2"/>
          <w:sz w:val="40"/>
          <w:szCs w:val="40"/>
          <w:lang w:val="" w:eastAsia="" w:bidi="ar-SA"/>
        </w:rPr>
      </w:pPr>
      <w:r w:rsidRPr="00894598">
        <w:rPr>
          <w:rFonts w:ascii="Times New Roman" w:eastAsia="Times New Roman" w:hAnsi="Times New Roman" w:cs="Times New Roman"/>
          <w:b w:val="0"/>
          <w:bCs w:val="0"/>
          <w:color w:val="auto" w:themeShade="BF"/>
          <w:kern w:val="2"/>
          <w:sz w:val="40"/>
          <w:szCs w:val="40"/>
          <w:lang w:val="" w:eastAsia="" w:bidi="ar-SA"/>
        </w:rPr>
        <w:t>Bibliography</w:t>
      </w:r>
    </w:p>
    <w:p w:rsidR="00894598" w:rsidRPr="00894598" w:rsidP="00894598">
      <w:pPr>
        <w:spacing w:after="160" w:line="278" w:lineRule="auto"/>
        <w:rPr>
          <w:rFonts w:ascii="Times New Roman" w:eastAsia="Aptos" w:hAnsi="Times New Roman" w:cs="Times New Roman"/>
          <w:kern w:val="2"/>
          <w:sz w:val="24"/>
          <w:szCs w:val="24"/>
          <w:lang w:val="" w:eastAsia="en-US" w:bidi="ar-SA"/>
        </w:rPr>
      </w:pPr>
      <w:r w:rsidRPr="00894598">
        <w:rPr>
          <w:rFonts w:ascii="Times New Roman" w:eastAsia="Aptos" w:hAnsi="Times New Roman" w:cs="Times New Roman"/>
          <w:kern w:val="2"/>
          <w:sz w:val="24"/>
          <w:szCs w:val="24"/>
          <w:lang w:val="" w:eastAsia="" w:bidi="ar-SA"/>
        </w:rPr>
        <w:fldChar w:fldCharType="begin"/>
      </w:r>
      <w:r w:rsidRPr="00894598">
        <w:rPr>
          <w:rFonts w:ascii="Times New Roman" w:eastAsia="Aptos" w:hAnsi="Times New Roman" w:cs="Times New Roman"/>
          <w:kern w:val="2"/>
          <w:sz w:val="24"/>
          <w:szCs w:val="24"/>
          <w:lang w:val="" w:eastAsia="" w:bidi="ar-SA"/>
        </w:rPr>
        <w:instrText xml:space="preserve"> ADDIN ZOTERO_BIBL {"uncited":[],"omitted":[],"custom":[]} CSL_BIBLIOGRAPHY </w:instrText>
      </w:r>
      <w:r w:rsidRPr="00894598">
        <w:rPr>
          <w:rFonts w:ascii="Times New Roman" w:eastAsia="Aptos" w:hAnsi="Times New Roman" w:cs="Times New Roman"/>
          <w:kern w:val="2"/>
          <w:sz w:val="24"/>
          <w:szCs w:val="24"/>
          <w:lang w:val="" w:eastAsia="" w:bidi="ar-SA"/>
        </w:rPr>
        <w:fldChar w:fldCharType="separate"/>
      </w:r>
      <w:r w:rsidRPr="00894598">
        <w:rPr>
          <w:rFonts w:ascii="Times New Roman" w:eastAsia="Aptos" w:hAnsi="Times New Roman" w:cs="Times New Roman"/>
          <w:kern w:val="2"/>
          <w:sz w:val="24"/>
          <w:szCs w:val="24"/>
          <w:lang w:val="" w:eastAsia="en-US" w:bidi="ar-SA"/>
        </w:rPr>
        <w:t xml:space="preserve">Brink, T. L. “Inconsistency of Belief among Roman Catholic Girls: Concerning Religion, Astrology, Reincarnation.” </w:t>
      </w:r>
      <w:r w:rsidRPr="00894598">
        <w:rPr>
          <w:rFonts w:ascii="Times New Roman" w:eastAsia="Aptos" w:hAnsi="Times New Roman" w:cs="Times New Roman"/>
          <w:i/>
          <w:iCs/>
          <w:kern w:val="2"/>
          <w:sz w:val="24"/>
          <w:szCs w:val="24"/>
          <w:lang w:val="" w:eastAsia="en-US" w:bidi="ar-SA"/>
        </w:rPr>
        <w:t>Review of Religious Research</w:t>
      </w:r>
      <w:r w:rsidRPr="00894598">
        <w:rPr>
          <w:rFonts w:ascii="Times New Roman" w:eastAsia="Aptos" w:hAnsi="Times New Roman" w:cs="Times New Roman"/>
          <w:kern w:val="2"/>
          <w:sz w:val="24"/>
          <w:szCs w:val="24"/>
          <w:lang w:val="" w:eastAsia="en-US" w:bidi="ar-SA"/>
        </w:rPr>
        <w:t xml:space="preserve"> 20, no. 1 (1978): 82–85.</w:t>
      </w:r>
    </w:p>
    <w:p w:rsidR="00894598" w:rsidRPr="00894598" w:rsidP="00894598">
      <w:pPr>
        <w:spacing w:after="160" w:line="278" w:lineRule="auto"/>
        <w:rPr>
          <w:rFonts w:ascii="Times New Roman" w:eastAsia="Aptos" w:hAnsi="Times New Roman" w:cs="Times New Roman"/>
          <w:kern w:val="2"/>
          <w:sz w:val="24"/>
          <w:szCs w:val="24"/>
          <w:lang w:val="" w:eastAsia="en-US" w:bidi="ar-SA"/>
        </w:rPr>
      </w:pPr>
      <w:r w:rsidRPr="00894598">
        <w:rPr>
          <w:rFonts w:ascii="Times New Roman" w:eastAsia="Aptos" w:hAnsi="Times New Roman" w:cs="Times New Roman"/>
          <w:kern w:val="2"/>
          <w:sz w:val="24"/>
          <w:szCs w:val="24"/>
          <w:lang w:val="" w:eastAsia="en-US" w:bidi="ar-SA"/>
        </w:rPr>
        <w:t xml:space="preserve">Festinger, Leon. </w:t>
      </w:r>
      <w:r w:rsidRPr="00894598">
        <w:rPr>
          <w:rFonts w:ascii="Times New Roman" w:eastAsia="Aptos" w:hAnsi="Times New Roman" w:cs="Times New Roman"/>
          <w:i/>
          <w:iCs/>
          <w:kern w:val="2"/>
          <w:sz w:val="24"/>
          <w:szCs w:val="24"/>
          <w:lang w:val="" w:eastAsia="en-US" w:bidi="ar-SA"/>
        </w:rPr>
        <w:t>A Theory of Cognitive Dissonance</w:t>
      </w:r>
      <w:r w:rsidRPr="00894598">
        <w:rPr>
          <w:rFonts w:ascii="Times New Roman" w:eastAsia="Aptos" w:hAnsi="Times New Roman" w:cs="Times New Roman"/>
          <w:kern w:val="2"/>
          <w:sz w:val="24"/>
          <w:szCs w:val="24"/>
          <w:lang w:val="" w:eastAsia="en-US" w:bidi="ar-SA"/>
        </w:rPr>
        <w:t>. U.S.A: Stanford University Press, 1957.</w:t>
      </w:r>
    </w:p>
    <w:p w:rsidR="00894598" w:rsidRPr="00894598" w:rsidP="00894598">
      <w:pPr>
        <w:spacing w:after="160" w:line="278" w:lineRule="auto"/>
        <w:rPr>
          <w:rFonts w:ascii="Times New Roman" w:eastAsia="Aptos" w:hAnsi="Times New Roman" w:cs="Times New Roman"/>
          <w:kern w:val="2"/>
          <w:sz w:val="24"/>
          <w:szCs w:val="24"/>
          <w:lang w:val="" w:eastAsia="en-US" w:bidi="ar-SA"/>
        </w:rPr>
      </w:pPr>
      <w:r w:rsidRPr="00894598">
        <w:rPr>
          <w:rFonts w:ascii="Times New Roman" w:eastAsia="Aptos" w:hAnsi="Times New Roman" w:cs="Times New Roman"/>
          <w:kern w:val="2"/>
          <w:sz w:val="24"/>
          <w:szCs w:val="24"/>
          <w:lang w:val="" w:eastAsia="en-US" w:bidi="ar-SA"/>
        </w:rPr>
        <w:t xml:space="preserve">Freiberger, Oliver. </w:t>
      </w:r>
      <w:r w:rsidRPr="00894598">
        <w:rPr>
          <w:rFonts w:ascii="Times New Roman" w:eastAsia="Aptos" w:hAnsi="Times New Roman" w:cs="Times New Roman"/>
          <w:i/>
          <w:iCs/>
          <w:kern w:val="2"/>
          <w:sz w:val="24"/>
          <w:szCs w:val="24"/>
          <w:lang w:val="" w:eastAsia="en-US" w:bidi="ar-SA"/>
        </w:rPr>
        <w:t>Considering Comparison: A Method for Religious Studies</w:t>
      </w:r>
      <w:r w:rsidRPr="00894598">
        <w:rPr>
          <w:rFonts w:ascii="Times New Roman" w:eastAsia="Aptos" w:hAnsi="Times New Roman" w:cs="Times New Roman"/>
          <w:kern w:val="2"/>
          <w:sz w:val="24"/>
          <w:szCs w:val="24"/>
          <w:lang w:val="" w:eastAsia="en-US" w:bidi="ar-SA"/>
        </w:rPr>
        <w:t>. U.S.A: Oxford University Press, 2019.</w:t>
      </w:r>
    </w:p>
    <w:p w:rsidR="00894598" w:rsidRPr="00894598" w:rsidP="00894598">
      <w:pPr>
        <w:spacing w:after="160" w:line="278" w:lineRule="auto"/>
        <w:rPr>
          <w:rFonts w:ascii="Times New Roman" w:eastAsia="Aptos" w:hAnsi="Times New Roman" w:cs="Times New Roman"/>
          <w:kern w:val="2"/>
          <w:sz w:val="24"/>
          <w:szCs w:val="24"/>
          <w:lang w:val="" w:eastAsia="en-US" w:bidi="ar-SA"/>
        </w:rPr>
      </w:pPr>
      <w:r w:rsidRPr="00894598">
        <w:rPr>
          <w:rFonts w:ascii="Times New Roman" w:eastAsia="Aptos" w:hAnsi="Times New Roman" w:cs="Times New Roman"/>
          <w:kern w:val="2"/>
          <w:sz w:val="24"/>
          <w:szCs w:val="24"/>
          <w:lang w:val="" w:eastAsia="en-US" w:bidi="ar-SA"/>
        </w:rPr>
        <w:t xml:space="preserve">Smith, Jonathan Zittell. </w:t>
      </w:r>
      <w:r w:rsidRPr="00894598">
        <w:rPr>
          <w:rFonts w:ascii="Times New Roman" w:eastAsia="Aptos" w:hAnsi="Times New Roman" w:cs="Times New Roman"/>
          <w:i/>
          <w:iCs/>
          <w:kern w:val="2"/>
          <w:sz w:val="24"/>
          <w:szCs w:val="24"/>
          <w:lang w:val="" w:eastAsia="en-US" w:bidi="ar-SA"/>
        </w:rPr>
        <w:t>Relating Religion: Essays in the Study of Religion</w:t>
      </w:r>
      <w:r w:rsidRPr="00894598">
        <w:rPr>
          <w:rFonts w:ascii="Times New Roman" w:eastAsia="Aptos" w:hAnsi="Times New Roman" w:cs="Times New Roman"/>
          <w:kern w:val="2"/>
          <w:sz w:val="24"/>
          <w:szCs w:val="24"/>
          <w:lang w:val="" w:eastAsia="en-US" w:bidi="ar-SA"/>
        </w:rPr>
        <w:t>. U.S.A: The University of Chicago Press, 2004.</w:t>
      </w:r>
    </w:p>
    <w:p w:rsidR="00894598" w:rsidRPr="00894598" w:rsidP="00894598">
      <w:pPr>
        <w:spacing w:after="160" w:line="278" w:lineRule="auto"/>
        <w:rPr>
          <w:rFonts w:ascii="Times New Roman" w:eastAsia="Aptos" w:hAnsi="Times New Roman" w:cs="Times New Roman"/>
          <w:kern w:val="2"/>
          <w:sz w:val="24"/>
          <w:szCs w:val="24"/>
          <w:lang w:val="" w:eastAsia="en-US" w:bidi="ar-SA"/>
        </w:rPr>
      </w:pPr>
      <w:r w:rsidRPr="00894598">
        <w:rPr>
          <w:rFonts w:ascii="Times New Roman" w:eastAsia="Aptos" w:hAnsi="Times New Roman" w:cs="Times New Roman"/>
          <w:kern w:val="2"/>
          <w:sz w:val="24"/>
          <w:szCs w:val="24"/>
          <w:lang w:val="" w:eastAsia="en-US" w:bidi="ar-SA"/>
        </w:rPr>
        <w:t xml:space="preserve">Walter, Tony, and Helen Waterhouse. “A Very Private Belief: Reincarnation in Contemporary England.” </w:t>
      </w:r>
      <w:r w:rsidRPr="00894598">
        <w:rPr>
          <w:rFonts w:ascii="Times New Roman" w:eastAsia="Aptos" w:hAnsi="Times New Roman" w:cs="Times New Roman"/>
          <w:i/>
          <w:iCs/>
          <w:kern w:val="2"/>
          <w:sz w:val="24"/>
          <w:szCs w:val="24"/>
          <w:lang w:val="" w:eastAsia="en-US" w:bidi="ar-SA"/>
        </w:rPr>
        <w:t>Sociology of Religion</w:t>
      </w:r>
      <w:r w:rsidRPr="00894598">
        <w:rPr>
          <w:rFonts w:ascii="Times New Roman" w:eastAsia="Aptos" w:hAnsi="Times New Roman" w:cs="Times New Roman"/>
          <w:kern w:val="2"/>
          <w:sz w:val="24"/>
          <w:szCs w:val="24"/>
          <w:lang w:val="" w:eastAsia="en-US" w:bidi="ar-SA"/>
        </w:rPr>
        <w:t xml:space="preserve"> 60, no. 2 (1999): 187–97.</w:t>
      </w:r>
    </w:p>
    <w:p w:rsidR="00894598" w:rsidRPr="00894598" w:rsidP="00894598">
      <w:pPr>
        <w:spacing w:after="160" w:line="278" w:lineRule="auto"/>
        <w:rPr>
          <w:rFonts w:ascii="Times New Roman" w:eastAsia="Aptos" w:hAnsi="Times New Roman" w:cs="Times New Roman"/>
          <w:kern w:val="2"/>
          <w:sz w:val="24"/>
          <w:szCs w:val="24"/>
          <w:lang w:val="" w:eastAsia="en-US" w:bidi="ar-SA"/>
        </w:rPr>
      </w:pPr>
      <w:r w:rsidRPr="00894598">
        <w:rPr>
          <w:rFonts w:ascii="Times New Roman" w:eastAsia="Aptos" w:hAnsi="Times New Roman" w:cs="Times New Roman"/>
          <w:kern w:val="2"/>
          <w:sz w:val="24"/>
          <w:szCs w:val="24"/>
          <w:lang w:val="" w:eastAsia="en-US" w:bidi="ar-SA"/>
        </w:rPr>
        <w:t xml:space="preserve">Wilson, Bryan. </w:t>
      </w:r>
      <w:r w:rsidRPr="00894598">
        <w:rPr>
          <w:rFonts w:ascii="Times New Roman" w:eastAsia="Aptos" w:hAnsi="Times New Roman" w:cs="Times New Roman"/>
          <w:i/>
          <w:iCs/>
          <w:kern w:val="2"/>
          <w:sz w:val="24"/>
          <w:szCs w:val="24"/>
          <w:lang w:val="" w:eastAsia="en-US" w:bidi="ar-SA"/>
        </w:rPr>
        <w:t>Religion in Secular Society</w:t>
      </w:r>
      <w:r w:rsidRPr="00894598">
        <w:rPr>
          <w:rFonts w:ascii="Times New Roman" w:eastAsia="Aptos" w:hAnsi="Times New Roman" w:cs="Times New Roman"/>
          <w:kern w:val="2"/>
          <w:sz w:val="24"/>
          <w:szCs w:val="24"/>
          <w:lang w:val="" w:eastAsia="en-US" w:bidi="ar-SA"/>
        </w:rPr>
        <w:t>. Edited by Steve Bruce. U.S.A: Oxford University Press, 2016.</w:t>
      </w:r>
    </w:p>
    <w:p w:rsidR="00894598" w:rsidRPr="00894598" w:rsidP="00894598">
      <w:pPr>
        <w:spacing w:after="160" w:line="278" w:lineRule="auto"/>
        <w:rPr>
          <w:rFonts w:ascii="Aptos" w:eastAsia="Aptos" w:hAnsi="Aptos" w:cs="Times New Roman"/>
          <w:kern w:val="2"/>
          <w:sz w:val="24"/>
          <w:szCs w:val="24"/>
          <w:lang w:val="" w:eastAsia="" w:bidi="ar-SA"/>
        </w:rPr>
      </w:pPr>
      <w:r w:rsidRPr="00894598">
        <w:rPr>
          <w:rFonts w:ascii="Times New Roman" w:eastAsia="Aptos" w:hAnsi="Times New Roman" w:cs="Times New Roman"/>
          <w:kern w:val="2"/>
          <w:sz w:val="24"/>
          <w:szCs w:val="24"/>
          <w:lang w:val="" w:eastAsia="" w:bidi="ar-SA"/>
        </w:rPr>
        <w:fldChar w:fldCharType="end"/>
      </w:r>
    </w:p>
    <w:sectPr>
      <w:footerReference w:type="default" r:id="rId8"/>
      <w:type w:val="nextPage"/>
      <w:pgSz w:w="11906" w:h="16838"/>
      <w:pgMar w:top="1440" w:right="1440" w:bottom="1440" w:left="144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0000000000000000000"/>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ptos Display">
    <w:panose1 w:val="00000000000000000000"/>
    <w:charset w:val="00"/>
    <w:family w:val="swiss"/>
    <w:pitch w:val="variable"/>
    <w:sig w:usb0="20000287" w:usb1="00000003" w:usb2="00000000" w:usb3="00000000" w:csb0="0000019F" w:csb1="00000000"/>
  </w:font>
  <w:font w:name="Aptos">
    <w:panose1 w:val="00000000000000000000"/>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A08" w:rsidRPr="00337A70">
    <w:pPr>
      <w:pStyle w:val="Footer"/>
      <w:rPr>
        <w:rFonts w:ascii="Trebuchet MS" w:hAnsi="Trebuchet MS"/>
        <w:sz w:val="18"/>
        <w:szCs w:val="18"/>
      </w:rPr>
    </w:pPr>
    <w:r w:rsidRPr="00337A70">
      <w:rPr>
        <w:rFonts w:ascii="Trebuchet MS" w:hAnsi="Trebuchet MS"/>
        <w:sz w:val="18"/>
        <w:szCs w:val="1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6073072"/>
      <w:docPartObj>
        <w:docPartGallery w:val="Page Numbers (Bottom of Page)"/>
        <w:docPartUnique/>
      </w:docPartObj>
    </w:sdtPr>
    <w:sdtContent>
      <w:p w:rsidR="00977C2B">
        <w:pPr>
          <w:tabs>
            <w:tab w:val="center" w:pos="4513"/>
            <w:tab w:val="right" w:pos="9026"/>
          </w:tabs>
          <w:spacing w:after="0" w:line="240" w:lineRule="auto"/>
          <w:jc w:val="right"/>
          <w:rPr>
            <w:rFonts w:ascii="Aptos" w:eastAsia="Aptos" w:hAnsi="Aptos" w:cs="Times New Roman"/>
            <w:kern w:val="2"/>
            <w:sz w:val="24"/>
            <w:szCs w:val="24"/>
            <w:lang w:val="" w:eastAsia="en-US" w:bidi="ar-SA"/>
          </w:rPr>
        </w:pPr>
        <w:r>
          <w:rPr>
            <w:rFonts w:ascii="Aptos" w:eastAsia="Aptos" w:hAnsi="Aptos" w:cstheme="minorBidi"/>
            <w:kern w:val="2"/>
            <w:sz w:val="24"/>
            <w:szCs w:val="24"/>
            <w:lang w:val="" w:eastAsia="en-US" w:bidi="ar-SA"/>
          </w:rPr>
          <w:fldChar w:fldCharType="begin"/>
        </w:r>
        <w:r>
          <w:rPr>
            <w:rFonts w:ascii="Aptos" w:eastAsia="Aptos" w:hAnsi="Aptos" w:cstheme="minorBidi"/>
            <w:kern w:val="2"/>
            <w:sz w:val="24"/>
            <w:szCs w:val="24"/>
            <w:lang w:val="" w:eastAsia="en-US" w:bidi="ar-SA"/>
          </w:rPr>
          <w:instrText>PAGE   \* MERGEFORMAT</w:instrText>
        </w:r>
        <w:r>
          <w:rPr>
            <w:rFonts w:ascii="Aptos" w:eastAsia="Aptos" w:hAnsi="Aptos" w:cstheme="minorBidi"/>
            <w:kern w:val="2"/>
            <w:sz w:val="24"/>
            <w:szCs w:val="24"/>
            <w:lang w:val="" w:eastAsia="en-US" w:bidi="ar-SA"/>
          </w:rPr>
          <w:fldChar w:fldCharType="separate"/>
        </w:r>
        <w:r>
          <w:rPr>
            <w:rFonts w:ascii="Aptos" w:eastAsia="Aptos" w:hAnsi="Aptos" w:cstheme="minorBidi"/>
            <w:kern w:val="2"/>
            <w:sz w:val="24"/>
            <w:szCs w:val="24"/>
            <w:lang w:val="en-GB" w:eastAsia="en-US" w:bidi="ar-SA"/>
          </w:rPr>
          <w:t>2</w:t>
        </w:r>
        <w:r>
          <w:rPr>
            <w:rFonts w:ascii="Aptos" w:eastAsia="Aptos" w:hAnsi="Aptos" w:cstheme="minorBidi"/>
            <w:kern w:val="2"/>
            <w:sz w:val="24"/>
            <w:szCs w:val="24"/>
            <w:lang w:val="" w:eastAsia="en-US" w:bidi="ar-SA"/>
          </w:rPr>
          <w:fldChar w:fldCharType="end"/>
        </w:r>
      </w:p>
    </w:sdtContent>
  </w:sdt>
  <w:p w:rsidR="00977C2B">
    <w:pPr>
      <w:tabs>
        <w:tab w:val="center" w:pos="4513"/>
        <w:tab w:val="right" w:pos="9026"/>
      </w:tabs>
      <w:spacing w:after="0" w:line="240" w:lineRule="auto"/>
      <w:rPr>
        <w:rFonts w:ascii="Aptos" w:eastAsia="Aptos" w:hAnsi="Aptos" w:cs="Times New Roman"/>
        <w:kern w:val="2"/>
        <w:sz w:val="24"/>
        <w:szCs w:val="24"/>
        <w:lang w:val="" w:eastAsia="en-US" w:bidi="ar-S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73D3" w:rsidP="004232B3">
      <w:pPr>
        <w:spacing w:after="0" w:line="240" w:lineRule="auto"/>
        <w:rPr>
          <w:rFonts w:ascii="Aptos" w:eastAsia="Aptos" w:hAnsi="Aptos" w:cs="Times New Roman"/>
          <w:kern w:val="2"/>
          <w:sz w:val="24"/>
          <w:szCs w:val="24"/>
          <w:lang w:val="" w:eastAsia="en-US" w:bidi="ar-SA"/>
        </w:rPr>
      </w:pPr>
      <w:r>
        <w:rPr>
          <w:rFonts w:ascii="Aptos" w:eastAsia="Aptos" w:hAnsi="Aptos" w:cstheme="minorBidi"/>
          <w:kern w:val="2"/>
          <w:sz w:val="24"/>
          <w:szCs w:val="24"/>
          <w:lang w:val="" w:eastAsia="en-US" w:bidi="ar-SA"/>
        </w:rPr>
        <w:separator/>
      </w:r>
    </w:p>
  </w:footnote>
  <w:footnote w:type="continuationSeparator" w:id="1">
    <w:p w:rsidR="002B7C26" w:rsidP="00AD5D5A">
      <w:r>
        <w:continuationSeparator/>
      </w:r>
    </w:p>
  </w:footnote>
  <w:footnote w:id="2">
    <w:p w:rsidR="004232B3" w:rsidRPr="00E52A3C">
      <w:pPr>
        <w:pStyle w:val="FootnoteText"/>
        <w:rPr>
          <w:rFonts w:ascii="Times New Roman" w:hAnsi="Times New Roman" w:cs="Times New Roman"/>
          <w:lang w:val="en-GB"/>
        </w:rPr>
      </w:pPr>
      <w:r w:rsidRPr="00E52A3C">
        <w:rPr>
          <w:rStyle w:val="FootnoteReference"/>
          <w:rFonts w:ascii="Times New Roman" w:hAnsi="Times New Roman" w:cs="Times New Roman"/>
        </w:rPr>
        <w:footnoteRef/>
      </w:r>
      <w:r w:rsidRPr="00E52A3C">
        <w:rPr>
          <w:rFonts w:ascii="Times New Roman" w:hAnsi="Times New Roman" w:cs="Times New Roman"/>
        </w:rPr>
        <w:t xml:space="preserve"> </w:t>
      </w:r>
      <w:r w:rsidRPr="00E52A3C">
        <w:rPr>
          <w:rFonts w:ascii="Times New Roman" w:hAnsi="Times New Roman" w:cs="Times New Roman"/>
        </w:rPr>
        <w:fldChar w:fldCharType="begin"/>
      </w:r>
      <w:r w:rsidRPr="00E52A3C">
        <w:rPr>
          <w:rFonts w:ascii="Times New Roman" w:hAnsi="Times New Roman" w:cs="Times New Roman"/>
        </w:rPr>
        <w:instrText xml:space="preserve"> ADDIN ZOTERO_ITEM CSL_CITATION {"citationID":"NDW5Z3PR","properties":{"formattedCitation":"T. L. Brink, \\uc0\\u8220{}Inconsistency of Belief among Roman Catholic Girls: Concerning Religion, Astrology, Reincarnation,\\uc0\\u8221{} {\\i{}Review of Religious Research} 20, no. 1 (1978): 82\\uc0\\u8211{}85.","plainCitation":"T. L. Brink, “Inconsistency of Belief among Roman Catholic Girls: Concerning Religion, Astrology, Reincarnation,” Review of Religious Research 20, no. 1 (1978): 82–85.","noteIndex":1},"citationItems":[{"id":62,"uris":["http://zotero.org/users/16253413/items/IKMKG5G9"],"itemData":{"id":62,"type":"article-journal","container-title":"Review of Religious Research","issue":"1","page":"82-85","title":"Inconsistency of Belief among Roman Catholic Girls: Concerning Religion, Astrology, Reincarnation","volume":"20","author":[{"family":"Brink","given":"T. L."}],"issued":{"date-parts":[["1978"]]}}}],"schema":"https://github.com/citation-style-language/schema/raw/master/csl-citation.json"} </w:instrText>
      </w:r>
      <w:r w:rsidRPr="00E52A3C">
        <w:rPr>
          <w:rFonts w:ascii="Times New Roman" w:hAnsi="Times New Roman" w:cs="Times New Roman"/>
        </w:rPr>
        <w:fldChar w:fldCharType="separate"/>
      </w:r>
      <w:r w:rsidRPr="00E52A3C">
        <w:rPr>
          <w:rFonts w:ascii="Times New Roman" w:hAnsi="Times New Roman" w:cs="Times New Roman"/>
          <w:kern w:val="0"/>
        </w:rPr>
        <w:t xml:space="preserve">T. L. Brink, “Inconsistency of Belief among Roman Catholic Girls: Concerning Religion, Astrology, Reincarnation,” </w:t>
      </w:r>
      <w:r w:rsidRPr="00E52A3C">
        <w:rPr>
          <w:rFonts w:ascii="Times New Roman" w:hAnsi="Times New Roman" w:cs="Times New Roman"/>
          <w:i/>
          <w:iCs/>
          <w:kern w:val="0"/>
        </w:rPr>
        <w:t>Review of Religious Research</w:t>
      </w:r>
      <w:r w:rsidRPr="00E52A3C">
        <w:rPr>
          <w:rFonts w:ascii="Times New Roman" w:hAnsi="Times New Roman" w:cs="Times New Roman"/>
          <w:kern w:val="0"/>
        </w:rPr>
        <w:t xml:space="preserve"> 20, no. 1 (1978): 82–85.</w:t>
      </w:r>
      <w:r w:rsidRPr="00E52A3C">
        <w:rPr>
          <w:rFonts w:ascii="Times New Roman" w:hAnsi="Times New Roman" w:cs="Times New Roman"/>
        </w:rPr>
        <w:fldChar w:fldCharType="end"/>
      </w:r>
    </w:p>
  </w:footnote>
  <w:footnote w:id="3">
    <w:p w:rsidR="004232B3" w:rsidRPr="00E52A3C">
      <w:pPr>
        <w:pStyle w:val="FootnoteText"/>
        <w:rPr>
          <w:rFonts w:ascii="Times New Roman" w:hAnsi="Times New Roman" w:cs="Times New Roman"/>
          <w:lang w:val="en-GB"/>
        </w:rPr>
      </w:pPr>
      <w:r w:rsidRPr="00E52A3C">
        <w:rPr>
          <w:rStyle w:val="FootnoteReference"/>
          <w:rFonts w:ascii="Times New Roman" w:hAnsi="Times New Roman" w:cs="Times New Roman"/>
        </w:rPr>
        <w:footnoteRef/>
      </w:r>
      <w:r w:rsidRPr="00E52A3C">
        <w:rPr>
          <w:rFonts w:ascii="Times New Roman" w:hAnsi="Times New Roman" w:cs="Times New Roman"/>
        </w:rPr>
        <w:t xml:space="preserve"> </w:t>
      </w:r>
      <w:r w:rsidRPr="00E52A3C">
        <w:rPr>
          <w:rFonts w:ascii="Times New Roman" w:hAnsi="Times New Roman" w:cs="Times New Roman"/>
        </w:rPr>
        <w:fldChar w:fldCharType="begin"/>
      </w:r>
      <w:r w:rsidRPr="00E52A3C">
        <w:rPr>
          <w:rFonts w:ascii="Times New Roman" w:hAnsi="Times New Roman" w:cs="Times New Roman"/>
        </w:rPr>
        <w:instrText xml:space="preserve"> ADDIN ZOTERO_ITEM CSL_CITATION {"citationID":"F7dDwg0H","properties":{"formattedCitation":"Tony Walter and Helen Waterhouse, \\uc0\\u8220{}A Very Private Belief: Reincarnation in Contemporary England,\\uc0\\u8221{} {\\i{}Sociology of Religion} 60, no. 2 (1999): 187\\uc0\\u8211{}97.","plainCitation":"Tony Walter and Helen Waterhouse, “A Very Private Belief: Reincarnation in Contemporary England,” Sociology of Religion 60, no. 2 (1999): 187–97.","noteIndex":2},"citationItems":[{"id":85,"uris":["http://zotero.org/users/16253413/items/63K237H3"],"itemData":{"id":85,"type":"article-journal","container-title":"Sociology of Religion","issue":"2","page":"187-197","title":"A Very Private Belief: Reincarnation in Contemporary England","volume":"60","author":[{"family":"Walter","given":"Tony"},{"family":"Waterhouse","given":"Helen"}],"issued":{"date-parts":[["1999"]]}}}],"schema":"https://github.com/citation-style-language/schema/raw/master/csl-citation.json"} </w:instrText>
      </w:r>
      <w:r w:rsidRPr="00E52A3C">
        <w:rPr>
          <w:rFonts w:ascii="Times New Roman" w:hAnsi="Times New Roman" w:cs="Times New Roman"/>
        </w:rPr>
        <w:fldChar w:fldCharType="separate"/>
      </w:r>
      <w:r w:rsidRPr="00E52A3C">
        <w:rPr>
          <w:rFonts w:ascii="Times New Roman" w:hAnsi="Times New Roman" w:cs="Times New Roman"/>
          <w:kern w:val="0"/>
        </w:rPr>
        <w:t xml:space="preserve">Tony Walter and Helen Waterhouse, “A Very Private Belief: Reincarnation in Contemporary England,” </w:t>
      </w:r>
      <w:r w:rsidRPr="00E52A3C">
        <w:rPr>
          <w:rFonts w:ascii="Times New Roman" w:hAnsi="Times New Roman" w:cs="Times New Roman"/>
          <w:i/>
          <w:iCs/>
          <w:kern w:val="0"/>
        </w:rPr>
        <w:t>Sociology of Religion</w:t>
      </w:r>
      <w:r w:rsidRPr="00E52A3C">
        <w:rPr>
          <w:rFonts w:ascii="Times New Roman" w:hAnsi="Times New Roman" w:cs="Times New Roman"/>
          <w:kern w:val="0"/>
        </w:rPr>
        <w:t xml:space="preserve"> 60, no. 2 (1999): 187–97.</w:t>
      </w:r>
      <w:r w:rsidRPr="00E52A3C">
        <w:rPr>
          <w:rFonts w:ascii="Times New Roman" w:hAnsi="Times New Roman" w:cs="Times New Roman"/>
        </w:rPr>
        <w:fldChar w:fldCharType="end"/>
      </w:r>
    </w:p>
  </w:footnote>
  <w:footnote w:id="4">
    <w:p w:rsidR="004232B3" w:rsidRPr="00E52A3C">
      <w:pPr>
        <w:pStyle w:val="FootnoteText"/>
        <w:rPr>
          <w:rFonts w:ascii="Times New Roman" w:hAnsi="Times New Roman" w:cs="Times New Roman"/>
          <w:lang w:val="en-GB"/>
        </w:rPr>
      </w:pPr>
      <w:r w:rsidRPr="00E52A3C">
        <w:rPr>
          <w:rStyle w:val="FootnoteReference"/>
          <w:rFonts w:ascii="Times New Roman" w:hAnsi="Times New Roman" w:cs="Times New Roman"/>
        </w:rPr>
        <w:footnoteRef/>
      </w:r>
      <w:r w:rsidRPr="00E52A3C">
        <w:rPr>
          <w:rFonts w:ascii="Times New Roman" w:hAnsi="Times New Roman" w:cs="Times New Roman"/>
        </w:rPr>
        <w:t xml:space="preserve"> </w:t>
      </w:r>
      <w:r w:rsidRPr="00E52A3C">
        <w:rPr>
          <w:rFonts w:ascii="Times New Roman" w:hAnsi="Times New Roman" w:cs="Times New Roman"/>
        </w:rPr>
        <w:fldChar w:fldCharType="begin"/>
      </w:r>
      <w:r w:rsidRPr="00E52A3C">
        <w:rPr>
          <w:rFonts w:ascii="Times New Roman" w:hAnsi="Times New Roman" w:cs="Times New Roman"/>
        </w:rPr>
        <w:instrText xml:space="preserve"> ADDIN ZOTERO_ITEM CSL_CITATION {"citationID":"ic0rr8qX","properties":{"formattedCitation":"Brink, \\uc0\\u8220{}Inconsistency of Belief among Roman Catholic Girls: Concerning Religion, Astrology, Reincarnation,\\uc0\\u8221{} 84.","plainCitation":"Brink, “Inconsistency of Belief among Roman Catholic Girls: Concerning Religion, Astrology, Reincarnation,” 84.","noteIndex":3},"citationItems":[{"id":62,"uris":["http://zotero.org/users/16253413/items/IKMKG5G9"],"itemData":{"id":62,"type":"article-journal","container-title":"Review of Religious Research","issue":"1","page":"82-85","title":"Inconsistency of Belief among Roman Catholic Girls: Concerning Religion, Astrology, Reincarnation","volume":"20","author":[{"family":"Brink","given":"T. L."}],"issued":{"date-parts":[["1978"]]}},"locator":"84","label":"page"}],"schema":"https://github.com/citation-style-language/schema/raw/master/csl-citation.json"} </w:instrText>
      </w:r>
      <w:r w:rsidRPr="00E52A3C">
        <w:rPr>
          <w:rFonts w:ascii="Times New Roman" w:hAnsi="Times New Roman" w:cs="Times New Roman"/>
        </w:rPr>
        <w:fldChar w:fldCharType="separate"/>
      </w:r>
      <w:r w:rsidRPr="00E52A3C">
        <w:rPr>
          <w:rFonts w:ascii="Times New Roman" w:hAnsi="Times New Roman" w:cs="Times New Roman"/>
          <w:kern w:val="0"/>
        </w:rPr>
        <w:t>Brink, “Inconsistency of Belief among Roman Catholic Girls: Concerning Religion, Astrology, Reincarnation,” 84.</w:t>
      </w:r>
      <w:r w:rsidRPr="00E52A3C">
        <w:rPr>
          <w:rFonts w:ascii="Times New Roman" w:hAnsi="Times New Roman" w:cs="Times New Roman"/>
        </w:rPr>
        <w:fldChar w:fldCharType="end"/>
      </w:r>
    </w:p>
  </w:footnote>
  <w:footnote w:id="5">
    <w:p w:rsidR="00CB2056" w:rsidRPr="00E52A3C">
      <w:pPr>
        <w:pStyle w:val="FootnoteText"/>
        <w:rPr>
          <w:rFonts w:ascii="Times New Roman" w:hAnsi="Times New Roman" w:cs="Times New Roman"/>
          <w:lang w:val="en-GB"/>
        </w:rPr>
      </w:pPr>
      <w:r w:rsidRPr="00E52A3C">
        <w:rPr>
          <w:rStyle w:val="FootnoteReference"/>
          <w:rFonts w:ascii="Times New Roman" w:hAnsi="Times New Roman" w:cs="Times New Roman"/>
        </w:rPr>
        <w:footnoteRef/>
      </w:r>
      <w:r w:rsidRPr="00E52A3C">
        <w:rPr>
          <w:rFonts w:ascii="Times New Roman" w:hAnsi="Times New Roman" w:cs="Times New Roman"/>
        </w:rPr>
        <w:t xml:space="preserve"> </w:t>
      </w:r>
      <w:r w:rsidRPr="00E52A3C">
        <w:rPr>
          <w:rFonts w:ascii="Times New Roman" w:hAnsi="Times New Roman" w:cs="Times New Roman"/>
        </w:rPr>
        <w:fldChar w:fldCharType="begin"/>
      </w:r>
      <w:r w:rsidRPr="00E52A3C" w:rsidR="00B11AB3">
        <w:rPr>
          <w:rFonts w:ascii="Times New Roman" w:hAnsi="Times New Roman" w:cs="Times New Roman"/>
        </w:rPr>
        <w:instrText xml:space="preserve"> ADDIN ZOTERO_ITEM CSL_CITATION {"citationID":"v0mP2qwv","properties":{"formattedCitation":"Bryan Wilson, {\\i{}Religion in Secular Society}, ed. Steve Bruce (U.S.A: Oxford University Press, 2016).","plainCitation":"Bryan Wilson, Religion in Secular Society, ed. Steve Bruce (U.S.A: Oxford University Press, 2016).","noteIndex":4},"citationItems":[{"id":86,"uris":["http://zotero.org/users/16253413/items/8L3GG5S9"],"itemData":{"id":86,"type":"book","event-place":"U.S.A","publisher":"Oxford University Press","publisher-place":"U.S.A","title":"Religion in Secular Society","author":[{"family":"Wilson","given":"Bryan"}],"editor":[{"family":"Bruce","given":"Steve"}],"issued":{"date-parts":[["2016"]]}}}],"schema":"https://github.com/citation-style-language/schema/raw/master/csl-citation.json"} </w:instrText>
      </w:r>
      <w:r w:rsidRPr="00E52A3C">
        <w:rPr>
          <w:rFonts w:ascii="Times New Roman" w:hAnsi="Times New Roman" w:cs="Times New Roman"/>
        </w:rPr>
        <w:fldChar w:fldCharType="separate"/>
      </w:r>
      <w:r w:rsidRPr="00E52A3C" w:rsidR="00B11AB3">
        <w:rPr>
          <w:rFonts w:ascii="Times New Roman" w:hAnsi="Times New Roman" w:cs="Times New Roman"/>
          <w:kern w:val="0"/>
        </w:rPr>
        <w:t xml:space="preserve">Bryan Wilson, </w:t>
      </w:r>
      <w:r w:rsidRPr="00E52A3C" w:rsidR="00B11AB3">
        <w:rPr>
          <w:rFonts w:ascii="Times New Roman" w:hAnsi="Times New Roman" w:cs="Times New Roman"/>
          <w:i/>
          <w:iCs/>
          <w:kern w:val="0"/>
        </w:rPr>
        <w:t>Religion in Secular Society</w:t>
      </w:r>
      <w:r w:rsidRPr="00E52A3C" w:rsidR="00B11AB3">
        <w:rPr>
          <w:rFonts w:ascii="Times New Roman" w:hAnsi="Times New Roman" w:cs="Times New Roman"/>
          <w:kern w:val="0"/>
        </w:rPr>
        <w:t>, ed. Steve Bruce (U.S.A: Oxford University Press, 2016).</w:t>
      </w:r>
      <w:r w:rsidRPr="00E52A3C">
        <w:rPr>
          <w:rFonts w:ascii="Times New Roman" w:hAnsi="Times New Roman" w:cs="Times New Roman"/>
        </w:rPr>
        <w:fldChar w:fldCharType="end"/>
      </w:r>
    </w:p>
  </w:footnote>
  <w:footnote w:id="6">
    <w:p w:rsidR="00CB2056" w:rsidRPr="00E52A3C">
      <w:pPr>
        <w:pStyle w:val="FootnoteText"/>
        <w:rPr>
          <w:rFonts w:ascii="Times New Roman" w:hAnsi="Times New Roman" w:cs="Times New Roman"/>
          <w:lang w:val="en-GB"/>
        </w:rPr>
      </w:pPr>
      <w:r w:rsidRPr="00E52A3C">
        <w:rPr>
          <w:rStyle w:val="FootnoteReference"/>
          <w:rFonts w:ascii="Times New Roman" w:hAnsi="Times New Roman" w:cs="Times New Roman"/>
        </w:rPr>
        <w:footnoteRef/>
      </w:r>
      <w:r w:rsidRPr="00E52A3C">
        <w:rPr>
          <w:rFonts w:ascii="Times New Roman" w:hAnsi="Times New Roman" w:cs="Times New Roman"/>
        </w:rPr>
        <w:t xml:space="preserve"> </w:t>
      </w:r>
      <w:r w:rsidRPr="00E52A3C">
        <w:rPr>
          <w:rFonts w:ascii="Times New Roman" w:hAnsi="Times New Roman" w:cs="Times New Roman"/>
        </w:rPr>
        <w:fldChar w:fldCharType="begin"/>
      </w:r>
      <w:r w:rsidRPr="00E52A3C" w:rsidR="00B11AB3">
        <w:rPr>
          <w:rFonts w:ascii="Times New Roman" w:hAnsi="Times New Roman" w:cs="Times New Roman"/>
        </w:rPr>
        <w:instrText xml:space="preserve"> ADDIN ZOTERO_ITEM CSL_CITATION {"citationID":"s76xstqt","properties":{"formattedCitation":"Wilson, 15\\uc0\\u8211{}76.","plainCitation":"Wilson, 15–76.","noteIndex":5},"citationItems":[{"id":86,"uris":["http://zotero.org/users/16253413/items/8L3GG5S9"],"itemData":{"id":86,"type":"book","event-place":"U.S.A","publisher":"Oxford University Press","publisher-place":"U.S.A","title":"Religion in Secular Society","author":[{"family":"Wilson","given":"Bryan"}],"editor":[{"family":"Bruce","given":"Steve"}],"issued":{"date-parts":[["2016"]]}},"locator":"15-76","label":"page"}],"schema":"https://github.com/citation-style-language/schema/raw/master/csl-citation.json"} </w:instrText>
      </w:r>
      <w:r w:rsidRPr="00E52A3C">
        <w:rPr>
          <w:rFonts w:ascii="Times New Roman" w:hAnsi="Times New Roman" w:cs="Times New Roman"/>
        </w:rPr>
        <w:fldChar w:fldCharType="separate"/>
      </w:r>
      <w:r w:rsidRPr="00E52A3C" w:rsidR="00B11AB3">
        <w:rPr>
          <w:rFonts w:ascii="Times New Roman" w:hAnsi="Times New Roman" w:cs="Times New Roman"/>
          <w:kern w:val="0"/>
        </w:rPr>
        <w:t>Wilson, 15–76.</w:t>
      </w:r>
      <w:r w:rsidRPr="00E52A3C">
        <w:rPr>
          <w:rFonts w:ascii="Times New Roman" w:hAnsi="Times New Roman" w:cs="Times New Roman"/>
        </w:rPr>
        <w:fldChar w:fldCharType="end"/>
      </w:r>
    </w:p>
  </w:footnote>
  <w:footnote w:id="7">
    <w:p w:rsidR="00B11AB3" w:rsidRPr="00E52A3C">
      <w:pPr>
        <w:pStyle w:val="FootnoteText"/>
        <w:rPr>
          <w:rFonts w:ascii="Times New Roman" w:hAnsi="Times New Roman" w:cs="Times New Roman"/>
          <w:lang w:val="en-GB"/>
        </w:rPr>
      </w:pPr>
      <w:r w:rsidRPr="00E52A3C">
        <w:rPr>
          <w:rStyle w:val="FootnoteReference"/>
          <w:rFonts w:ascii="Times New Roman" w:hAnsi="Times New Roman" w:cs="Times New Roman"/>
        </w:rPr>
        <w:footnoteRef/>
      </w:r>
      <w:r w:rsidRPr="00E52A3C">
        <w:rPr>
          <w:rFonts w:ascii="Times New Roman" w:hAnsi="Times New Roman" w:cs="Times New Roman"/>
        </w:rPr>
        <w:t xml:space="preserve"> </w:t>
      </w:r>
      <w:r w:rsidRPr="00E52A3C">
        <w:rPr>
          <w:rFonts w:ascii="Times New Roman" w:hAnsi="Times New Roman" w:cs="Times New Roman"/>
        </w:rPr>
        <w:fldChar w:fldCharType="begin"/>
      </w:r>
      <w:r w:rsidRPr="00E52A3C">
        <w:rPr>
          <w:rFonts w:ascii="Times New Roman" w:hAnsi="Times New Roman" w:cs="Times New Roman"/>
        </w:rPr>
        <w:instrText xml:space="preserve"> ADDIN ZOTERO_ITEM CSL_CITATION {"citationID":"IEkUBxbw","properties":{"formattedCitation":"Leon Festinger, {\\i{}A Theory of Cognitive Dissonance} (U.S.A: Stanford University Press, 1957).","plainCitation":"Leon Festinger, A Theory of Cognitive Dissonance (U.S.A: Stanford University Press, 1957).","noteIndex":6},"citationItems":[{"id":87,"uris":["http://zotero.org/users/16253413/items/8CZJVSRX"],"itemData":{"id":87,"type":"book","event-place":"U.S.A","publisher":"Stanford University Press","publisher-place":"U.S.A","title":"A Theory of Cognitive Dissonance","author":[{"family":"Festinger","given":"Leon"}],"issued":{"date-parts":[["1957"]]}}}],"schema":"https://github.com/citation-style-language/schema/raw/master/csl-citation.json"} </w:instrText>
      </w:r>
      <w:r w:rsidRPr="00E52A3C">
        <w:rPr>
          <w:rFonts w:ascii="Times New Roman" w:hAnsi="Times New Roman" w:cs="Times New Roman"/>
        </w:rPr>
        <w:fldChar w:fldCharType="separate"/>
      </w:r>
      <w:r w:rsidRPr="00E52A3C">
        <w:rPr>
          <w:rFonts w:ascii="Times New Roman" w:hAnsi="Times New Roman" w:cs="Times New Roman"/>
          <w:kern w:val="0"/>
        </w:rPr>
        <w:t xml:space="preserve">Leon Festinger, </w:t>
      </w:r>
      <w:r w:rsidRPr="00E52A3C">
        <w:rPr>
          <w:rFonts w:ascii="Times New Roman" w:hAnsi="Times New Roman" w:cs="Times New Roman"/>
          <w:i/>
          <w:iCs/>
          <w:kern w:val="0"/>
        </w:rPr>
        <w:t>A Theory of Cognitive Dissonance</w:t>
      </w:r>
      <w:r w:rsidRPr="00E52A3C">
        <w:rPr>
          <w:rFonts w:ascii="Times New Roman" w:hAnsi="Times New Roman" w:cs="Times New Roman"/>
          <w:kern w:val="0"/>
        </w:rPr>
        <w:t xml:space="preserve"> (U.S.A: Stanford University Press, 1957).</w:t>
      </w:r>
      <w:r w:rsidRPr="00E52A3C">
        <w:rPr>
          <w:rFonts w:ascii="Times New Roman" w:hAnsi="Times New Roman" w:cs="Times New Roman"/>
        </w:rPr>
        <w:fldChar w:fldCharType="end"/>
      </w:r>
    </w:p>
  </w:footnote>
  <w:footnote w:id="8">
    <w:p w:rsidR="00B11AB3" w:rsidRPr="00B11AB3">
      <w:pPr>
        <w:pStyle w:val="FootnoteText"/>
        <w:rPr>
          <w:lang w:val="en-GB"/>
        </w:rPr>
      </w:pPr>
      <w:r w:rsidRPr="00E52A3C">
        <w:rPr>
          <w:rStyle w:val="FootnoteReference"/>
          <w:rFonts w:ascii="Times New Roman" w:hAnsi="Times New Roman" w:cs="Times New Roman"/>
        </w:rPr>
        <w:footnoteRef/>
      </w:r>
      <w:r w:rsidRPr="00E52A3C">
        <w:rPr>
          <w:rFonts w:ascii="Times New Roman" w:hAnsi="Times New Roman" w:cs="Times New Roman"/>
        </w:rPr>
        <w:t xml:space="preserve"> </w:t>
      </w:r>
      <w:r w:rsidRPr="00E52A3C">
        <w:rPr>
          <w:rFonts w:ascii="Times New Roman" w:hAnsi="Times New Roman" w:cs="Times New Roman"/>
        </w:rPr>
        <w:fldChar w:fldCharType="begin"/>
      </w:r>
      <w:r w:rsidRPr="00E52A3C">
        <w:rPr>
          <w:rFonts w:ascii="Times New Roman" w:hAnsi="Times New Roman" w:cs="Times New Roman"/>
        </w:rPr>
        <w:instrText xml:space="preserve"> ADDIN ZOTERO_ITEM CSL_CITATION {"citationID":"PuRwL0lb","properties":{"formattedCitation":"Festinger, 1\\uc0\\u8211{}3.","plainCitation":"Festinger, 1–3.","noteIndex":7},"citationItems":[{"id":87,"uris":["http://zotero.org/users/16253413/items/8CZJVSRX"],"itemData":{"id":87,"type":"book","event-place":"U.S.A","publisher":"Stanford University Press","publisher-place":"U.S.A","title":"A Theory of Cognitive Dissonance","author":[{"family":"Festinger","given":"Leon"}],"issued":{"date-parts":[["1957"]]}},"locator":"1-3","label":"page"}],"schema":"https://github.com/citation-style-language/schema/raw/master/csl-citation.json"} </w:instrText>
      </w:r>
      <w:r w:rsidRPr="00E52A3C">
        <w:rPr>
          <w:rFonts w:ascii="Times New Roman" w:hAnsi="Times New Roman" w:cs="Times New Roman"/>
        </w:rPr>
        <w:fldChar w:fldCharType="separate"/>
      </w:r>
      <w:r w:rsidRPr="00E52A3C">
        <w:rPr>
          <w:rFonts w:ascii="Times New Roman" w:hAnsi="Times New Roman" w:cs="Times New Roman"/>
          <w:kern w:val="0"/>
        </w:rPr>
        <w:t>Festinger, 1–3.</w:t>
      </w:r>
      <w:r w:rsidRPr="00E52A3C">
        <w:rPr>
          <w:rFonts w:ascii="Times New Roman" w:hAnsi="Times New Roman" w:cs="Times New Roman"/>
        </w:rPr>
        <w:fldChar w:fldCharType="end"/>
      </w:r>
    </w:p>
  </w:footnote>
  <w:footnote w:id="9">
    <w:p w:rsidR="00B11AB3" w:rsidRPr="003E4DE0">
      <w:pPr>
        <w:pStyle w:val="FootnoteText"/>
        <w:rPr>
          <w:rFonts w:ascii="Times New Roman" w:hAnsi="Times New Roman" w:cs="Times New Roman"/>
          <w:lang w:val="en-GB"/>
        </w:rPr>
      </w:pPr>
      <w:r w:rsidRPr="003E4DE0">
        <w:rPr>
          <w:rStyle w:val="FootnoteReference"/>
          <w:rFonts w:ascii="Times New Roman" w:hAnsi="Times New Roman" w:cs="Times New Roman"/>
        </w:rPr>
        <w:footnoteRef/>
      </w:r>
      <w:r w:rsidRPr="003E4DE0">
        <w:rPr>
          <w:rFonts w:ascii="Times New Roman" w:hAnsi="Times New Roman" w:cs="Times New Roman"/>
        </w:rPr>
        <w:t xml:space="preserve"> </w:t>
      </w:r>
      <w:r w:rsidRPr="003E4DE0">
        <w:rPr>
          <w:rFonts w:ascii="Times New Roman" w:hAnsi="Times New Roman" w:cs="Times New Roman"/>
        </w:rPr>
        <w:fldChar w:fldCharType="begin"/>
      </w:r>
      <w:r w:rsidRPr="003E4DE0">
        <w:rPr>
          <w:rFonts w:ascii="Times New Roman" w:hAnsi="Times New Roman" w:cs="Times New Roman"/>
        </w:rPr>
        <w:instrText xml:space="preserve"> ADDIN ZOTERO_ITEM CSL_CITATION {"citationID":"4QnjWTrh","properties":{"formattedCitation":"Walter and Waterhouse, \\uc0\\u8220{}A Very Private Belief: Reincarnation in Contemporary England,\\uc0\\u8221{} 193.","plainCitation":"Walter and Waterhouse, “A Very Private Belief: Reincarnation in Contemporary England,” 193.","noteIndex":8},"citationItems":[{"id":85,"uris":["http://zotero.org/users/16253413/items/63K237H3"],"itemData":{"id":85,"type":"article-journal","container-title":"Sociology of Religion","issue":"2","page":"187-197","title":"A Very Private Belief: Reincarnation in Contemporary England","volume":"60","author":[{"family":"Walter","given":"Tony"},{"family":"Waterhouse","given":"Helen"}],"issued":{"date-parts":[["1999"]]}},"locator":"193","label":"page"}],"schema":"https://github.com/citation-style-language/schema/raw/master/csl-citation.json"} </w:instrText>
      </w:r>
      <w:r w:rsidRPr="003E4DE0">
        <w:rPr>
          <w:rFonts w:ascii="Times New Roman" w:hAnsi="Times New Roman" w:cs="Times New Roman"/>
        </w:rPr>
        <w:fldChar w:fldCharType="separate"/>
      </w:r>
      <w:r w:rsidRPr="003E4DE0">
        <w:rPr>
          <w:rFonts w:ascii="Times New Roman" w:hAnsi="Times New Roman" w:cs="Times New Roman"/>
          <w:kern w:val="0"/>
        </w:rPr>
        <w:t>Walter and Waterhouse, “A Very Private Belief: Reincarnation in Contemporary England,” 193.</w:t>
      </w:r>
      <w:r w:rsidRPr="003E4DE0">
        <w:rPr>
          <w:rFonts w:ascii="Times New Roman" w:hAnsi="Times New Roman" w:cs="Times New Roman"/>
        </w:rPr>
        <w:fldChar w:fldCharType="end"/>
      </w:r>
    </w:p>
  </w:footnote>
  <w:footnote w:id="10">
    <w:p w:rsidR="00E52A3C" w:rsidRPr="00D04595">
      <w:pPr>
        <w:pStyle w:val="FootnoteText"/>
        <w:rPr>
          <w:rFonts w:ascii="Times New Roman" w:hAnsi="Times New Roman" w:cs="Times New Roman"/>
          <w:lang w:val="en-GB"/>
        </w:rPr>
      </w:pPr>
      <w:r w:rsidRPr="00D04595">
        <w:rPr>
          <w:rStyle w:val="FootnoteReference"/>
          <w:rFonts w:ascii="Times New Roman" w:hAnsi="Times New Roman" w:cs="Times New Roman"/>
        </w:rPr>
        <w:footnoteRef/>
      </w:r>
      <w:r w:rsidRPr="00D04595">
        <w:rPr>
          <w:rFonts w:ascii="Times New Roman" w:hAnsi="Times New Roman" w:cs="Times New Roman"/>
        </w:rPr>
        <w:t xml:space="preserve"> </w:t>
      </w:r>
      <w:r w:rsidRPr="00D04595">
        <w:rPr>
          <w:rFonts w:ascii="Times New Roman" w:hAnsi="Times New Roman" w:cs="Times New Roman"/>
        </w:rPr>
        <w:fldChar w:fldCharType="begin"/>
      </w:r>
      <w:r w:rsidRPr="00D04595">
        <w:rPr>
          <w:rFonts w:ascii="Times New Roman" w:hAnsi="Times New Roman" w:cs="Times New Roman"/>
        </w:rPr>
        <w:instrText xml:space="preserve"> ADDIN ZOTERO_ITEM CSL_CITATION {"citationID":"xDorvB75","properties":{"formattedCitation":"Brink, \\uc0\\u8220{}Inconsistency of Belief among Roman Catholic Girls: Concerning Religion, Astrology, Reincarnation,\\uc0\\u8221{} 83.","plainCitation":"Brink, “Inconsistency of Belief among Roman Catholic Girls: Concerning Religion, Astrology, Reincarnation,” 83.","noteIndex":9},"citationItems":[{"id":62,"uris":["http://zotero.org/users/16253413/items/IKMKG5G9"],"itemData":{"id":62,"type":"article-journal","container-title":"Review of Religious Research","issue":"1","page":"82-85","title":"Inconsistency of Belief among Roman Catholic Girls: Concerning Religion, Astrology, Reincarnation","volume":"20","author":[{"family":"Brink","given":"T. L."}],"issued":{"date-parts":[["1978"]]}},"locator":"83","label":"page"}],"schema":"https://github.com/citation-style-language/schema/raw/master/csl-citation.json"} </w:instrText>
      </w:r>
      <w:r w:rsidRPr="00D04595">
        <w:rPr>
          <w:rFonts w:ascii="Times New Roman" w:hAnsi="Times New Roman" w:cs="Times New Roman"/>
        </w:rPr>
        <w:fldChar w:fldCharType="separate"/>
      </w:r>
      <w:r w:rsidRPr="00D04595">
        <w:rPr>
          <w:rFonts w:ascii="Times New Roman" w:hAnsi="Times New Roman" w:cs="Times New Roman"/>
          <w:kern w:val="0"/>
        </w:rPr>
        <w:t>Brink, “Inconsistency of Belief among Roman Catholic Girls: Concerning Religion, Astrology, Reincarnation,” 83.</w:t>
      </w:r>
      <w:r w:rsidRPr="00D04595">
        <w:rPr>
          <w:rFonts w:ascii="Times New Roman" w:hAnsi="Times New Roman" w:cs="Times New Roman"/>
        </w:rPr>
        <w:fldChar w:fldCharType="end"/>
      </w:r>
    </w:p>
  </w:footnote>
  <w:footnote w:id="11">
    <w:p w:rsidR="00E52A3C" w:rsidRPr="00D04595">
      <w:pPr>
        <w:pStyle w:val="FootnoteText"/>
        <w:rPr>
          <w:rFonts w:ascii="Times New Roman" w:hAnsi="Times New Roman" w:cs="Times New Roman"/>
          <w:lang w:val="en-GB"/>
        </w:rPr>
      </w:pPr>
      <w:r w:rsidRPr="00D04595">
        <w:rPr>
          <w:rStyle w:val="FootnoteReference"/>
          <w:rFonts w:ascii="Times New Roman" w:hAnsi="Times New Roman" w:cs="Times New Roman"/>
        </w:rPr>
        <w:footnoteRef/>
      </w:r>
      <w:r w:rsidRPr="00D04595">
        <w:rPr>
          <w:rFonts w:ascii="Times New Roman" w:hAnsi="Times New Roman" w:cs="Times New Roman"/>
        </w:rPr>
        <w:t xml:space="preserve"> </w:t>
      </w:r>
      <w:r w:rsidRPr="00D04595">
        <w:rPr>
          <w:rFonts w:ascii="Times New Roman" w:hAnsi="Times New Roman" w:cs="Times New Roman"/>
        </w:rPr>
        <w:fldChar w:fldCharType="begin"/>
      </w:r>
      <w:r w:rsidRPr="00D04595">
        <w:rPr>
          <w:rFonts w:ascii="Times New Roman" w:hAnsi="Times New Roman" w:cs="Times New Roman"/>
        </w:rPr>
        <w:instrText xml:space="preserve"> ADDIN ZOTERO_ITEM CSL_CITATION {"citationID":"Fn7PY5Fp","properties":{"formattedCitation":"Brink, 83.","plainCitation":"Brink, 83.","noteIndex":10},"citationItems":[{"id":62,"uris":["http://zotero.org/users/16253413/items/IKMKG5G9"],"itemData":{"id":62,"type":"article-journal","container-title":"Review of Religious Research","issue":"1","page":"82-85","title":"Inconsistency of Belief among Roman Catholic Girls: Concerning Religion, Astrology, Reincarnation","volume":"20","author":[{"family":"Brink","given":"T. L."}],"issued":{"date-parts":[["1978"]]}},"locator":"83","label":"page"}],"schema":"https://github.com/citation-style-language/schema/raw/master/csl-citation.json"} </w:instrText>
      </w:r>
      <w:r w:rsidRPr="00D04595">
        <w:rPr>
          <w:rFonts w:ascii="Times New Roman" w:hAnsi="Times New Roman" w:cs="Times New Roman"/>
        </w:rPr>
        <w:fldChar w:fldCharType="separate"/>
      </w:r>
      <w:r w:rsidRPr="00D04595">
        <w:rPr>
          <w:rFonts w:ascii="Times New Roman" w:hAnsi="Times New Roman" w:cs="Times New Roman"/>
        </w:rPr>
        <w:t>Brink, 83.</w:t>
      </w:r>
      <w:r w:rsidRPr="00D04595">
        <w:rPr>
          <w:rFonts w:ascii="Times New Roman" w:hAnsi="Times New Roman" w:cs="Times New Roman"/>
        </w:rPr>
        <w:fldChar w:fldCharType="end"/>
      </w:r>
    </w:p>
  </w:footnote>
  <w:footnote w:id="12">
    <w:p w:rsidR="00E52A3C" w:rsidRPr="00D04595">
      <w:pPr>
        <w:pStyle w:val="FootnoteText"/>
        <w:rPr>
          <w:rFonts w:ascii="Times New Roman" w:hAnsi="Times New Roman" w:cs="Times New Roman"/>
          <w:lang w:val="en-GB"/>
        </w:rPr>
      </w:pPr>
      <w:r w:rsidRPr="00D04595">
        <w:rPr>
          <w:rStyle w:val="FootnoteReference"/>
          <w:rFonts w:ascii="Times New Roman" w:hAnsi="Times New Roman" w:cs="Times New Roman"/>
        </w:rPr>
        <w:footnoteRef/>
      </w:r>
      <w:r w:rsidRPr="00D04595">
        <w:rPr>
          <w:rFonts w:ascii="Times New Roman" w:hAnsi="Times New Roman" w:cs="Times New Roman"/>
        </w:rPr>
        <w:t xml:space="preserve"> </w:t>
      </w:r>
      <w:r w:rsidRPr="00D04595">
        <w:rPr>
          <w:rFonts w:ascii="Times New Roman" w:hAnsi="Times New Roman" w:cs="Times New Roman"/>
        </w:rPr>
        <w:fldChar w:fldCharType="begin"/>
      </w:r>
      <w:r w:rsidRPr="00D04595">
        <w:rPr>
          <w:rFonts w:ascii="Times New Roman" w:hAnsi="Times New Roman" w:cs="Times New Roman"/>
        </w:rPr>
        <w:instrText xml:space="preserve"> ADDIN ZOTERO_ITEM CSL_CITATION {"citationID":"YPKzXjlL","properties":{"formattedCitation":"Walter and Waterhouse, \\uc0\\u8220{}A Very Private Belief: Reincarnation in Contemporary England.\\uc0\\u8221{}","plainCitation":"Walter and Waterhouse, “A Very Private Belief: Reincarnation in Contemporary England.”","noteIndex":11},"citationItems":[{"id":85,"uris":["http://zotero.org/users/16253413/items/63K237H3"],"itemData":{"id":85,"type":"article-journal","container-title":"Sociology of Religion","issue":"2","page":"187-197","title":"A Very Private Belief: Reincarnation in Contemporary England","volume":"60","author":[{"family":"Walter","given":"Tony"},{"family":"Waterhouse","given":"Helen"}],"issued":{"date-parts":[["1999"]]}}}],"schema":"https://github.com/citation-style-language/schema/raw/master/csl-citation.json"} </w:instrText>
      </w:r>
      <w:r w:rsidRPr="00D04595">
        <w:rPr>
          <w:rFonts w:ascii="Times New Roman" w:hAnsi="Times New Roman" w:cs="Times New Roman"/>
        </w:rPr>
        <w:fldChar w:fldCharType="separate"/>
      </w:r>
      <w:r w:rsidRPr="00D04595">
        <w:rPr>
          <w:rFonts w:ascii="Times New Roman" w:hAnsi="Times New Roman" w:cs="Times New Roman"/>
          <w:kern w:val="0"/>
        </w:rPr>
        <w:t>Walter and Waterhouse, “A Very Private Belief: Reincarnation in Contemporary England.”</w:t>
      </w:r>
      <w:r w:rsidRPr="00D04595">
        <w:rPr>
          <w:rFonts w:ascii="Times New Roman" w:hAnsi="Times New Roman" w:cs="Times New Roman"/>
        </w:rPr>
        <w:fldChar w:fldCharType="end"/>
      </w:r>
    </w:p>
  </w:footnote>
  <w:footnote w:id="13">
    <w:p w:rsidR="00E52A3C" w:rsidRPr="003E4DE0">
      <w:pPr>
        <w:pStyle w:val="FootnoteText"/>
        <w:rPr>
          <w:rFonts w:ascii="Times New Roman" w:hAnsi="Times New Roman" w:cs="Times New Roman"/>
        </w:rPr>
      </w:pPr>
      <w:r w:rsidRPr="003E4DE0">
        <w:rPr>
          <w:rStyle w:val="FootnoteReference"/>
          <w:rFonts w:ascii="Times New Roman" w:hAnsi="Times New Roman" w:cs="Times New Roman"/>
        </w:rPr>
        <w:footnoteRef/>
      </w:r>
      <w:r w:rsidRPr="003E4DE0">
        <w:rPr>
          <w:rFonts w:ascii="Times New Roman" w:hAnsi="Times New Roman" w:cs="Times New Roman"/>
        </w:rPr>
        <w:t xml:space="preserve"> </w:t>
      </w:r>
      <w:r w:rsidRPr="003E4DE0">
        <w:rPr>
          <w:rFonts w:ascii="Times New Roman" w:hAnsi="Times New Roman" w:cs="Times New Roman"/>
        </w:rPr>
        <w:fldChar w:fldCharType="begin"/>
      </w:r>
      <w:r w:rsidRPr="003E4DE0">
        <w:rPr>
          <w:rFonts w:ascii="Times New Roman" w:hAnsi="Times New Roman" w:cs="Times New Roman"/>
        </w:rPr>
        <w:instrText xml:space="preserve"> ADDIN ZOTERO_ITEM CSL_CITATION {"citationID":"0op1QMyi","properties":{"formattedCitation":"Walter and Waterhouse, 193.","plainCitation":"Walter and Waterhouse, 193.","noteIndex":12},"citationItems":[{"id":85,"uris":["http://zotero.org/users/16253413/items/63K237H3"],"itemData":{"id":85,"type":"article-journal","container-title":"Sociology of Religion","issue":"2","page":"187-197","title":"A Very Private Belief: Reincarnation in Contemporary England","volume":"60","author":[{"family":"Walter","given":"Tony"},{"family":"Waterhouse","given":"Helen"}],"issued":{"date-parts":[["1999"]]}},"locator":"193","label":"page"}],"schema":"https://github.com/citation-style-language/schema/raw/master/csl-citation.json"} </w:instrText>
      </w:r>
      <w:r w:rsidRPr="003E4DE0">
        <w:rPr>
          <w:rFonts w:ascii="Times New Roman" w:hAnsi="Times New Roman" w:cs="Times New Roman"/>
        </w:rPr>
        <w:fldChar w:fldCharType="separate"/>
      </w:r>
      <w:r w:rsidR="008950EF">
        <w:rPr>
          <w:rFonts w:ascii="Times New Roman" w:hAnsi="Times New Roman" w:cs="Times New Roman"/>
        </w:rPr>
        <w:t>Ibid.</w:t>
      </w:r>
      <w:r w:rsidRPr="003E4DE0">
        <w:rPr>
          <w:rFonts w:ascii="Times New Roman" w:hAnsi="Times New Roman" w:cs="Times New Roman"/>
        </w:rPr>
        <w:t>, 19</w:t>
      </w:r>
      <w:r w:rsidRPr="003E4DE0" w:rsidR="003E4DE0">
        <w:rPr>
          <w:rFonts w:ascii="Times New Roman" w:hAnsi="Times New Roman" w:cs="Times New Roman"/>
        </w:rPr>
        <w:t>4</w:t>
      </w:r>
      <w:r w:rsidRPr="003E4DE0">
        <w:rPr>
          <w:rFonts w:ascii="Times New Roman" w:hAnsi="Times New Roman" w:cs="Times New Roman"/>
        </w:rPr>
        <w:t>.</w:t>
      </w:r>
      <w:r w:rsidRPr="003E4DE0">
        <w:rPr>
          <w:rFonts w:ascii="Times New Roman" w:hAnsi="Times New Roman" w:cs="Times New Roman"/>
        </w:rPr>
        <w:fldChar w:fldCharType="end"/>
      </w:r>
    </w:p>
  </w:footnote>
  <w:footnote w:id="14">
    <w:p w:rsidR="003E4DE0" w:rsidRPr="003E4DE0">
      <w:pPr>
        <w:pStyle w:val="FootnoteText"/>
        <w:rPr>
          <w:lang w:val="en-GB"/>
        </w:rPr>
      </w:pPr>
      <w:r w:rsidRPr="003E4DE0">
        <w:rPr>
          <w:rStyle w:val="FootnoteReference"/>
          <w:rFonts w:ascii="Times New Roman" w:hAnsi="Times New Roman" w:cs="Times New Roman"/>
        </w:rPr>
        <w:footnoteRef/>
      </w:r>
      <w:r w:rsidRPr="003E4DE0">
        <w:rPr>
          <w:rFonts w:ascii="Times New Roman" w:hAnsi="Times New Roman" w:cs="Times New Roman"/>
        </w:rPr>
        <w:t xml:space="preserve"> </w:t>
      </w:r>
      <w:r w:rsidRPr="003E4DE0">
        <w:rPr>
          <w:rFonts w:ascii="Times New Roman" w:hAnsi="Times New Roman" w:cs="Times New Roman"/>
        </w:rPr>
        <w:fldChar w:fldCharType="begin"/>
      </w:r>
      <w:r w:rsidRPr="003E4DE0">
        <w:rPr>
          <w:rFonts w:ascii="Times New Roman" w:hAnsi="Times New Roman" w:cs="Times New Roman"/>
        </w:rPr>
        <w:instrText xml:space="preserve"> ADDIN ZOTERO_ITEM CSL_CITATION {"citationID":"er3kpHJd","properties":{"formattedCitation":"Walter and Waterhouse, 194.","plainCitation":"Walter and Waterhouse, 194.","noteIndex":13},"citationItems":[{"id":85,"uris":["http://zotero.org/users/16253413/items/63K237H3"],"itemData":{"id":85,"type":"article-journal","container-title":"Sociology of Religion","issue":"2","page":"187-197","title":"A Very Private Belief: Reincarnation in Contemporary England","volume":"60","author":[{"family":"Walter","given":"Tony"},{"family":"Waterhouse","given":"Helen"}],"issued":{"date-parts":[["1999"]]}},"locator":"194","label":"page"}],"schema":"https://github.com/citation-style-language/schema/raw/master/csl-citation.json"} </w:instrText>
      </w:r>
      <w:r w:rsidRPr="003E4DE0">
        <w:rPr>
          <w:rFonts w:ascii="Times New Roman" w:hAnsi="Times New Roman" w:cs="Times New Roman"/>
        </w:rPr>
        <w:fldChar w:fldCharType="separate"/>
      </w:r>
      <w:r w:rsidR="008950EF">
        <w:rPr>
          <w:rFonts w:ascii="Times New Roman" w:hAnsi="Times New Roman" w:cs="Times New Roman"/>
        </w:rPr>
        <w:t>Ibid</w:t>
      </w:r>
      <w:r w:rsidRPr="003E4DE0">
        <w:rPr>
          <w:rFonts w:ascii="Times New Roman" w:hAnsi="Times New Roman" w:cs="Times New Roman"/>
        </w:rPr>
        <w:t>.</w:t>
      </w:r>
      <w:r w:rsidRPr="003E4DE0">
        <w:rPr>
          <w:rFonts w:ascii="Times New Roman" w:hAnsi="Times New Roman" w:cs="Times New Roman"/>
        </w:rPr>
        <w:fldChar w:fldCharType="end"/>
      </w:r>
    </w:p>
  </w:footnote>
  <w:footnote w:id="15">
    <w:p w:rsidR="004C67E5" w:rsidRPr="00A84B07" w:rsidP="004C67E5">
      <w:pPr>
        <w:pStyle w:val="FootnoteText"/>
        <w:rPr>
          <w:rFonts w:ascii="Times New Roman" w:hAnsi="Times New Roman" w:cs="Times New Roman"/>
          <w:lang w:val="en-GB"/>
        </w:rPr>
      </w:pPr>
      <w:r w:rsidRPr="00A84B07">
        <w:rPr>
          <w:rStyle w:val="FootnoteReference"/>
          <w:rFonts w:ascii="Times New Roman" w:hAnsi="Times New Roman" w:cs="Times New Roman"/>
        </w:rPr>
        <w:footnoteRef/>
      </w:r>
      <w:r w:rsidRPr="00A84B07">
        <w:rPr>
          <w:rFonts w:ascii="Times New Roman" w:hAnsi="Times New Roman" w:cs="Times New Roman"/>
        </w:rPr>
        <w:t xml:space="preserve"> </w:t>
      </w:r>
      <w:r w:rsidRPr="00A84B07">
        <w:rPr>
          <w:rFonts w:ascii="Times New Roman" w:hAnsi="Times New Roman" w:cs="Times New Roman"/>
        </w:rPr>
        <w:fldChar w:fldCharType="begin"/>
      </w:r>
      <w:r w:rsidRPr="00A84B07">
        <w:rPr>
          <w:rFonts w:ascii="Times New Roman" w:hAnsi="Times New Roman" w:cs="Times New Roman"/>
        </w:rPr>
        <w:instrText xml:space="preserve"> ADDIN ZOTERO_ITEM CSL_CITATION {"citationID":"IPn5r1aa","properties":{"formattedCitation":"Jonathan Zittell Smith, {\\i{}Relating Religion: Essays in the Study of Religion} (U.S.A: The University of Chicago Press, 2004).","plainCitation":"Jonathan Zittell Smith, Relating Religion: Essays in the Study of Religion (U.S.A: The University of Chicago Press, 2004).","noteIndex":13},"citationItems":[{"id":88,"uris":["http://zotero.org/users/16253413/items/82XYRWL3"],"itemData":{"id":88,"type":"book","event-place":"U.S.A","publisher":"The University of Chicago Press","publisher-place":"U.S.A","title":"Relating Religion: Essays in the Study of Religion","author":[{"family":"Smith","given":"Jonathan Zittell"}],"issued":{"date-parts":[["2004"]]}}}],"schema":"https://github.com/citation-style-language/schema/raw/master/csl-citation.json"} </w:instrText>
      </w:r>
      <w:r w:rsidRPr="00A84B07">
        <w:rPr>
          <w:rFonts w:ascii="Times New Roman" w:hAnsi="Times New Roman" w:cs="Times New Roman"/>
        </w:rPr>
        <w:fldChar w:fldCharType="separate"/>
      </w:r>
      <w:r w:rsidRPr="00A84B07">
        <w:rPr>
          <w:rFonts w:ascii="Times New Roman" w:hAnsi="Times New Roman" w:cs="Times New Roman"/>
          <w:kern w:val="0"/>
        </w:rPr>
        <w:t xml:space="preserve">Jonathan Zittell Smith, </w:t>
      </w:r>
      <w:r w:rsidRPr="00A84B07">
        <w:rPr>
          <w:rFonts w:ascii="Times New Roman" w:hAnsi="Times New Roman" w:cs="Times New Roman"/>
          <w:i/>
          <w:iCs/>
          <w:kern w:val="0"/>
        </w:rPr>
        <w:t>Relating Religion: Essays in the Study of Religion</w:t>
      </w:r>
      <w:r w:rsidRPr="00A84B07">
        <w:rPr>
          <w:rFonts w:ascii="Times New Roman" w:hAnsi="Times New Roman" w:cs="Times New Roman"/>
          <w:kern w:val="0"/>
        </w:rPr>
        <w:t xml:space="preserve"> (U.S.A: The University of Chicago Press, 2004).</w:t>
      </w:r>
      <w:r w:rsidRPr="00A84B07">
        <w:rPr>
          <w:rFonts w:ascii="Times New Roman" w:hAnsi="Times New Roman" w:cs="Times New Roman"/>
        </w:rPr>
        <w:fldChar w:fldCharType="end"/>
      </w:r>
    </w:p>
  </w:footnote>
  <w:footnote w:id="16">
    <w:p w:rsidR="0078104B" w:rsidRPr="00A84B07">
      <w:pPr>
        <w:pStyle w:val="FootnoteText"/>
        <w:rPr>
          <w:rFonts w:ascii="Times New Roman" w:hAnsi="Times New Roman" w:cs="Times New Roman"/>
          <w:lang w:val="en-GB"/>
        </w:rPr>
      </w:pPr>
      <w:r w:rsidRPr="00A84B07">
        <w:rPr>
          <w:rStyle w:val="FootnoteReference"/>
          <w:rFonts w:ascii="Times New Roman" w:hAnsi="Times New Roman" w:cs="Times New Roman"/>
        </w:rPr>
        <w:footnoteRef/>
      </w:r>
      <w:r w:rsidRPr="00A84B07">
        <w:rPr>
          <w:rFonts w:ascii="Times New Roman" w:hAnsi="Times New Roman" w:cs="Times New Roman"/>
        </w:rPr>
        <w:t xml:space="preserve"> </w:t>
      </w:r>
      <w:r w:rsidRPr="00A84B07">
        <w:rPr>
          <w:rFonts w:ascii="Times New Roman" w:hAnsi="Times New Roman" w:cs="Times New Roman"/>
        </w:rPr>
        <w:fldChar w:fldCharType="begin"/>
      </w:r>
      <w:r w:rsidRPr="00A84B07" w:rsidR="003E4DE0">
        <w:rPr>
          <w:rFonts w:ascii="Times New Roman" w:hAnsi="Times New Roman" w:cs="Times New Roman"/>
        </w:rPr>
        <w:instrText xml:space="preserve"> ADDIN ZOTERO_ITEM CSL_CITATION {"citationID":"MzIPo5KH","properties":{"formattedCitation":"Walter and Waterhouse, \\uc0\\u8220{}A Very Private Belief: Reincarnation in Contemporary England,\\uc0\\u8221{} 193.","plainCitation":"Walter and Waterhouse, “A Very Private Belief: Reincarnation in Contemporary England,” 193.","noteIndex":14},"citationItems":[{"id":85,"uris":["http://zotero.org/users/16253413/items/63K237H3"],"itemData":{"id":85,"type":"article-journal","container-title":"Sociology of Religion","issue":"2","page":"187-197","title":"A Very Private Belief: Reincarnation in Contemporary England","volume":"60","author":[{"family":"Walter","given":"Tony"},{"family":"Waterhouse","given":"Helen"}],"issued":{"date-parts":[["1999"]]}},"locator":"193","label":"page"}],"schema":"https://github.com/citation-style-language/schema/raw/master/csl-citation.json"} </w:instrText>
      </w:r>
      <w:r w:rsidRPr="00A84B07">
        <w:rPr>
          <w:rFonts w:ascii="Times New Roman" w:hAnsi="Times New Roman" w:cs="Times New Roman"/>
        </w:rPr>
        <w:fldChar w:fldCharType="separate"/>
      </w:r>
      <w:r w:rsidRPr="00A84B07" w:rsidR="003E4DE0">
        <w:rPr>
          <w:rFonts w:ascii="Times New Roman" w:hAnsi="Times New Roman" w:cs="Times New Roman"/>
          <w:kern w:val="0"/>
        </w:rPr>
        <w:t>Walter and Waterhouse, “A Very Private Belief: Reincarnation in Contemporary England,” 193.</w:t>
      </w:r>
      <w:r w:rsidRPr="00A84B07">
        <w:rPr>
          <w:rFonts w:ascii="Times New Roman" w:hAnsi="Times New Roman" w:cs="Times New Roman"/>
        </w:rPr>
        <w:fldChar w:fldCharType="end"/>
      </w:r>
    </w:p>
  </w:footnote>
  <w:footnote w:id="17">
    <w:p w:rsidR="00A84B07" w:rsidRPr="00A84B07">
      <w:pPr>
        <w:pStyle w:val="FootnoteText"/>
        <w:rPr>
          <w:lang w:val="en-GB"/>
        </w:rPr>
      </w:pPr>
      <w:r w:rsidRPr="00A84B07">
        <w:rPr>
          <w:rStyle w:val="FootnoteReference"/>
          <w:rFonts w:ascii="Times New Roman" w:hAnsi="Times New Roman" w:cs="Times New Roman"/>
        </w:rPr>
        <w:footnoteRef/>
      </w:r>
      <w:r w:rsidRPr="00A84B07">
        <w:rPr>
          <w:rFonts w:ascii="Times New Roman" w:hAnsi="Times New Roman" w:cs="Times New Roman"/>
        </w:rPr>
        <w:t xml:space="preserve"> </w:t>
      </w:r>
      <w:r w:rsidRPr="00A84B07">
        <w:rPr>
          <w:rFonts w:ascii="Times New Roman" w:hAnsi="Times New Roman" w:cs="Times New Roman"/>
        </w:rPr>
        <w:fldChar w:fldCharType="begin"/>
      </w:r>
      <w:r w:rsidRPr="00A84B07">
        <w:rPr>
          <w:rFonts w:ascii="Times New Roman" w:hAnsi="Times New Roman" w:cs="Times New Roman"/>
        </w:rPr>
        <w:instrText xml:space="preserve"> ADDIN ZOTERO_ITEM CSL_CITATION {"citationID":"3S0FbCJg","properties":{"formattedCitation":"Oliver Freiberger, {\\i{}Considering Comparison: A Method for Religious Studies} (U.S.A: Oxford University Press, 2019), 13.","plainCitation":"Oliver Freiberger, Considering Comparison: A Method for Religious Studies (U.S.A: Oxford University Press, 2019), 13.","noteIndex":16},"citationItems":[{"id":89,"uris":["http://zotero.org/users/16253413/items/T85YKFA9"],"itemData":{"id":89,"type":"book","event-place":"U.S.A","publisher":"Oxford University Press","publisher-place":"U.S.A","title":"Considering Comparison: A Method for Religious Studies","author":[{"family":"Freiberger","given":"Oliver"}],"issued":{"date-parts":[["2019"]]}},"locator":"13","label":"page"}],"schema":"https://github.com/citation-style-language/schema/raw/master/csl-citation.json"} </w:instrText>
      </w:r>
      <w:r w:rsidRPr="00A84B07">
        <w:rPr>
          <w:rFonts w:ascii="Times New Roman" w:hAnsi="Times New Roman" w:cs="Times New Roman"/>
        </w:rPr>
        <w:fldChar w:fldCharType="separate"/>
      </w:r>
      <w:r w:rsidRPr="00A84B07">
        <w:rPr>
          <w:rFonts w:ascii="Times New Roman" w:hAnsi="Times New Roman" w:cs="Times New Roman"/>
          <w:kern w:val="0"/>
        </w:rPr>
        <w:t xml:space="preserve">Oliver Freiberger, </w:t>
      </w:r>
      <w:r w:rsidRPr="00A84B07">
        <w:rPr>
          <w:rFonts w:ascii="Times New Roman" w:hAnsi="Times New Roman" w:cs="Times New Roman"/>
          <w:i/>
          <w:iCs/>
          <w:kern w:val="0"/>
        </w:rPr>
        <w:t>Considering Comparison: A Method for Religious Studies</w:t>
      </w:r>
      <w:r w:rsidRPr="00A84B07">
        <w:rPr>
          <w:rFonts w:ascii="Times New Roman" w:hAnsi="Times New Roman" w:cs="Times New Roman"/>
          <w:kern w:val="0"/>
        </w:rPr>
        <w:t xml:space="preserve"> (U.S.A: Oxford University Press, 2019), 13.</w:t>
      </w:r>
      <w:r w:rsidRPr="00A84B07">
        <w:rPr>
          <w:rFonts w:ascii="Times New Roman" w:hAnsi="Times New Roman" w:cs="Times New Roman"/>
        </w:rPr>
        <w:fldChar w:fldCharType="end"/>
      </w:r>
    </w:p>
  </w:footnote>
  <w:footnote w:id="18">
    <w:p w:rsidR="00A84B07" w:rsidRPr="002B0E78">
      <w:pPr>
        <w:pStyle w:val="FootnoteText"/>
        <w:rPr>
          <w:rFonts w:ascii="Times New Roman" w:hAnsi="Times New Roman" w:cs="Times New Roman"/>
          <w:lang w:val="en-GB"/>
        </w:rPr>
      </w:pPr>
      <w:r w:rsidRPr="002B0E78">
        <w:rPr>
          <w:rStyle w:val="FootnoteReference"/>
          <w:rFonts w:ascii="Times New Roman" w:hAnsi="Times New Roman" w:cs="Times New Roman"/>
        </w:rPr>
        <w:footnoteRef/>
      </w:r>
      <w:r w:rsidRPr="002B0E78">
        <w:rPr>
          <w:rFonts w:ascii="Times New Roman" w:hAnsi="Times New Roman" w:cs="Times New Roman"/>
        </w:rPr>
        <w:t xml:space="preserve"> </w:t>
      </w:r>
      <w:r w:rsidRPr="002B0E78">
        <w:rPr>
          <w:rFonts w:ascii="Times New Roman" w:hAnsi="Times New Roman" w:cs="Times New Roman"/>
        </w:rPr>
        <w:fldChar w:fldCharType="begin"/>
      </w:r>
      <w:r w:rsidRPr="002B0E78">
        <w:rPr>
          <w:rFonts w:ascii="Times New Roman" w:hAnsi="Times New Roman" w:cs="Times New Roman"/>
        </w:rPr>
        <w:instrText xml:space="preserve"> ADDIN ZOTERO_ITEM CSL_CITATION {"citationID":"QngglDdd","properties":{"formattedCitation":"Brink, \\uc0\\u8220{}Inconsistency of Belief among Roman Catholic Girls: Concerning Religion, Astrology, Reincarnation,\\uc0\\u8221{} 83.","plainCitation":"Brink, “Inconsistency of Belief among Roman Catholic Girls: Concerning Religion, Astrology, Reincarnation,” 83.","noteIndex":17},"citationItems":[{"id":62,"uris":["http://zotero.org/users/16253413/items/IKMKG5G9"],"itemData":{"id":62,"type":"article-journal","container-title":"Review of Religious Research","issue":"1","page":"82-85","title":"Inconsistency of Belief among Roman Catholic Girls: Concerning Religion, Astrology, Reincarnation","volume":"20","author":[{"family":"Brink","given":"T. L."}],"issued":{"date-parts":[["1978"]]}},"locator":"83","label":"page"}],"schema":"https://github.com/citation-style-language/schema/raw/master/csl-citation.json"} </w:instrText>
      </w:r>
      <w:r w:rsidRPr="002B0E78">
        <w:rPr>
          <w:rFonts w:ascii="Times New Roman" w:hAnsi="Times New Roman" w:cs="Times New Roman"/>
        </w:rPr>
        <w:fldChar w:fldCharType="separate"/>
      </w:r>
      <w:r w:rsidRPr="002B0E78">
        <w:rPr>
          <w:rFonts w:ascii="Times New Roman" w:hAnsi="Times New Roman" w:cs="Times New Roman"/>
          <w:kern w:val="0"/>
        </w:rPr>
        <w:t>Brink, “Inconsistency of Belief among Roman Catholic Girls: Concerning Religion, Astrology, Reincarnation,” 83.</w:t>
      </w:r>
      <w:r w:rsidRPr="002B0E78">
        <w:rPr>
          <w:rFonts w:ascii="Times New Roman" w:hAnsi="Times New Roman" w:cs="Times New Roman"/>
        </w:rPr>
        <w:fldChar w:fldCharType="end"/>
      </w:r>
    </w:p>
  </w:footnote>
  <w:footnote w:id="19">
    <w:p w:rsidR="002B0E78" w:rsidRPr="002B0E78">
      <w:pPr>
        <w:pStyle w:val="FootnoteText"/>
        <w:rPr>
          <w:rFonts w:ascii="Times New Roman" w:hAnsi="Times New Roman" w:cs="Times New Roman"/>
          <w:lang w:val="en-GB"/>
        </w:rPr>
      </w:pPr>
      <w:r w:rsidRPr="002B0E78">
        <w:rPr>
          <w:rStyle w:val="FootnoteReference"/>
          <w:rFonts w:ascii="Times New Roman" w:hAnsi="Times New Roman" w:cs="Times New Roman"/>
        </w:rPr>
        <w:footnoteRef/>
      </w:r>
      <w:r w:rsidRPr="002B0E78">
        <w:rPr>
          <w:rFonts w:ascii="Times New Roman" w:hAnsi="Times New Roman" w:cs="Times New Roman"/>
        </w:rPr>
        <w:t xml:space="preserve"> </w:t>
      </w:r>
      <w:r w:rsidRPr="002B0E78">
        <w:rPr>
          <w:rFonts w:ascii="Times New Roman" w:hAnsi="Times New Roman" w:cs="Times New Roman"/>
        </w:rPr>
        <w:fldChar w:fldCharType="begin"/>
      </w:r>
      <w:r w:rsidRPr="002B0E78">
        <w:rPr>
          <w:rFonts w:ascii="Times New Roman" w:hAnsi="Times New Roman" w:cs="Times New Roman"/>
        </w:rPr>
        <w:instrText xml:space="preserve"> ADDIN ZOTERO_ITEM CSL_CITATION {"citationID":"kZ8OKzdv","properties":{"formattedCitation":"Brink, \\uc0\\u8220{}Inconsistency of Belief among Roman Catholic Girls: Concerning Religion, Astrology, Reincarnation.\\uc0\\u8221{}","plainCitation":"Brink, “Inconsistency of Belief among Roman Catholic Girls: Concerning Religion, Astrology, Reincarnation.”","noteIndex":18},"citationItems":[{"id":62,"uris":["http://zotero.org/users/16253413/items/IKMKG5G9"],"itemData":{"id":62,"type":"article-journal","container-title":"Review of Religious Research","issue":"1","page":"82-85","title":"Inconsistency of Belief among Roman Catholic Girls: Concerning Religion, Astrology, Reincarnation","volume":"20","author":[{"family":"Brink","given":"T. L."}],"issued":{"date-parts":[["1978"]]}}}],"schema":"https://github.com/citation-style-language/schema/raw/master/csl-citation.json"} </w:instrText>
      </w:r>
      <w:r w:rsidRPr="002B0E78">
        <w:rPr>
          <w:rFonts w:ascii="Times New Roman" w:hAnsi="Times New Roman" w:cs="Times New Roman"/>
        </w:rPr>
        <w:fldChar w:fldCharType="separate"/>
      </w:r>
      <w:r w:rsidRPr="002B0E78">
        <w:rPr>
          <w:rFonts w:ascii="Times New Roman" w:hAnsi="Times New Roman" w:cs="Times New Roman"/>
          <w:kern w:val="0"/>
        </w:rPr>
        <w:t>Brink, “Inconsistency of Belief among Roman Catholic Girls: Concerning Religion, Astrology, Reincarnation.”</w:t>
      </w:r>
      <w:r w:rsidRPr="002B0E78">
        <w:rPr>
          <w:rFonts w:ascii="Times New Roman" w:hAnsi="Times New Roman" w:cs="Times New Roman"/>
        </w:rPr>
        <w:fldChar w:fldCharType="end"/>
      </w:r>
    </w:p>
  </w:footnote>
  <w:footnote w:id="20">
    <w:p w:rsidR="002B0E78" w:rsidRPr="002B0E78">
      <w:pPr>
        <w:pStyle w:val="FootnoteText"/>
        <w:rPr>
          <w:lang w:val="en-GB"/>
        </w:rPr>
      </w:pPr>
      <w:r w:rsidRPr="002B0E78">
        <w:rPr>
          <w:rStyle w:val="FootnoteReference"/>
          <w:rFonts w:ascii="Times New Roman" w:hAnsi="Times New Roman" w:cs="Times New Roman"/>
        </w:rPr>
        <w:footnoteRef/>
      </w:r>
      <w:r w:rsidRPr="002B0E78">
        <w:rPr>
          <w:rFonts w:ascii="Times New Roman" w:hAnsi="Times New Roman" w:cs="Times New Roman"/>
        </w:rPr>
        <w:t xml:space="preserve"> </w:t>
      </w:r>
      <w:r w:rsidRPr="002B0E78">
        <w:rPr>
          <w:rFonts w:ascii="Times New Roman" w:hAnsi="Times New Roman" w:cs="Times New Roman"/>
        </w:rPr>
        <w:fldChar w:fldCharType="begin"/>
      </w:r>
      <w:r w:rsidRPr="002B0E78">
        <w:rPr>
          <w:rFonts w:ascii="Times New Roman" w:hAnsi="Times New Roman" w:cs="Times New Roman"/>
        </w:rPr>
        <w:instrText xml:space="preserve"> ADDIN ZOTERO_ITEM CSL_CITATION {"citationID":"v1Kl8Rk8","properties":{"formattedCitation":"Walter and Waterhouse, \\uc0\\u8220{}A Very Private Belief: Reincarnation in Contemporary England,\\uc0\\u8221{} 194.","plainCitation":"Walter and Waterhouse, “A Very Private Belief: Reincarnation in Contemporary England,” 194.","noteIndex":19},"citationItems":[{"id":85,"uris":["http://zotero.org/users/16253413/items/63K237H3"],"itemData":{"id":85,"type":"article-journal","container-title":"Sociology of Religion","issue":"2","page":"187-197","title":"A Very Private Belief: Reincarnation in Contemporary England","volume":"60","author":[{"family":"Walter","given":"Tony"},{"family":"Waterhouse","given":"Helen"}],"issued":{"date-parts":[["1999"]]}},"locator":"194","label":"page"}],"schema":"https://github.com/citation-style-language/schema/raw/master/csl-citation.json"} </w:instrText>
      </w:r>
      <w:r w:rsidRPr="002B0E78">
        <w:rPr>
          <w:rFonts w:ascii="Times New Roman" w:hAnsi="Times New Roman" w:cs="Times New Roman"/>
        </w:rPr>
        <w:fldChar w:fldCharType="separate"/>
      </w:r>
      <w:r w:rsidRPr="002B0E78">
        <w:rPr>
          <w:rFonts w:ascii="Times New Roman" w:hAnsi="Times New Roman" w:cs="Times New Roman"/>
          <w:kern w:val="0"/>
        </w:rPr>
        <w:t>Walter and Waterhouse, “A Very Private Belief: Reincarnation in Contemporary England,” 194.</w:t>
      </w:r>
      <w:r w:rsidRPr="002B0E78">
        <w:rPr>
          <w:rFonts w:ascii="Times New Roman" w:hAnsi="Times New Roman" w:cs="Times New Roman"/>
        </w:rPr>
        <w:fldChar w:fldCharType="end"/>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start w:val="0"/>
      <w:numFmt w:val="decimal"/>
      <w:lvlText w:val="*"/>
      <w:lvlJc w:val="left"/>
    </w:lvl>
  </w:abstractNum>
  <w:abstractNum w:abstractNumId="1">
    <w:nsid w:val="020D6C1B"/>
    <w:multiLevelType w:val="hybridMultilevel"/>
    <w:tmpl w:val="2AF8D0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108D2346"/>
    <w:multiLevelType w:val="hybridMultilevel"/>
    <w:tmpl w:val="31B41100"/>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1A893302"/>
    <w:multiLevelType w:val="hybridMultilevel"/>
    <w:tmpl w:val="1464C41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1DE8119E"/>
    <w:multiLevelType w:val="hybridMultilevel"/>
    <w:tmpl w:val="2F4A88A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
    <w:nsid w:val="2C4D4F0F"/>
    <w:multiLevelType w:val="hybridMultilevel"/>
    <w:tmpl w:val="799262E0"/>
    <w:lvl w:ilvl="0">
      <w:start w:val="1"/>
      <w:numFmt w:val="upperRoman"/>
      <w:lvlText w:val="%1."/>
      <w:lvlJc w:val="right"/>
      <w:pPr>
        <w:ind w:left="540" w:hanging="360"/>
      </w:p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7">
    <w:nsid w:val="31900F40"/>
    <w:multiLevelType w:val="hybridMultilevel"/>
    <w:tmpl w:val="902A269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376313C9"/>
    <w:multiLevelType w:val="hybridMultilevel"/>
    <w:tmpl w:val="6CBA7B9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B5149EF"/>
    <w:multiLevelType w:val="hybridMultilevel"/>
    <w:tmpl w:val="173E0136"/>
    <w:lvl w:ilvl="0">
      <w:start w:val="1"/>
      <w:numFmt w:val="lowerRoman"/>
      <w:lvlText w:val="(%1)"/>
      <w:lvlJc w:val="left"/>
      <w:pPr>
        <w:ind w:left="540" w:hanging="720"/>
      </w:pPr>
      <w:rPr>
        <w:rFonts w:hint="default"/>
        <w:sz w:val="20"/>
      </w:rPr>
    </w:lvl>
    <w:lvl w:ilvl="1">
      <w:start w:val="1"/>
      <w:numFmt w:val="lowerLetter"/>
      <w:lvlText w:val="%2."/>
      <w:lvlJc w:val="left"/>
      <w:pPr>
        <w:ind w:left="900" w:hanging="360"/>
      </w:pPr>
    </w:lvl>
    <w:lvl w:ilvl="2" w:tentative="1">
      <w:start w:val="1"/>
      <w:numFmt w:val="lowerRoman"/>
      <w:lvlText w:val="%3."/>
      <w:lvlJc w:val="right"/>
      <w:pPr>
        <w:ind w:left="1620" w:hanging="180"/>
      </w:pPr>
    </w:lvl>
    <w:lvl w:ilvl="3" w:tentative="1">
      <w:start w:val="1"/>
      <w:numFmt w:val="decimal"/>
      <w:lvlText w:val="%4."/>
      <w:lvlJc w:val="left"/>
      <w:pPr>
        <w:ind w:left="2340" w:hanging="360"/>
      </w:pPr>
    </w:lvl>
    <w:lvl w:ilvl="4" w:tentative="1">
      <w:start w:val="1"/>
      <w:numFmt w:val="lowerLetter"/>
      <w:lvlText w:val="%5."/>
      <w:lvlJc w:val="left"/>
      <w:pPr>
        <w:ind w:left="3060" w:hanging="360"/>
      </w:pPr>
    </w:lvl>
    <w:lvl w:ilvl="5" w:tentative="1">
      <w:start w:val="1"/>
      <w:numFmt w:val="lowerRoman"/>
      <w:lvlText w:val="%6."/>
      <w:lvlJc w:val="right"/>
      <w:pPr>
        <w:ind w:left="3780" w:hanging="180"/>
      </w:pPr>
    </w:lvl>
    <w:lvl w:ilvl="6" w:tentative="1">
      <w:start w:val="1"/>
      <w:numFmt w:val="decimal"/>
      <w:lvlText w:val="%7."/>
      <w:lvlJc w:val="left"/>
      <w:pPr>
        <w:ind w:left="4500" w:hanging="360"/>
      </w:pPr>
    </w:lvl>
    <w:lvl w:ilvl="7" w:tentative="1">
      <w:start w:val="1"/>
      <w:numFmt w:val="lowerLetter"/>
      <w:lvlText w:val="%8."/>
      <w:lvlJc w:val="left"/>
      <w:pPr>
        <w:ind w:left="5220" w:hanging="360"/>
      </w:pPr>
    </w:lvl>
    <w:lvl w:ilvl="8" w:tentative="1">
      <w:start w:val="1"/>
      <w:numFmt w:val="lowerRoman"/>
      <w:lvlText w:val="%9."/>
      <w:lvlJc w:val="right"/>
      <w:pPr>
        <w:ind w:left="5940" w:hanging="180"/>
      </w:pPr>
    </w:lvl>
  </w:abstractNum>
  <w:abstractNum w:abstractNumId="1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nsid w:val="4AC93B2A"/>
    <w:multiLevelType w:val="hybridMultilevel"/>
    <w:tmpl w:val="726E56B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nsid w:val="580D3A84"/>
    <w:multiLevelType w:val="hybridMultilevel"/>
    <w:tmpl w:val="1BA6272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nsid w:val="5CCB20C1"/>
    <w:multiLevelType w:val="hybridMultilevel"/>
    <w:tmpl w:val="99225DD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8">
    <w:nsid w:val="65B7720D"/>
    <w:multiLevelType w:val="hybridMultilevel"/>
    <w:tmpl w:val="5C664BAC"/>
    <w:lvl w:ilvl="0">
      <w:start w:val="1"/>
      <w:numFmt w:val="bullet"/>
      <w:lvlText w:val="*"/>
      <w:lvlJc w:val="left"/>
      <w:pPr>
        <w:tabs>
          <w:tab w:val="num" w:pos="540"/>
        </w:tabs>
        <w:ind w:left="540" w:hanging="360"/>
      </w:pPr>
      <w:rPr>
        <w:rFonts w:ascii="Albertus" w:hAnsi="Albertu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A54753F"/>
    <w:multiLevelType w:val="hybridMultilevel"/>
    <w:tmpl w:val="8A1266FA"/>
    <w:lvl w:ilvl="0">
      <w:start w:val="1"/>
      <w:numFmt w:val="bullet"/>
      <w:lvlText w:val=""/>
      <w:lvlJc w:val="left"/>
      <w:pPr>
        <w:tabs>
          <w:tab w:val="num" w:pos="540"/>
        </w:tabs>
        <w:ind w:left="540" w:hanging="360"/>
      </w:pPr>
      <w:rPr>
        <w:rFonts w:ascii="Symbol" w:hAnsi="Symbol" w:hint="default"/>
      </w:rPr>
    </w:lvl>
    <w:lvl w:ilvl="1">
      <w:start w:val="1"/>
      <w:numFmt w:val="bullet"/>
      <w:lvlText w:val="o"/>
      <w:lvlJc w:val="left"/>
      <w:pPr>
        <w:tabs>
          <w:tab w:val="num" w:pos="1260"/>
        </w:tabs>
        <w:ind w:left="1260" w:hanging="360"/>
      </w:pPr>
      <w:rPr>
        <w:rFonts w:ascii="Courier New" w:hAnsi="Courier New" w:cs="Courier New" w:hint="default"/>
      </w:rPr>
    </w:lvl>
    <w:lvl w:ilvl="2" w:tentative="1">
      <w:start w:val="1"/>
      <w:numFmt w:val="bullet"/>
      <w:lvlText w:val=""/>
      <w:lvlJc w:val="left"/>
      <w:pPr>
        <w:tabs>
          <w:tab w:val="num" w:pos="1980"/>
        </w:tabs>
        <w:ind w:left="1980" w:hanging="360"/>
      </w:pPr>
      <w:rPr>
        <w:rFonts w:ascii="Wingdings" w:hAnsi="Wingdings" w:hint="default"/>
      </w:rPr>
    </w:lvl>
    <w:lvl w:ilvl="3" w:tentative="1">
      <w:start w:val="1"/>
      <w:numFmt w:val="bullet"/>
      <w:lvlText w:val=""/>
      <w:lvlJc w:val="left"/>
      <w:pPr>
        <w:tabs>
          <w:tab w:val="num" w:pos="2700"/>
        </w:tabs>
        <w:ind w:left="2700" w:hanging="360"/>
      </w:pPr>
      <w:rPr>
        <w:rFonts w:ascii="Symbol" w:hAnsi="Symbol" w:hint="default"/>
      </w:rPr>
    </w:lvl>
    <w:lvl w:ilvl="4" w:tentative="1">
      <w:start w:val="1"/>
      <w:numFmt w:val="bullet"/>
      <w:lvlText w:val="o"/>
      <w:lvlJc w:val="left"/>
      <w:pPr>
        <w:tabs>
          <w:tab w:val="num" w:pos="3420"/>
        </w:tabs>
        <w:ind w:left="3420" w:hanging="360"/>
      </w:pPr>
      <w:rPr>
        <w:rFonts w:ascii="Courier New" w:hAnsi="Courier New" w:cs="Courier New" w:hint="default"/>
      </w:rPr>
    </w:lvl>
    <w:lvl w:ilvl="5" w:tentative="1">
      <w:start w:val="1"/>
      <w:numFmt w:val="bullet"/>
      <w:lvlText w:val=""/>
      <w:lvlJc w:val="left"/>
      <w:pPr>
        <w:tabs>
          <w:tab w:val="num" w:pos="4140"/>
        </w:tabs>
        <w:ind w:left="4140" w:hanging="360"/>
      </w:pPr>
      <w:rPr>
        <w:rFonts w:ascii="Wingdings" w:hAnsi="Wingdings" w:hint="default"/>
      </w:rPr>
    </w:lvl>
    <w:lvl w:ilvl="6" w:tentative="1">
      <w:start w:val="1"/>
      <w:numFmt w:val="bullet"/>
      <w:lvlText w:val=""/>
      <w:lvlJc w:val="left"/>
      <w:pPr>
        <w:tabs>
          <w:tab w:val="num" w:pos="4860"/>
        </w:tabs>
        <w:ind w:left="4860" w:hanging="360"/>
      </w:pPr>
      <w:rPr>
        <w:rFonts w:ascii="Symbol" w:hAnsi="Symbol" w:hint="default"/>
      </w:rPr>
    </w:lvl>
    <w:lvl w:ilvl="7" w:tentative="1">
      <w:start w:val="1"/>
      <w:numFmt w:val="bullet"/>
      <w:lvlText w:val="o"/>
      <w:lvlJc w:val="left"/>
      <w:pPr>
        <w:tabs>
          <w:tab w:val="num" w:pos="5580"/>
        </w:tabs>
        <w:ind w:left="5580" w:hanging="360"/>
      </w:pPr>
      <w:rPr>
        <w:rFonts w:ascii="Courier New" w:hAnsi="Courier New" w:cs="Courier New" w:hint="default"/>
      </w:rPr>
    </w:lvl>
    <w:lvl w:ilvl="8" w:tentative="1">
      <w:start w:val="1"/>
      <w:numFmt w:val="bullet"/>
      <w:lvlText w:val=""/>
      <w:lvlJc w:val="left"/>
      <w:pPr>
        <w:tabs>
          <w:tab w:val="num" w:pos="6300"/>
        </w:tabs>
        <w:ind w:left="6300" w:hanging="360"/>
      </w:pPr>
      <w:rPr>
        <w:rFonts w:ascii="Wingdings" w:hAnsi="Wingdings" w:hint="default"/>
      </w:rPr>
    </w:lvl>
  </w:abstractNum>
  <w:abstractNum w:abstractNumId="21">
    <w:nsid w:val="74791E22"/>
    <w:multiLevelType w:val="hybridMultilevel"/>
    <w:tmpl w:val="7BC0D8A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nsid w:val="7E665C95"/>
    <w:multiLevelType w:val="hybridMultilevel"/>
    <w:tmpl w:val="22767816"/>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start w:va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start w:va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oNotTrackMoves/>
  <w:defaultTabStop w:val="720"/>
  <w:noPunctuationKerning/>
  <w:characterSpacingControl w:val="doNotCompress"/>
  <w:footnotePr>
    <w:footnote w:id="0"/>
    <w:footnote w:id="1"/>
  </w:foot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185F"/>
    <w:rsid w:val="00001C3B"/>
    <w:rsid w:val="00013545"/>
    <w:rsid w:val="00022345"/>
    <w:rsid w:val="00026363"/>
    <w:rsid w:val="00043549"/>
    <w:rsid w:val="00046A16"/>
    <w:rsid w:val="00047074"/>
    <w:rsid w:val="00076A0B"/>
    <w:rsid w:val="00083F6F"/>
    <w:rsid w:val="000854DF"/>
    <w:rsid w:val="000A6D49"/>
    <w:rsid w:val="000C04CC"/>
    <w:rsid w:val="000D06BB"/>
    <w:rsid w:val="000E1E8B"/>
    <w:rsid w:val="000E3682"/>
    <w:rsid w:val="000E3751"/>
    <w:rsid w:val="0010199D"/>
    <w:rsid w:val="001070F2"/>
    <w:rsid w:val="00111283"/>
    <w:rsid w:val="0011161A"/>
    <w:rsid w:val="00116CE6"/>
    <w:rsid w:val="00120624"/>
    <w:rsid w:val="00165047"/>
    <w:rsid w:val="00172497"/>
    <w:rsid w:val="001C0B52"/>
    <w:rsid w:val="001C4B2D"/>
    <w:rsid w:val="001E0E06"/>
    <w:rsid w:val="001F4CE1"/>
    <w:rsid w:val="002006DE"/>
    <w:rsid w:val="002132DC"/>
    <w:rsid w:val="00216211"/>
    <w:rsid w:val="00224B95"/>
    <w:rsid w:val="00230F35"/>
    <w:rsid w:val="00253923"/>
    <w:rsid w:val="0025530E"/>
    <w:rsid w:val="002715FA"/>
    <w:rsid w:val="00276002"/>
    <w:rsid w:val="00277421"/>
    <w:rsid w:val="00290783"/>
    <w:rsid w:val="0029314E"/>
    <w:rsid w:val="002A4954"/>
    <w:rsid w:val="002A603D"/>
    <w:rsid w:val="002B0E78"/>
    <w:rsid w:val="002B7C26"/>
    <w:rsid w:val="002D2A04"/>
    <w:rsid w:val="002E2BA0"/>
    <w:rsid w:val="002E67CE"/>
    <w:rsid w:val="002F1475"/>
    <w:rsid w:val="002F467C"/>
    <w:rsid w:val="003047C9"/>
    <w:rsid w:val="00305185"/>
    <w:rsid w:val="00305B2B"/>
    <w:rsid w:val="00307B22"/>
    <w:rsid w:val="00326631"/>
    <w:rsid w:val="00337A70"/>
    <w:rsid w:val="00341D2F"/>
    <w:rsid w:val="00351F4B"/>
    <w:rsid w:val="0038342D"/>
    <w:rsid w:val="003C3F4F"/>
    <w:rsid w:val="003C7F6F"/>
    <w:rsid w:val="003D6255"/>
    <w:rsid w:val="003E08F3"/>
    <w:rsid w:val="003E4DE0"/>
    <w:rsid w:val="003F0AD2"/>
    <w:rsid w:val="003F1BC3"/>
    <w:rsid w:val="003F737B"/>
    <w:rsid w:val="00402DB0"/>
    <w:rsid w:val="0040732D"/>
    <w:rsid w:val="004232B3"/>
    <w:rsid w:val="004250DD"/>
    <w:rsid w:val="0043758C"/>
    <w:rsid w:val="0044129B"/>
    <w:rsid w:val="00447497"/>
    <w:rsid w:val="00460A5C"/>
    <w:rsid w:val="004627BA"/>
    <w:rsid w:val="004657CC"/>
    <w:rsid w:val="004724D6"/>
    <w:rsid w:val="00475C78"/>
    <w:rsid w:val="004A024B"/>
    <w:rsid w:val="004B73BA"/>
    <w:rsid w:val="004C67E5"/>
    <w:rsid w:val="004C79CE"/>
    <w:rsid w:val="004F2B31"/>
    <w:rsid w:val="00521E0F"/>
    <w:rsid w:val="00531109"/>
    <w:rsid w:val="00537B4C"/>
    <w:rsid w:val="0054127F"/>
    <w:rsid w:val="005429EF"/>
    <w:rsid w:val="005627D4"/>
    <w:rsid w:val="005638AD"/>
    <w:rsid w:val="0058726A"/>
    <w:rsid w:val="00590E9A"/>
    <w:rsid w:val="005942E9"/>
    <w:rsid w:val="005979EE"/>
    <w:rsid w:val="005C6560"/>
    <w:rsid w:val="00610318"/>
    <w:rsid w:val="00632937"/>
    <w:rsid w:val="00644919"/>
    <w:rsid w:val="0065654E"/>
    <w:rsid w:val="00662A40"/>
    <w:rsid w:val="006805EC"/>
    <w:rsid w:val="00691819"/>
    <w:rsid w:val="00693C4D"/>
    <w:rsid w:val="006A205D"/>
    <w:rsid w:val="006A65E9"/>
    <w:rsid w:val="006C0A3A"/>
    <w:rsid w:val="006C5E96"/>
    <w:rsid w:val="006E4F24"/>
    <w:rsid w:val="00751BE2"/>
    <w:rsid w:val="00756A4B"/>
    <w:rsid w:val="00765417"/>
    <w:rsid w:val="007659C2"/>
    <w:rsid w:val="00770733"/>
    <w:rsid w:val="00773D0E"/>
    <w:rsid w:val="0078104B"/>
    <w:rsid w:val="00790E2F"/>
    <w:rsid w:val="007B1BD1"/>
    <w:rsid w:val="007B721A"/>
    <w:rsid w:val="007C098A"/>
    <w:rsid w:val="007C6F33"/>
    <w:rsid w:val="007D7715"/>
    <w:rsid w:val="00823895"/>
    <w:rsid w:val="0083442E"/>
    <w:rsid w:val="00840B95"/>
    <w:rsid w:val="0084272E"/>
    <w:rsid w:val="00843DE9"/>
    <w:rsid w:val="00860711"/>
    <w:rsid w:val="00881898"/>
    <w:rsid w:val="0089447F"/>
    <w:rsid w:val="00894598"/>
    <w:rsid w:val="008950EF"/>
    <w:rsid w:val="008A4DCC"/>
    <w:rsid w:val="008B3A97"/>
    <w:rsid w:val="008D03F0"/>
    <w:rsid w:val="008D674F"/>
    <w:rsid w:val="008E525C"/>
    <w:rsid w:val="00901157"/>
    <w:rsid w:val="00914769"/>
    <w:rsid w:val="00954B2D"/>
    <w:rsid w:val="00973B44"/>
    <w:rsid w:val="00977C2B"/>
    <w:rsid w:val="009801D3"/>
    <w:rsid w:val="009A2B4B"/>
    <w:rsid w:val="009A3D0A"/>
    <w:rsid w:val="009B2D10"/>
    <w:rsid w:val="009C01A3"/>
    <w:rsid w:val="009C1A08"/>
    <w:rsid w:val="009C396A"/>
    <w:rsid w:val="009F2623"/>
    <w:rsid w:val="00A02C62"/>
    <w:rsid w:val="00A05217"/>
    <w:rsid w:val="00A06B94"/>
    <w:rsid w:val="00A157EF"/>
    <w:rsid w:val="00A2073F"/>
    <w:rsid w:val="00A303FE"/>
    <w:rsid w:val="00A41032"/>
    <w:rsid w:val="00A41AF9"/>
    <w:rsid w:val="00A507E4"/>
    <w:rsid w:val="00A56539"/>
    <w:rsid w:val="00A62E68"/>
    <w:rsid w:val="00A745B6"/>
    <w:rsid w:val="00A84B07"/>
    <w:rsid w:val="00A972E4"/>
    <w:rsid w:val="00A9744A"/>
    <w:rsid w:val="00AC36E3"/>
    <w:rsid w:val="00AC6213"/>
    <w:rsid w:val="00AD5D5A"/>
    <w:rsid w:val="00AE3217"/>
    <w:rsid w:val="00B11AB3"/>
    <w:rsid w:val="00B11E29"/>
    <w:rsid w:val="00B33FBC"/>
    <w:rsid w:val="00B34964"/>
    <w:rsid w:val="00B36F4A"/>
    <w:rsid w:val="00B42501"/>
    <w:rsid w:val="00B45FEF"/>
    <w:rsid w:val="00B462B1"/>
    <w:rsid w:val="00B56E7B"/>
    <w:rsid w:val="00B72F46"/>
    <w:rsid w:val="00B81E5D"/>
    <w:rsid w:val="00B96983"/>
    <w:rsid w:val="00B9724B"/>
    <w:rsid w:val="00BC17F1"/>
    <w:rsid w:val="00BD4D0B"/>
    <w:rsid w:val="00BE7B7A"/>
    <w:rsid w:val="00BF22DC"/>
    <w:rsid w:val="00BF3D29"/>
    <w:rsid w:val="00BF6291"/>
    <w:rsid w:val="00C129C7"/>
    <w:rsid w:val="00C22A88"/>
    <w:rsid w:val="00C65E7F"/>
    <w:rsid w:val="00C93CD4"/>
    <w:rsid w:val="00CA2BFE"/>
    <w:rsid w:val="00CB2056"/>
    <w:rsid w:val="00CB5E37"/>
    <w:rsid w:val="00CC1028"/>
    <w:rsid w:val="00CC52A3"/>
    <w:rsid w:val="00CE3B79"/>
    <w:rsid w:val="00D04595"/>
    <w:rsid w:val="00D0754F"/>
    <w:rsid w:val="00D328AB"/>
    <w:rsid w:val="00D429CC"/>
    <w:rsid w:val="00D459DC"/>
    <w:rsid w:val="00D56EFA"/>
    <w:rsid w:val="00D67BF8"/>
    <w:rsid w:val="00DA3217"/>
    <w:rsid w:val="00DA3E0F"/>
    <w:rsid w:val="00DB185F"/>
    <w:rsid w:val="00DB43BB"/>
    <w:rsid w:val="00DD363B"/>
    <w:rsid w:val="00DE54B1"/>
    <w:rsid w:val="00E251B2"/>
    <w:rsid w:val="00E3766D"/>
    <w:rsid w:val="00E502BA"/>
    <w:rsid w:val="00E52A3C"/>
    <w:rsid w:val="00E57529"/>
    <w:rsid w:val="00E67719"/>
    <w:rsid w:val="00E74491"/>
    <w:rsid w:val="00E84F5D"/>
    <w:rsid w:val="00EB3CAA"/>
    <w:rsid w:val="00EC7546"/>
    <w:rsid w:val="00ED38BB"/>
    <w:rsid w:val="00ED3B26"/>
    <w:rsid w:val="00EF6187"/>
    <w:rsid w:val="00F1661E"/>
    <w:rsid w:val="00F2453C"/>
    <w:rsid w:val="00F346BE"/>
    <w:rsid w:val="00F406F4"/>
    <w:rsid w:val="00F73533"/>
    <w:rsid w:val="00F8171A"/>
    <w:rsid w:val="00FA07E9"/>
    <w:rsid w:val="00FA2A4C"/>
    <w:rsid w:val="00FF1125"/>
    <w:rsid w:val="00FF509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DB185F"/>
    <w:rPr>
      <w:sz w:val="24"/>
      <w:szCs w:val="24"/>
      <w:lang w:val="en-GB" w:eastAsia="zh-CN" w:bidi="ar-SA"/>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lang w:val="x-none"/>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otnoteReference">
    <w:name w:val="footnote reference"/>
    <w:basedOn w:val="DefaultParagraphFont"/>
    <w:uiPriority w:val="99"/>
    <w:semiHidden/>
    <w:unhideWhenUsed/>
    <w:rsid w:val="004232B3"/>
    <w:rPr>
      <w:vertAlign w:val="superscript"/>
    </w:rPr>
  </w:style>
  <w:style w:type="paragraph" w:styleId="FootnoteText">
    <w:name w:val="footnote text"/>
    <w:basedOn w:val="Normal"/>
    <w:link w:val="FootnoteTextChar"/>
    <w:uiPriority w:val="99"/>
    <w:semiHidden/>
    <w:unhideWhenUsed/>
    <w:rsid w:val="004232B3"/>
    <w:rPr>
      <w:rFonts w:asciiTheme="minorHAnsi" w:eastAsiaTheme="minorHAnsi" w:hAnsiTheme="minorHAnsi" w:cstheme="minorBidi"/>
      <w:kern w:val="2"/>
      <w:sz w:val="20"/>
      <w:szCs w:val="20"/>
      <w:lang w:val="" w:eastAsia="en-US"/>
    </w:rPr>
  </w:style>
  <w:style w:type="character" w:customStyle="1" w:styleId="FootnoteTextChar">
    <w:name w:val="Footnote Text Char"/>
    <w:basedOn w:val="DefaultParagraphFont"/>
    <w:link w:val="FootnoteText"/>
    <w:uiPriority w:val="99"/>
    <w:semiHidden/>
    <w:rsid w:val="004232B3"/>
    <w:rPr>
      <w:rFonts w:asciiTheme="minorHAnsi" w:eastAsiaTheme="minorHAnsi" w:hAnsiTheme="minorHAnsi" w:cstheme="minorBidi"/>
      <w:kern w:val="2"/>
      <w:lang w:val="" w:eastAsia="en-US"/>
    </w:rPr>
  </w:style>
  <w:style w:type="paragraph" w:styleId="Bibliography">
    <w:name w:val="Bibliography"/>
    <w:basedOn w:val="Normal"/>
    <w:next w:val="Normal"/>
    <w:uiPriority w:val="37"/>
    <w:unhideWhenUsed/>
    <w:rsid w:val="00894598"/>
    <w:pPr>
      <w:spacing w:after="160" w:line="278" w:lineRule="auto"/>
    </w:pPr>
    <w:rPr>
      <w:rFonts w:asciiTheme="minorHAnsi" w:eastAsiaTheme="minorHAnsi" w:hAnsiTheme="minorHAnsi" w:cstheme="minorBidi"/>
      <w:kern w:val="2"/>
      <w:lang w:val="" w:eastAsia="en-US"/>
    </w:rPr>
  </w:style>
</w:styles>
</file>

<file path=word/webSettings.xml><?xml version="1.0" encoding="utf-8"?>
<w:webSettings xmlns:r="http://schemas.openxmlformats.org/officeDocument/2006/relationships" xmlns:w="http://schemas.openxmlformats.org/wordprocessingml/2006/main">
  <w:encoding w:val="windows-125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82F01-4593-4356-99BC-0EA21F41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francesca cabral</cp:lastModifiedBy>
  <cp:revision>4</cp:revision>
  <cp:lastPrinted>2011-03-31T12:57:00Z</cp:lastPrinted>
  <dcterms:created xsi:type="dcterms:W3CDTF">2013-08-22T16:12:00Z</dcterms:created>
  <dcterms:modified xsi:type="dcterms:W3CDTF">2025-03-16T16:13:00Z</dcterms:modified>
</cp:coreProperties>
</file>