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8345A67">
      <w:r w:rsidR="7194E6AE">
        <w:rPr/>
        <w:t>ROUGH</w:t>
      </w:r>
    </w:p>
    <w:p w:rsidR="6D759D67" w:rsidRDefault="6D759D67" w14:paraId="56FF837B" w14:textId="2BF41053"/>
    <w:p w:rsidR="6D759D67" w:rsidRDefault="6D759D67" w14:paraId="55D3503F" w14:textId="6699F623"/>
    <w:p w:rsidR="0212F52B" w:rsidP="6D759D67" w:rsidRDefault="0212F52B" w14:paraId="1DC8F663" w14:textId="31A40CAC">
      <w:pPr>
        <w:pStyle w:val="Normal"/>
        <w:spacing w:before="240" w:beforeAutospacing="off" w:after="240" w:afterAutospacing="off"/>
      </w:pPr>
      <w:r w:rsidRPr="6D759D67" w:rsidR="0212F52B">
        <w:rPr>
          <w:rFonts w:ascii="Aptos" w:hAnsi="Aptos" w:eastAsia="Aptos" w:cs="Aptos"/>
          <w:noProof w:val="0"/>
          <w:sz w:val="24"/>
          <w:szCs w:val="24"/>
          <w:lang w:val="en-GB"/>
        </w:rPr>
        <w:t>Power and control are central to the (re)production of inequality experienced by LGBTQ+ people across global contexts. These inequalities are not simply the result of individual prejudice, social bias, or cultural misunderstanding, but are deeply embedded within complex and interlocking systems of power that regulate sexuality and gender across structural, institutional, and interpersonal levels. Such systems operate not only through formal mechanisms such as law and policy, but also through discourses, social norms, and everyday practices, shaping whose identities are recognised, valued, and protected as legitimate, and whose lives and experiences are marginalised, invisibilised, or subjected to social, economic, and political exclusion.</w:t>
      </w:r>
    </w:p>
    <w:p w:rsidR="7194E6AE" w:rsidP="6D759D67" w:rsidRDefault="7194E6AE" w14:paraId="5FBAC647" w14:textId="44E8009D">
      <w:pPr>
        <w:spacing w:before="240" w:beforeAutospacing="off" w:after="240" w:afterAutospacing="off"/>
      </w:pPr>
      <w:r w:rsidRPr="6D759D67" w:rsidR="7194E6AE">
        <w:rPr>
          <w:rFonts w:ascii="Aptos" w:hAnsi="Aptos" w:eastAsia="Aptos" w:cs="Aptos"/>
          <w:noProof w:val="0"/>
          <w:sz w:val="24"/>
          <w:szCs w:val="24"/>
          <w:lang w:val="en-GB"/>
        </w:rPr>
        <w:t xml:space="preserve">Let us </w:t>
      </w:r>
      <w:r w:rsidRPr="6D759D67" w:rsidR="5DB30AC0">
        <w:rPr>
          <w:rFonts w:ascii="Aptos" w:hAnsi="Aptos" w:eastAsia="Aptos" w:cs="Aptos"/>
          <w:noProof w:val="0"/>
          <w:sz w:val="24"/>
          <w:szCs w:val="24"/>
          <w:lang w:val="en-GB"/>
        </w:rPr>
        <w:t xml:space="preserve">first </w:t>
      </w:r>
      <w:r w:rsidRPr="6D759D67" w:rsidR="7194E6AE">
        <w:rPr>
          <w:rFonts w:ascii="Aptos" w:hAnsi="Aptos" w:eastAsia="Aptos" w:cs="Aptos"/>
          <w:noProof w:val="0"/>
          <w:sz w:val="24"/>
          <w:szCs w:val="24"/>
          <w:lang w:val="en-GB"/>
        </w:rPr>
        <w:t>explore the theoretical foundations that explain how power functions in the regulation of sexuality and gender, and how this regulation sustains global patterns of LGBTQ+ inequality.</w:t>
      </w:r>
    </w:p>
    <w:p w:rsidR="7194E6AE" w:rsidP="6D759D67" w:rsidRDefault="7194E6AE" w14:paraId="36C3447B" w14:textId="2B41279C">
      <w:pPr>
        <w:spacing w:before="240" w:beforeAutospacing="off" w:after="240" w:afterAutospacing="off"/>
      </w:pPr>
      <w:r w:rsidRPr="6D759D67" w:rsidR="7194E6AE">
        <w:rPr>
          <w:rFonts w:ascii="Aptos" w:hAnsi="Aptos" w:eastAsia="Aptos" w:cs="Aptos"/>
          <w:noProof w:val="0"/>
          <w:sz w:val="24"/>
          <w:szCs w:val="24"/>
          <w:lang w:val="en-GB"/>
        </w:rPr>
        <w:t xml:space="preserve">From a sociological perspective, power must be understood as diffuse, relational, and productive rather than solely coercive. Michel Foucault’s work on sexuality is particularly influential in this regard. In </w:t>
      </w:r>
      <w:r w:rsidRPr="6D759D67" w:rsidR="7194E6AE">
        <w:rPr>
          <w:rFonts w:ascii="Aptos" w:hAnsi="Aptos" w:eastAsia="Aptos" w:cs="Aptos"/>
          <w:i w:val="1"/>
          <w:iCs w:val="1"/>
          <w:noProof w:val="0"/>
          <w:sz w:val="24"/>
          <w:szCs w:val="24"/>
          <w:lang w:val="en-GB"/>
        </w:rPr>
        <w:t>The History of Sexuality</w:t>
      </w:r>
      <w:r w:rsidRPr="6D759D67" w:rsidR="7194E6AE">
        <w:rPr>
          <w:rFonts w:ascii="Aptos" w:hAnsi="Aptos" w:eastAsia="Aptos" w:cs="Aptos"/>
          <w:noProof w:val="0"/>
          <w:sz w:val="24"/>
          <w:szCs w:val="24"/>
          <w:lang w:val="en-GB"/>
        </w:rPr>
        <w:t>, Foucault (1978) argues that modern societies have not repressed sexuality but have instead produced an abundance of discourse about it, enabling classification, surveillance, and control. Sexuality becomes a site of governance through which populations are managed, norms are established, and deviance is identified. Within this framework, heterosexuality and binary gender identities are normalised through medical, legal, religious, and educational discourses, while LGBTQ+ identities are constructed as abnormal, risky, or pathological. This form of discursive power contributes to inequality by shaping both institutional responses and individual self-understanding, encouraging conformity and self-regulation without the need for constant external enforcement. Let us now explore how these discursive processes are embedded within broader systems of domination.</w:t>
      </w:r>
    </w:p>
    <w:p w:rsidR="7194E6AE" w:rsidP="6D759D67" w:rsidRDefault="7194E6AE" w14:paraId="76969BA5" w14:textId="50AA8D0D">
      <w:pPr>
        <w:pStyle w:val="Normal"/>
      </w:pPr>
      <w:r w:rsidRPr="6D759D67" w:rsidR="7194E6AE">
        <w:rPr>
          <w:rFonts w:ascii="Aptos" w:hAnsi="Aptos" w:eastAsia="Aptos" w:cs="Aptos"/>
          <w:noProof w:val="0"/>
          <w:sz w:val="24"/>
          <w:szCs w:val="24"/>
          <w:lang w:val="en-GB"/>
        </w:rPr>
        <w:t xml:space="preserve">Heteropatriarchy provides a macro-structural lens through which the organisation of gender and sexuality can be understood. As a system privileging heterosexual, cisgender men and traditional family structures, heteropatriarchy embeds inequality within social institutions such as law, religion, education, and the labour market (Hearn, 2012). This system is not static but is reproduced through everyday practices and cultural norms that position heterosexuality as natural and desirable. Drawing on Bourdieu’s (2001) concept of symbolic violence, heteronormativity can be understood as a form of power that is misrecognised as common sense, </w:t>
      </w:r>
      <w:r w:rsidRPr="6D759D67" w:rsidR="7194E6AE">
        <w:rPr>
          <w:rFonts w:ascii="Aptos" w:hAnsi="Aptos" w:eastAsia="Aptos" w:cs="Aptos"/>
          <w:noProof w:val="0"/>
          <w:sz w:val="24"/>
          <w:szCs w:val="24"/>
          <w:lang w:val="en-GB"/>
        </w:rPr>
        <w:t>rendering</w:t>
      </w:r>
      <w:r w:rsidRPr="6D759D67" w:rsidR="7194E6AE">
        <w:rPr>
          <w:rFonts w:ascii="Aptos" w:hAnsi="Aptos" w:eastAsia="Aptos" w:cs="Aptos"/>
          <w:noProof w:val="0"/>
          <w:sz w:val="24"/>
          <w:szCs w:val="24"/>
          <w:lang w:val="en-GB"/>
        </w:rPr>
        <w:t xml:space="preserve"> alternative identities illegitimate or invisible. Symbolic violence ensures compliance by shaping aspirations, expectations, and </w:t>
      </w:r>
      <w:r w:rsidRPr="6D759D67" w:rsidR="7194E6AE">
        <w:rPr>
          <w:rFonts w:ascii="Aptos" w:hAnsi="Aptos" w:eastAsia="Aptos" w:cs="Aptos"/>
          <w:noProof w:val="0"/>
          <w:sz w:val="24"/>
          <w:szCs w:val="24"/>
          <w:lang w:val="en-GB"/>
        </w:rPr>
        <w:t>perceptions</w:t>
      </w:r>
      <w:r w:rsidRPr="6D759D67" w:rsidR="7194E6AE">
        <w:rPr>
          <w:rFonts w:ascii="Aptos" w:hAnsi="Aptos" w:eastAsia="Aptos" w:cs="Aptos"/>
          <w:noProof w:val="0"/>
          <w:sz w:val="24"/>
          <w:szCs w:val="24"/>
          <w:lang w:val="en-GB"/>
        </w:rPr>
        <w:t xml:space="preserve"> of legitimacy, making resistance appear disruptive rather than emancipatory. Let us now explore how these structural forms of power intersect with other axes of inequality.</w:t>
      </w:r>
    </w:p>
    <w:p w:rsidR="6D759D67" w:rsidP="6D759D67" w:rsidRDefault="6D759D67" w14:paraId="6FD5FA07" w14:textId="0D130892">
      <w:pPr>
        <w:pStyle w:val="Normal"/>
        <w:rPr>
          <w:rFonts w:ascii="Aptos" w:hAnsi="Aptos" w:eastAsia="Aptos" w:cs="Aptos"/>
          <w:noProof w:val="0"/>
          <w:sz w:val="24"/>
          <w:szCs w:val="24"/>
          <w:lang w:val="en-GB"/>
        </w:rPr>
      </w:pPr>
    </w:p>
    <w:p w:rsidR="7194E6AE" w:rsidP="6D759D67" w:rsidRDefault="7194E6AE" w14:paraId="1D909002" w14:textId="5F09744F">
      <w:pPr>
        <w:spacing w:before="240" w:beforeAutospacing="off" w:after="240" w:afterAutospacing="off"/>
      </w:pPr>
      <w:r w:rsidRPr="6D759D67" w:rsidR="7194E6AE">
        <w:rPr>
          <w:rFonts w:ascii="Aptos" w:hAnsi="Aptos" w:eastAsia="Aptos" w:cs="Aptos"/>
          <w:noProof w:val="0"/>
          <w:sz w:val="24"/>
          <w:szCs w:val="24"/>
          <w:lang w:val="en-GB"/>
        </w:rPr>
        <w:t>Intersectionality is crucial for understanding the differentiated experiences of LGBTQ+ inequality across global contexts. Collins’s (2000) concept of the matrix of domination highlights how systems such as heterosexism, racism, class inequality, ableism, and patriarchy are mutually reinforcing. For LGBTQ+ individuals who are also racialised, economically marginalised, disabled, or located in post-colonial contexts, power operates through overlapping and intensified forms of control. Crenshaw’s (1991) work further demonstrates how single-axis frameworks obscure the experiences of those at the intersections of multiple oppressions. In global terms, this is particularly significant, as LGBTQ+ identities are shaped by local histories, religious traditions, colonial legacies, and geopolitical power relations. Let us now explore how colonialism and global power structures have shaped contemporary LGBTQ+ inequality.</w:t>
      </w:r>
    </w:p>
    <w:p w:rsidR="7194E6AE" w:rsidP="6D759D67" w:rsidRDefault="7194E6AE" w14:paraId="10892969" w14:textId="000C5BC3">
      <w:pPr>
        <w:spacing w:before="240" w:beforeAutospacing="off" w:after="240" w:afterAutospacing="off"/>
      </w:pPr>
      <w:r w:rsidRPr="6D759D67" w:rsidR="7194E6AE">
        <w:rPr>
          <w:rFonts w:ascii="Aptos" w:hAnsi="Aptos" w:eastAsia="Aptos" w:cs="Aptos"/>
          <w:noProof w:val="0"/>
          <w:sz w:val="24"/>
          <w:szCs w:val="24"/>
          <w:lang w:val="en-GB"/>
        </w:rPr>
        <w:t>Postcolonial and decolonial scholars argue that many contemporary forms of LGBTQ+ oppression are rooted in colonial legal and moral frameworks. Rao (2015) demonstrates that anti-sodomy laws in many parts of Africa, Asia, and the Caribbean were introduced through British colonial rule, challenging claims that homosexuality is incompatible with “traditional” cultures. These laws persist as technologies of control, reinforced by nationalist and religious discourses that frame LGBTQ+ identities as foreign or morally corrupt. This illustrates how global power relations continue to shape local inequalities, with colonial legacies intersecting with contemporary political agendas. Let us now explore how these theoretical insights become institutionalised through state power and public policy.</w:t>
      </w:r>
    </w:p>
    <w:p w:rsidR="7194E6AE" w:rsidP="6D759D67" w:rsidRDefault="7194E6AE" w14:paraId="03E9CF52" w14:textId="163C0DBA">
      <w:pPr>
        <w:spacing w:before="240" w:beforeAutospacing="off" w:after="240" w:afterAutospacing="off"/>
      </w:pPr>
      <w:r w:rsidRPr="6D759D67" w:rsidR="7194E6AE">
        <w:rPr>
          <w:rFonts w:ascii="Aptos" w:hAnsi="Aptos" w:eastAsia="Aptos" w:cs="Aptos"/>
          <w:noProof w:val="0"/>
          <w:sz w:val="24"/>
          <w:szCs w:val="24"/>
          <w:lang w:val="en-GB"/>
        </w:rPr>
        <w:t>The state is a central actor in the regulation of sexuality and gender, translating abstract power relations into concrete mechanisms of control through law and policy. Legal frameworks governing sexual orientation and gender identity define the boundaries of legitimate citizenship, shaping access to rights, resources, and protection. As of 2024, same-sex relationships remain criminalised in over 60 countries, with penalties ranging from imprisonment to death (ILGA World, 2024). From a Foucauldian perspective, such laws function not only as punitive measures but as productive technologies that generate fear, silence, and self-surveillance among LGBTQ+ populations. Even where enforcement is limited, the symbolic power of criminalisation legitimises discrimination and violence, embedding inequality within social life. Let us now explore how contemporary policy examples illustrate these dynamics in practice.</w:t>
      </w:r>
    </w:p>
    <w:p w:rsidR="7194E6AE" w:rsidP="6D759D67" w:rsidRDefault="7194E6AE" w14:paraId="026524B9" w14:textId="5B9C9326">
      <w:pPr>
        <w:spacing w:before="240" w:beforeAutospacing="off" w:after="240" w:afterAutospacing="off"/>
      </w:pPr>
      <w:r w:rsidRPr="6D759D67" w:rsidR="7194E6AE">
        <w:rPr>
          <w:rFonts w:ascii="Aptos" w:hAnsi="Aptos" w:eastAsia="Aptos" w:cs="Aptos"/>
          <w:noProof w:val="0"/>
          <w:sz w:val="24"/>
          <w:szCs w:val="24"/>
          <w:lang w:val="en-GB"/>
        </w:rPr>
        <w:t>Uganda’s Anti-Homosexuality Act exemplifies how state power actively reproduces LGBTQ+ inequality. The legislation criminalises same-sex relationships, advocacy, and the “promotion” of LGBTQ+ identities, enabling widespread surveillance, arbitrary detention, and violence (Human Rights Watch, 2024). These policies operate hegemonically, in Gramsci’s (1971) sense, by mobilising religious authority and nationalist rhetoric to secure public consent for repression. Such laws also restrict civil society, undermining the capacity of LGBTQ+ organisations to provide support and advocate for rights. Let us now explore how similar dynamics operate beyond explicitly criminalising states.</w:t>
      </w:r>
    </w:p>
    <w:p w:rsidR="7194E6AE" w:rsidP="6D759D67" w:rsidRDefault="7194E6AE" w14:paraId="0010E779" w14:textId="4ECC5621">
      <w:pPr>
        <w:pStyle w:val="Normal"/>
      </w:pPr>
      <w:r w:rsidRPr="6D759D67" w:rsidR="7194E6AE">
        <w:rPr>
          <w:rFonts w:ascii="Aptos" w:hAnsi="Aptos" w:eastAsia="Aptos" w:cs="Aptos"/>
          <w:noProof w:val="0"/>
          <w:sz w:val="24"/>
          <w:szCs w:val="24"/>
          <w:lang w:val="en-GB"/>
        </w:rPr>
        <w:t xml:space="preserve">Even in liberal democracies where LGBTQ+ rights are formally recognised, power and control continue to </w:t>
      </w:r>
      <w:r w:rsidRPr="6D759D67" w:rsidR="7194E6AE">
        <w:rPr>
          <w:rFonts w:ascii="Aptos" w:hAnsi="Aptos" w:eastAsia="Aptos" w:cs="Aptos"/>
          <w:noProof w:val="0"/>
          <w:sz w:val="24"/>
          <w:szCs w:val="24"/>
          <w:lang w:val="en-GB"/>
        </w:rPr>
        <w:t>operate</w:t>
      </w:r>
      <w:r w:rsidRPr="6D759D67" w:rsidR="7194E6AE">
        <w:rPr>
          <w:rFonts w:ascii="Aptos" w:hAnsi="Aptos" w:eastAsia="Aptos" w:cs="Aptos"/>
          <w:noProof w:val="0"/>
          <w:sz w:val="24"/>
          <w:szCs w:val="24"/>
          <w:lang w:val="en-GB"/>
        </w:rPr>
        <w:t xml:space="preserve"> through policy gaps and institutional practices. While many Western states have introduced anti-discrimination legislation and marriage equality, these reforms often coexist with trans-exclusionary policies, restrictive asylum systems, and inadequate healthcare provision. For example, debates around access to gender-affirming healthcare illustrate how medical authority is used to regulate trans bodies through diagnostic criteria, waiting lists, and gatekeeping practices (Pearce, 2018). This </w:t>
      </w:r>
      <w:r w:rsidRPr="6D759D67" w:rsidR="7194E6AE">
        <w:rPr>
          <w:rFonts w:ascii="Aptos" w:hAnsi="Aptos" w:eastAsia="Aptos" w:cs="Aptos"/>
          <w:noProof w:val="0"/>
          <w:sz w:val="24"/>
          <w:szCs w:val="24"/>
          <w:lang w:val="en-GB"/>
        </w:rPr>
        <w:t>demonstrates</w:t>
      </w:r>
      <w:r w:rsidRPr="6D759D67" w:rsidR="7194E6AE">
        <w:rPr>
          <w:rFonts w:ascii="Aptos" w:hAnsi="Aptos" w:eastAsia="Aptos" w:cs="Aptos"/>
          <w:noProof w:val="0"/>
          <w:sz w:val="24"/>
          <w:szCs w:val="24"/>
          <w:lang w:val="en-GB"/>
        </w:rPr>
        <w:t xml:space="preserve"> that inclusion is often conditional and uneven, reinforcing hierarchies within LGBTQ+ communities themselves. Let us now explore how cultural power reinforces these policy frameworks.</w:t>
      </w:r>
    </w:p>
    <w:p w:rsidR="6D759D67" w:rsidP="6D759D67" w:rsidRDefault="6D759D67" w14:paraId="296B817F" w14:textId="7A983C23">
      <w:pPr>
        <w:pStyle w:val="Normal"/>
        <w:rPr>
          <w:rFonts w:ascii="Aptos" w:hAnsi="Aptos" w:eastAsia="Aptos" w:cs="Aptos"/>
          <w:noProof w:val="0"/>
          <w:sz w:val="24"/>
          <w:szCs w:val="24"/>
          <w:lang w:val="en-GB"/>
        </w:rPr>
      </w:pPr>
    </w:p>
    <w:p w:rsidR="247FFEAB" w:rsidP="6D759D67" w:rsidRDefault="247FFEAB" w14:paraId="3968FF98" w14:textId="022E711D">
      <w:pPr>
        <w:spacing w:before="240" w:beforeAutospacing="off" w:after="240" w:afterAutospacing="off"/>
      </w:pPr>
      <w:r w:rsidRPr="6D759D67" w:rsidR="247FFEAB">
        <w:rPr>
          <w:rFonts w:ascii="Aptos" w:hAnsi="Aptos" w:eastAsia="Aptos" w:cs="Aptos"/>
          <w:noProof w:val="0"/>
          <w:sz w:val="24"/>
          <w:szCs w:val="24"/>
          <w:lang w:val="en-GB"/>
        </w:rPr>
        <w:t>Neoliberal forms of power play a significant role in shaping contemporary patterns of LGBTQ+ inclusion and exclusion across global contexts. Although legal recognition and visibility have expanded in some regions, such progress often reflects a narrow and conditional form of inclusion aligned with neoliberal governance. Neoliberalism prioritises market participation, individual responsibility, and economic productivity, thereby shaping which LGBTQ+ lives are deemed legitimate and worthy of protection. Duggan’s (2003) concept of homonormativity captures this dynamic by demonstrating how LGBTQ+ inclusion is frequently contingent upon conformity to depoliticised, domesticated, and consumer-oriented norms. As a result, inequality is not dismantled but reconfigured through selective incorporation.</w:t>
      </w:r>
    </w:p>
    <w:p w:rsidR="247FFEAB" w:rsidP="6D759D67" w:rsidRDefault="247FFEAB" w14:paraId="230AC850" w14:textId="44BEE2CE">
      <w:pPr>
        <w:spacing w:before="240" w:beforeAutospacing="off" w:after="240" w:afterAutospacing="off"/>
      </w:pPr>
      <w:r w:rsidRPr="6D759D67" w:rsidR="247FFEAB">
        <w:rPr>
          <w:rFonts w:ascii="Aptos" w:hAnsi="Aptos" w:eastAsia="Aptos" w:cs="Aptos"/>
          <w:noProof w:val="0"/>
          <w:sz w:val="24"/>
          <w:szCs w:val="24"/>
          <w:lang w:val="en-GB"/>
        </w:rPr>
        <w:t>This conditional inclusion reproduces inequalities within LGBTQ+ communities. Policies such as same-sex marriage and corporate diversity initiatives disproportionately benefit white, cisgender, middle-class LGBTQ+ individuals, while trans people, migrants, racialised minorities, sex workers, and those living in poverty remain structurally marginalised. Puar’s (2007) concept of homonationalism further illustrates how LGBTQ+ rights can be mobilised to support nationalist projects. In this framework, certain LGBTQ+ subjects are positioned as symbols of modernity and progress, while racialised and non-Western queer bodies are constructed as threats. Power therefore operates through selective recognition rather than universal emancipation, reinforcing both national and global hierarchies.</w:t>
      </w:r>
    </w:p>
    <w:p w:rsidR="247FFEAB" w:rsidP="6D759D67" w:rsidRDefault="247FFEAB" w14:paraId="0104ECE8" w14:textId="19C19A12">
      <w:pPr>
        <w:pStyle w:val="Normal"/>
      </w:pPr>
      <w:r w:rsidRPr="6D759D67" w:rsidR="247FFEAB">
        <w:rPr>
          <w:rFonts w:ascii="Aptos" w:hAnsi="Aptos" w:eastAsia="Aptos" w:cs="Aptos"/>
          <w:noProof w:val="0"/>
          <w:sz w:val="24"/>
          <w:szCs w:val="24"/>
          <w:lang w:val="en-GB"/>
        </w:rPr>
        <w:t>These dynamics extend into the realm of global governance and international development, where LGBTQ+ rights have increasingly been incorporated into human rights and policy agendas. While this inclusion has facilitated greater visibility and access to resources, it has also introduced new forms of control. International institutions and donor states often promote liberal, individualised models of sexual and gender identity that reflect Western epistemologies and political priorities. Thoreson (2014) argues that such frameworks risk marginalising local forms of organising and resistance, particularly in post-colonial contexts where sexual and gender diversity may be understood through alternative cultural logics</w:t>
      </w:r>
    </w:p>
    <w:p w:rsidR="7194E6AE" w:rsidP="6D759D67" w:rsidRDefault="7194E6AE" w14:paraId="0AA18564" w14:textId="55422E47">
      <w:pPr>
        <w:spacing w:before="240" w:beforeAutospacing="off" w:after="240" w:afterAutospacing="off"/>
      </w:pPr>
      <w:r w:rsidRPr="6D759D67" w:rsidR="7194E6AE">
        <w:rPr>
          <w:rFonts w:ascii="Aptos" w:hAnsi="Aptos" w:eastAsia="Aptos" w:cs="Aptos"/>
          <w:noProof w:val="0"/>
          <w:sz w:val="24"/>
          <w:szCs w:val="24"/>
          <w:lang w:val="en-GB"/>
        </w:rPr>
        <w:t>Cultural governance plays a crucial role in shaping both policy and practice through ideology and discourse. The global anti-gender movement illustrates how transnational networks mobilise narratives of tradition, religion, and family values to resist LGBTQ+ inclusion (Kuhar and Paternotte, 2017). These movements exert influence over education policy, healthcare provision, and international development funding, embedding exclusion within governance structures. From a governmentality perspective, such discourses regulate populations by shaping norms and expectations rather than relying solely on coercion (Foucault, 1991). Cultural power thus operates alongside legal power to normalise inequality. Let us now explore how these policies translate into everyday institutional practices.</w:t>
      </w:r>
    </w:p>
    <w:p w:rsidR="7194E6AE" w:rsidP="6D759D67" w:rsidRDefault="7194E6AE" w14:paraId="522A22CC" w14:textId="5DFFBC5F">
      <w:pPr>
        <w:spacing w:before="240" w:beforeAutospacing="off" w:after="240" w:afterAutospacing="off"/>
      </w:pPr>
      <w:r w:rsidRPr="6D759D67" w:rsidR="7194E6AE">
        <w:rPr>
          <w:rFonts w:ascii="Aptos" w:hAnsi="Aptos" w:eastAsia="Aptos" w:cs="Aptos"/>
          <w:noProof w:val="0"/>
          <w:sz w:val="24"/>
          <w:szCs w:val="24"/>
          <w:lang w:val="en-GB"/>
        </w:rPr>
        <w:t>In practice, LGBTQ+ inequality is reproduced within key institutions such as healthcare, education, employment, and law enforcement. The World Health Organization (2022) identifies stigma, criminalisation, and institutional discrimination as major social determinants of health for LGBTQ+ populations, contributing to disproportionate rates of mental distress, substance misuse, suicide, and HIV vulnerability. In healthcare settings, LGBTQ+ individuals often face misrecognition, refusal of care, or lack of culturally competent services, reinforcing exclusion and mistrust. Let us now explore how educational institutions contribute to the reproduction of inequality.</w:t>
      </w:r>
    </w:p>
    <w:p w:rsidR="7194E6AE" w:rsidP="6D759D67" w:rsidRDefault="7194E6AE" w14:paraId="2ED5E7F7" w14:textId="607FA560">
      <w:pPr>
        <w:spacing w:before="240" w:beforeAutospacing="off" w:after="240" w:afterAutospacing="off"/>
      </w:pPr>
      <w:r w:rsidRPr="6D759D67" w:rsidR="7194E6AE">
        <w:rPr>
          <w:rFonts w:ascii="Aptos" w:hAnsi="Aptos" w:eastAsia="Aptos" w:cs="Aptos"/>
          <w:noProof w:val="0"/>
          <w:sz w:val="24"/>
          <w:szCs w:val="24"/>
          <w:lang w:val="en-GB"/>
        </w:rPr>
        <w:t>Educational systems are significant sites of both socialisation and control. UNESCO (2016) reports that LGBTQ+ students worldwide experience higher levels of bullying, harassment, and exclusion, leading to poorer educational outcomes and reduced life chances. The absence of inclusive curricula further reinforces heteronormative norms, rendering LGBTQ+ identities invisible or marginal. From a Bourdieusian perspective, education functions as a mechanism of social reproduction, transmitting dominant values and legitimising inequality through cultural capital (Bourdieu and Passeron, 1977). Let us now explore how policing and criminal justice practices further entrench control.</w:t>
      </w:r>
    </w:p>
    <w:p w:rsidR="7194E6AE" w:rsidP="6D759D67" w:rsidRDefault="7194E6AE" w14:paraId="7427239C" w14:textId="2F7618E9">
      <w:pPr>
        <w:spacing w:before="240" w:beforeAutospacing="off" w:after="240" w:afterAutospacing="off"/>
      </w:pPr>
      <w:r w:rsidRPr="6D759D67" w:rsidR="7194E6AE">
        <w:rPr>
          <w:rFonts w:ascii="Aptos" w:hAnsi="Aptos" w:eastAsia="Aptos" w:cs="Aptos"/>
          <w:noProof w:val="0"/>
          <w:sz w:val="24"/>
          <w:szCs w:val="24"/>
          <w:lang w:val="en-GB"/>
        </w:rPr>
        <w:t>Policing practices often reproduce inequality by criminalising LGBTQ+ identities rather than protecting them. In many contexts, LGBTQ+ individuals are disproportionately targeted for surveillance, harassment, and arrest, particularly trans people and sex workers (Amnesty International, 2020). Even in jurisdictions with protective laws, mistrust of law enforcement remains high due to histories of abuse and neglect. This undermines access to justice and reinforces social exclusion. Let us now explore how violence functions as an extreme manifestation of power and control.</w:t>
      </w:r>
    </w:p>
    <w:p w:rsidR="7194E6AE" w:rsidP="6D759D67" w:rsidRDefault="7194E6AE" w14:paraId="3EF7B4A0" w14:textId="55188C3A">
      <w:pPr>
        <w:spacing w:before="240" w:beforeAutospacing="off" w:after="240" w:afterAutospacing="off"/>
      </w:pPr>
      <w:r w:rsidRPr="6D759D67" w:rsidR="7194E6AE">
        <w:rPr>
          <w:rFonts w:ascii="Aptos" w:hAnsi="Aptos" w:eastAsia="Aptos" w:cs="Aptos"/>
          <w:noProof w:val="0"/>
          <w:sz w:val="24"/>
          <w:szCs w:val="24"/>
          <w:lang w:val="en-GB"/>
        </w:rPr>
        <w:t xml:space="preserve">Violence against LGBTQ+ people </w:t>
      </w:r>
      <w:r w:rsidRPr="6D759D67" w:rsidR="7194E6AE">
        <w:rPr>
          <w:rFonts w:ascii="Aptos" w:hAnsi="Aptos" w:eastAsia="Aptos" w:cs="Aptos"/>
          <w:noProof w:val="0"/>
          <w:sz w:val="24"/>
          <w:szCs w:val="24"/>
          <w:lang w:val="en-GB"/>
        </w:rPr>
        <w:t>represents</w:t>
      </w:r>
      <w:r w:rsidRPr="6D759D67" w:rsidR="7194E6AE">
        <w:rPr>
          <w:rFonts w:ascii="Aptos" w:hAnsi="Aptos" w:eastAsia="Aptos" w:cs="Aptos"/>
          <w:noProof w:val="0"/>
          <w:sz w:val="24"/>
          <w:szCs w:val="24"/>
          <w:lang w:val="en-GB"/>
        </w:rPr>
        <w:t xml:space="preserve"> one of the most direct and brutal forms of social control. Hate crimes, honour-based violence, and so-called “corrective rape” </w:t>
      </w:r>
      <w:r w:rsidRPr="6D759D67" w:rsidR="7194E6AE">
        <w:rPr>
          <w:rFonts w:ascii="Aptos" w:hAnsi="Aptos" w:eastAsia="Aptos" w:cs="Aptos"/>
          <w:noProof w:val="0"/>
          <w:sz w:val="24"/>
          <w:szCs w:val="24"/>
          <w:lang w:val="en-GB"/>
        </w:rPr>
        <w:t>operate</w:t>
      </w:r>
      <w:r w:rsidRPr="6D759D67" w:rsidR="7194E6AE">
        <w:rPr>
          <w:rFonts w:ascii="Aptos" w:hAnsi="Aptos" w:eastAsia="Aptos" w:cs="Aptos"/>
          <w:noProof w:val="0"/>
          <w:sz w:val="24"/>
          <w:szCs w:val="24"/>
          <w:lang w:val="en-GB"/>
        </w:rPr>
        <w:t xml:space="preserve"> as disciplinary practices aimed at enforcing gender and sexual conformity (Brown, 2012). Such violence functions symbolically, communicating the boundaries of acceptable identity and behaviour to wider society. The persistence of impunity for perpetrators further reinforces inequality, signalling the unequal value placed on LGBTQ+ lives. Let us now explore how resistance and agency challenge these entrenched systems of power.</w:t>
      </w:r>
    </w:p>
    <w:p w:rsidR="6D759D67" w:rsidP="6D759D67" w:rsidRDefault="6D759D67" w14:paraId="1D51ECDE" w14:textId="0FFAC9DC">
      <w:pPr>
        <w:spacing w:before="240" w:beforeAutospacing="off" w:after="240" w:afterAutospacing="off"/>
        <w:rPr>
          <w:rFonts w:ascii="Aptos" w:hAnsi="Aptos" w:eastAsia="Aptos" w:cs="Aptos"/>
          <w:noProof w:val="0"/>
          <w:sz w:val="24"/>
          <w:szCs w:val="24"/>
          <w:lang w:val="en-GB"/>
        </w:rPr>
      </w:pPr>
    </w:p>
    <w:p w:rsidR="3AB4FD30" w:rsidP="6D759D67" w:rsidRDefault="3AB4FD30" w14:paraId="5DD58E13" w14:textId="7F98149E">
      <w:pPr>
        <w:spacing w:before="240" w:beforeAutospacing="off" w:after="240" w:afterAutospacing="off"/>
      </w:pPr>
      <w:r w:rsidRPr="6D759D67" w:rsidR="3AB4FD30">
        <w:rPr>
          <w:rFonts w:ascii="Aptos" w:hAnsi="Aptos" w:eastAsia="Aptos" w:cs="Aptos"/>
          <w:noProof w:val="0"/>
          <w:sz w:val="24"/>
          <w:szCs w:val="24"/>
          <w:lang w:val="en-GB"/>
        </w:rPr>
        <w:t>The imbalance of power embedded in global governance can generate political backlash, as LGBTQ+ rights are framed by state and religious actors as external impositions linked to neo-colonialism. Weiss and Bosia (2013) demonstrate that this framing can intensify repression, as governments mobilise nationalist sentiment to legitimise anti-LGBTQ+ legislation. Consequently, global advocacy initiatives may inadvertently reproduce inequality by failing to address structural poverty, historical colonial violence, and local political economies.</w:t>
      </w:r>
    </w:p>
    <w:p w:rsidR="3AB4FD30" w:rsidP="6D759D67" w:rsidRDefault="3AB4FD30" w14:paraId="442896EA" w14:textId="48A79D18">
      <w:pPr>
        <w:spacing w:before="240" w:beforeAutospacing="off" w:after="240" w:afterAutospacing="off"/>
      </w:pPr>
      <w:r w:rsidRPr="6D759D67" w:rsidR="3AB4FD30">
        <w:rPr>
          <w:rFonts w:ascii="Aptos" w:hAnsi="Aptos" w:eastAsia="Aptos" w:cs="Aptos"/>
          <w:noProof w:val="0"/>
          <w:sz w:val="24"/>
          <w:szCs w:val="24"/>
          <w:lang w:val="en-GB"/>
        </w:rPr>
        <w:t>Economic power constitutes a central mechanism through which LGBTQ+ inequality is reproduced. Labour markets function as key sites of regulation, enforcing heteronormative and cisnormative assumptions that shape access to employment, income security, and social protection. Empirical evidence indicates that LGBTQ+ individuals, particularly trans people, experience disproportionately high levels of unemployment, underemployment, and workplace discrimination (OECD, 2020). In contexts where LGBTQ+ identities are criminalised or heavily stigmatised, economic exclusion operates as a form of social control, constraining autonomy and limiting opportunities for resistance.</w:t>
      </w:r>
    </w:p>
    <w:p w:rsidR="3AB4FD30" w:rsidP="6D759D67" w:rsidRDefault="3AB4FD30" w14:paraId="26882245" w14:textId="2A0409CE">
      <w:pPr>
        <w:spacing w:before="240" w:beforeAutospacing="off" w:after="240" w:afterAutospacing="off"/>
      </w:pPr>
      <w:r w:rsidRPr="6D759D67" w:rsidR="3AB4FD30">
        <w:rPr>
          <w:rFonts w:ascii="Aptos" w:hAnsi="Aptos" w:eastAsia="Aptos" w:cs="Aptos"/>
          <w:noProof w:val="0"/>
          <w:sz w:val="24"/>
          <w:szCs w:val="24"/>
          <w:lang w:val="en-GB"/>
        </w:rPr>
        <w:t>Badgett et al. (2019) demonstrate that economic marginalisation produces long-term consequences for housing stability, physical health, and political participation. From a critical political economy perspective, these inequalities reflect the intersection of capitalism and heteropatriarchy, where bodies that deviate from normative gender and sexual roles are disciplined and devalued. LGBTQ+ inequality is therefore materially embedded within economic structures rather than being solely a matter of cultural prejudice.</w:t>
      </w:r>
    </w:p>
    <w:p w:rsidR="3AB4FD30" w:rsidP="6D759D67" w:rsidRDefault="3AB4FD30" w14:paraId="5EA6C0DE" w14:textId="7C698E00">
      <w:pPr>
        <w:spacing w:before="240" w:beforeAutospacing="off" w:after="240" w:afterAutospacing="off"/>
      </w:pPr>
      <w:r w:rsidRPr="6D759D67" w:rsidR="3AB4FD30">
        <w:rPr>
          <w:rFonts w:ascii="Aptos" w:hAnsi="Aptos" w:eastAsia="Aptos" w:cs="Aptos"/>
          <w:noProof w:val="0"/>
          <w:sz w:val="24"/>
          <w:szCs w:val="24"/>
          <w:lang w:val="en-GB"/>
        </w:rPr>
        <w:t>Technological developments have further transformed the exercise of power through new forms of digital governance and surveillance. Digital platforms have enabled increased visibility, networking, and activism for LGBTQ+ communities, particularly in restrictive environments. However, these platforms have also facilitated heightened surveillance and control. In countries where same-sex relationships or gender nonconformity are criminalised, digital traces such as social media activity and dating applications have been used by state authorities to identify, entrap, and prosecute LGBTQ+ individuals (UN OHCHR, 2023). Power thus extends into intimate and virtual spaces, blurring the boundary between public and private life.</w:t>
      </w:r>
    </w:p>
    <w:p w:rsidR="3AB4FD30" w:rsidP="6D759D67" w:rsidRDefault="3AB4FD30" w14:paraId="4D4382F7" w14:textId="641287C5">
      <w:pPr>
        <w:spacing w:before="240" w:beforeAutospacing="off" w:after="240" w:afterAutospacing="off"/>
      </w:pPr>
      <w:r w:rsidRPr="6D759D67" w:rsidR="3AB4FD30">
        <w:rPr>
          <w:rFonts w:ascii="Aptos" w:hAnsi="Aptos" w:eastAsia="Aptos" w:cs="Aptos"/>
          <w:noProof w:val="0"/>
          <w:sz w:val="24"/>
          <w:szCs w:val="24"/>
          <w:lang w:val="en-GB"/>
        </w:rPr>
        <w:t>In addition, algorithmic systems and content moderation practices frequently reproduce existing social hierarchies. Noble’s (2018) analysis of algorithmic oppression demonstrates how digital technologies encode racialised, gendered, and sexual biases, disproportionately marginalising trans people and LGBTQ+ users from the Global South. Digital power therefore reflects broader structural inequalities rather than offering a neutral or emancipatory alternative.</w:t>
      </w:r>
    </w:p>
    <w:p w:rsidR="3AB4FD30" w:rsidP="6D759D67" w:rsidRDefault="3AB4FD30" w14:paraId="45EA133B" w14:textId="4F333F91">
      <w:pPr>
        <w:spacing w:before="240" w:beforeAutospacing="off" w:after="240" w:afterAutospacing="off"/>
      </w:pPr>
      <w:r w:rsidRPr="6D759D67" w:rsidR="3AB4FD30">
        <w:rPr>
          <w:rFonts w:ascii="Aptos" w:hAnsi="Aptos" w:eastAsia="Aptos" w:cs="Aptos"/>
          <w:noProof w:val="0"/>
          <w:sz w:val="24"/>
          <w:szCs w:val="24"/>
          <w:lang w:val="en-GB"/>
        </w:rPr>
        <w:t>The psychosocial dimensions of power are equally central to the reproduction of LGBTQ+ inequality. Beyond legal and economic exclusion, LGBTQ+ individuals are exposed to persistent forms of stigma that shape mental health and self-concept. Minority stress theory explains how chronic exposure to discrimination, violence, and social rejection produces cumulative psychological harm (Meyer, 2003). This form of power operates internally, as individuals internalise dominant norms that position their identities as deviant or inferior.</w:t>
      </w:r>
    </w:p>
    <w:p w:rsidR="3AB4FD30" w:rsidP="6D759D67" w:rsidRDefault="3AB4FD30" w14:paraId="110E2CB2" w14:textId="24F985DC">
      <w:pPr>
        <w:spacing w:before="240" w:beforeAutospacing="off" w:after="240" w:afterAutospacing="off"/>
      </w:pPr>
      <w:r w:rsidRPr="6D759D67" w:rsidR="3AB4FD30">
        <w:rPr>
          <w:rFonts w:ascii="Aptos" w:hAnsi="Aptos" w:eastAsia="Aptos" w:cs="Aptos"/>
          <w:noProof w:val="0"/>
          <w:sz w:val="24"/>
          <w:szCs w:val="24"/>
          <w:lang w:val="en-GB"/>
        </w:rPr>
        <w:t>Hatzenbuehler (2016) further demonstrates that structural stigma at the level of law and policy produces measurable health inequalities, including elevated rates of depression, anxiety, and suicide among LGBTQ+ populations. These impacts are particularly acute for trans individuals, LGBTQ+ youth, and those living in hostile legal environments. Inequality is therefore reproduced not only through external mechanisms of control but also through internalised processes that constrain agency, wellbeing, and participation.</w:t>
      </w:r>
    </w:p>
    <w:p w:rsidR="3AB4FD30" w:rsidP="6D759D67" w:rsidRDefault="3AB4FD30" w14:paraId="37EA199C" w14:textId="4EED416D">
      <w:pPr>
        <w:spacing w:before="240" w:beforeAutospacing="off" w:after="240" w:afterAutospacing="off"/>
      </w:pPr>
      <w:r w:rsidRPr="6D759D67" w:rsidR="3AB4FD30">
        <w:rPr>
          <w:rFonts w:ascii="Aptos" w:hAnsi="Aptos" w:eastAsia="Aptos" w:cs="Aptos"/>
          <w:noProof w:val="0"/>
          <w:sz w:val="24"/>
          <w:szCs w:val="24"/>
          <w:lang w:val="en-GB"/>
        </w:rPr>
        <w:t>Taken together, these dynamics illustrate that power and control operate across economic, digital, psychosocial, and global governance domains, continually adapting to social, political, and technological change. LGBTQ+ inequality should not be understood as a residual or transitional problem but as a structurally produced outcome of intersecting systems of domination. While legal reform and policy interventions remain necessary, they are insufficient without a critical challenge to the neoliberal, colonial, and heteropatriarchal logics that determine whose lives are rendered legitimate and whose remain precarious. Achieving substantive equality therefore requires transformative approaches that address power at its structural roots rather than extending conditional inclusion within existing frameworks.</w:t>
      </w:r>
    </w:p>
    <w:p w:rsidR="1DAC7898" w:rsidP="6D759D67" w:rsidRDefault="1DAC7898" w14:paraId="4BB610EA" w14:textId="7F055E8C">
      <w:pPr>
        <w:spacing w:before="240" w:beforeAutospacing="off" w:after="240" w:afterAutospacing="off"/>
      </w:pPr>
      <w:r w:rsidRPr="6D759D67" w:rsidR="1DAC7898">
        <w:rPr>
          <w:rFonts w:ascii="Aptos" w:hAnsi="Aptos" w:eastAsia="Aptos" w:cs="Aptos"/>
          <w:noProof w:val="0"/>
          <w:sz w:val="24"/>
          <w:szCs w:val="24"/>
          <w:lang w:val="en-GB"/>
        </w:rPr>
        <w:t>Religious institutions and belief systems constitute another significant domain through which power and control contribute to the reproduction of LGBTQ+ inequality globally. While religion is often framed as a private matter of belief, it frequently operates as a powerful social institution that shapes law, morality, and national identity. In many regions, religious doctrine is mobilised to legitimise heteronormative and cisnormative social orders, framing non-heterosexual identities as immoral, unnatural, or sinful. This moral authority enables both state and non-state actors to justify discriminatory policies and practices, illustrating how ideological power operates through deeply embedded cultural narratives rather than coercion alone (Fulton et al., 2021).</w:t>
      </w:r>
    </w:p>
    <w:p w:rsidR="1DAC7898" w:rsidP="6D759D67" w:rsidRDefault="1DAC7898" w14:paraId="666A179F" w14:textId="17BE8661">
      <w:pPr>
        <w:spacing w:before="240" w:beforeAutospacing="off" w:after="240" w:afterAutospacing="off"/>
      </w:pPr>
      <w:r w:rsidRPr="6D759D67" w:rsidR="1DAC7898">
        <w:rPr>
          <w:rFonts w:ascii="Aptos" w:hAnsi="Aptos" w:eastAsia="Aptos" w:cs="Aptos"/>
          <w:noProof w:val="0"/>
          <w:sz w:val="24"/>
          <w:szCs w:val="24"/>
          <w:lang w:val="en-GB"/>
        </w:rPr>
        <w:t>The influence of religion is particularly evident in contexts where religious leaders exercise significant political authority, such as parts of sub-Saharan Africa, the Middle East, Eastern Europe, and South Asia. In these settings, anti-LGBTQ+ legislation is often framed as a defence of religious values or cultural authenticity, reinforcing Gramscian notions of hegemony in which dominant groups secure consent by presenting their worldview as morally universal (Gramsci, 1971). Even in ostensibly secular states, religious lobbying has shaped education policy, healthcare provision, and family law, limiting access to inclusive sex education, gender-affirming healthcare, and parental recognition for LGBTQ+ families. As such, religion functions as a diffuse but enduring mechanism of social control that sustains inequality across generations.</w:t>
      </w:r>
    </w:p>
    <w:p w:rsidR="1DAC7898" w:rsidP="6D759D67" w:rsidRDefault="1DAC7898" w14:paraId="37FD194E" w14:textId="13B939DA">
      <w:pPr>
        <w:spacing w:before="240" w:beforeAutospacing="off" w:after="240" w:afterAutospacing="off"/>
      </w:pPr>
      <w:r w:rsidRPr="6D759D67" w:rsidR="1DAC7898">
        <w:rPr>
          <w:rFonts w:ascii="Aptos" w:hAnsi="Aptos" w:eastAsia="Aptos" w:cs="Aptos"/>
          <w:noProof w:val="0"/>
          <w:sz w:val="24"/>
          <w:szCs w:val="24"/>
          <w:lang w:val="en-GB"/>
        </w:rPr>
        <w:t>Education systems represent another critical site where power operates to normalise inequality. Schools and universities play a central role in socialising individuals into dominant norms of gender and sexuality, often through silence as much as explicit exclusion. Research indicates that curricula frequently marginalise or erase LGBTQ+ histories and experiences, reinforcing the assumption that heterosexuality and binary gender are universal and natural (UNESCO, 2016). This curricular omission constitutes a form of symbolic violence, shaping what is considered legitimate knowledge and whose lives are worthy of recognition.</w:t>
      </w:r>
    </w:p>
    <w:p w:rsidR="1DAC7898" w:rsidP="6D759D67" w:rsidRDefault="1DAC7898" w14:paraId="253BE53F" w14:textId="49457C86">
      <w:pPr>
        <w:spacing w:before="240" w:beforeAutospacing="off" w:after="240" w:afterAutospacing="off"/>
      </w:pPr>
      <w:r w:rsidRPr="6D759D67" w:rsidR="1DAC7898">
        <w:rPr>
          <w:rFonts w:ascii="Aptos" w:hAnsi="Aptos" w:eastAsia="Aptos" w:cs="Aptos"/>
          <w:noProof w:val="0"/>
          <w:sz w:val="24"/>
          <w:szCs w:val="24"/>
          <w:lang w:val="en-GB"/>
        </w:rPr>
        <w:t>The consequences of educational exclusion are material as well as symbolic. LGBTQ+ students experience higher rates of bullying, absenteeism, and early school leaving, particularly in contexts where protective policies are weak or absent. These outcomes limit educational attainment and future employment prospects, contributing to the long-term reproduction of inequality (Kosciw et al., 2020). From a Foucauldian perspective, schools operate as disciplinary institutions that regulate bodies and identities through everyday practices such as dress codes, bathroom access, and behavioural norms. In this way, educational spaces become sites where heteronormative power is enacted and internalised.</w:t>
      </w:r>
    </w:p>
    <w:p w:rsidR="1DAC7898" w:rsidP="6D759D67" w:rsidRDefault="1DAC7898" w14:paraId="62DAAC11" w14:textId="51A57E04">
      <w:pPr>
        <w:spacing w:before="240" w:beforeAutospacing="off" w:after="240" w:afterAutospacing="off"/>
      </w:pPr>
      <w:r w:rsidRPr="6D759D67" w:rsidR="1DAC7898">
        <w:rPr>
          <w:rFonts w:ascii="Aptos" w:hAnsi="Aptos" w:eastAsia="Aptos" w:cs="Aptos"/>
          <w:noProof w:val="0"/>
          <w:sz w:val="24"/>
          <w:szCs w:val="24"/>
          <w:lang w:val="en-GB"/>
        </w:rPr>
        <w:t>Carceral systems further illustrate how state power disproportionately targets LGBTQ+ populations, particularly those who are racialised, poor, or gender nonconforming. Policing practices often criminalise LGBTQ+ people through public order offences, morality laws, or discretionary enforcement, even in jurisdictions where same-sex relations are legal. Trans women, especially trans women of colour, are disproportionately subjected to surveillance, arrest, and incarceration due to profiling and the criminalisation of survival economies such as sex work (Stanley et al., 2017).</w:t>
      </w:r>
    </w:p>
    <w:p w:rsidR="1DAC7898" w:rsidP="6D759D67" w:rsidRDefault="1DAC7898" w14:paraId="241BE5F0" w14:textId="65F48FEF">
      <w:pPr>
        <w:spacing w:before="240" w:beforeAutospacing="off" w:after="240" w:afterAutospacing="off"/>
      </w:pPr>
      <w:r w:rsidRPr="6D759D67" w:rsidR="1DAC7898">
        <w:rPr>
          <w:rFonts w:ascii="Aptos" w:hAnsi="Aptos" w:eastAsia="Aptos" w:cs="Aptos"/>
          <w:noProof w:val="0"/>
          <w:sz w:val="24"/>
          <w:szCs w:val="24"/>
          <w:lang w:val="en-GB"/>
        </w:rPr>
        <w:t>Within prisons and detention centres, LGBTQ+ individuals face heightened risks of violence, isolation, and denial of healthcare. These practices reflect what Wacquant (2009) describes as the punitive management of marginalised populations under neoliberal governance. Carceral power thus reinforces inequality by disciplining bodies that deviate from dominant norms while presenting punishment as a neutral response to individual behaviour rather than a structural outcome of inequality.</w:t>
      </w:r>
    </w:p>
    <w:p w:rsidR="1DAC7898" w:rsidP="6D759D67" w:rsidRDefault="1DAC7898" w14:paraId="6E2DAD02" w14:textId="02D3E8A8">
      <w:pPr>
        <w:spacing w:before="240" w:beforeAutospacing="off" w:after="240" w:afterAutospacing="off"/>
      </w:pPr>
      <w:r w:rsidRPr="6D759D67" w:rsidR="1DAC7898">
        <w:rPr>
          <w:rFonts w:ascii="Aptos" w:hAnsi="Aptos" w:eastAsia="Aptos" w:cs="Aptos"/>
          <w:noProof w:val="0"/>
          <w:sz w:val="24"/>
          <w:szCs w:val="24"/>
          <w:lang w:val="en-GB"/>
        </w:rPr>
        <w:t>Migration and asylum regimes constitute another arena in which power and control shape LGBTQ+ inequality on a global scale. LGBTQ+ asylum seekers fleeing persecution often encounter sceptical and invasive assessment processes that require them to prove their sexual or gender identity according to Western stereotypes. Scholars argue that these credibility assessments reproduce colonial epistemologies by privileging fixed, visible, and individualised expressions of identity (Lewis, 2014). As a result, many LGBTQ+ asylum claims are rejected, leaving individuals vulnerable to detention, deportation, or destitution.</w:t>
      </w:r>
    </w:p>
    <w:p w:rsidR="1DAC7898" w:rsidP="6D759D67" w:rsidRDefault="1DAC7898" w14:paraId="738BD004" w14:textId="21907AB0">
      <w:pPr>
        <w:spacing w:before="240" w:beforeAutospacing="off" w:after="240" w:afterAutospacing="off"/>
      </w:pPr>
      <w:r w:rsidRPr="6D759D67" w:rsidR="1DAC7898">
        <w:rPr>
          <w:rFonts w:ascii="Aptos" w:hAnsi="Aptos" w:eastAsia="Aptos" w:cs="Aptos"/>
          <w:noProof w:val="0"/>
          <w:sz w:val="24"/>
          <w:szCs w:val="24"/>
          <w:lang w:val="en-GB"/>
        </w:rPr>
        <w:t>Even when asylum is granted, LGBTQ+ migrants frequently experience continued marginalisation due to racism, language barriers, and exclusion from labour markets and housing. This demonstrates how borders function not only as physical barriers but as mechanisms of social control that stratify rights and belonging. Migration regimes thus reveal how global inequalities intersect with sexuality and gender, reinforcing hierarchies between citizens and non-citizens.</w:t>
      </w:r>
    </w:p>
    <w:p w:rsidR="768B4EE8" w:rsidP="6D759D67" w:rsidRDefault="768B4EE8" w14:paraId="55986435" w14:textId="115D4EC2">
      <w:pPr>
        <w:spacing w:before="240" w:beforeAutospacing="off" w:after="240" w:afterAutospacing="off"/>
      </w:pPr>
      <w:r w:rsidRPr="6D759D67" w:rsidR="768B4EE8">
        <w:rPr>
          <w:rFonts w:ascii="Aptos" w:hAnsi="Aptos" w:eastAsia="Aptos" w:cs="Aptos"/>
          <w:noProof w:val="0"/>
          <w:sz w:val="24"/>
          <w:szCs w:val="24"/>
          <w:lang w:val="en-GB"/>
        </w:rPr>
        <w:t>Although</w:t>
      </w:r>
      <w:r w:rsidRPr="6D759D67" w:rsidR="1DAC7898">
        <w:rPr>
          <w:rFonts w:ascii="Aptos" w:hAnsi="Aptos" w:eastAsia="Aptos" w:cs="Aptos"/>
          <w:noProof w:val="0"/>
          <w:sz w:val="24"/>
          <w:szCs w:val="24"/>
          <w:lang w:val="en-GB"/>
        </w:rPr>
        <w:t xml:space="preserve"> these pervasive forms of control</w:t>
      </w:r>
      <w:r w:rsidRPr="6D759D67" w:rsidR="6FB4CA29">
        <w:rPr>
          <w:rFonts w:ascii="Aptos" w:hAnsi="Aptos" w:eastAsia="Aptos" w:cs="Aptos"/>
          <w:noProof w:val="0"/>
          <w:sz w:val="24"/>
          <w:szCs w:val="24"/>
          <w:lang w:val="en-GB"/>
        </w:rPr>
        <w:t xml:space="preserve"> exist</w:t>
      </w:r>
      <w:r w:rsidRPr="6D759D67" w:rsidR="1DAC7898">
        <w:rPr>
          <w:rFonts w:ascii="Aptos" w:hAnsi="Aptos" w:eastAsia="Aptos" w:cs="Aptos"/>
          <w:noProof w:val="0"/>
          <w:sz w:val="24"/>
          <w:szCs w:val="24"/>
          <w:lang w:val="en-GB"/>
        </w:rPr>
        <w:t xml:space="preserve">, resistance </w:t>
      </w:r>
      <w:r w:rsidRPr="6D759D67" w:rsidR="1DAC7898">
        <w:rPr>
          <w:rFonts w:ascii="Aptos" w:hAnsi="Aptos" w:eastAsia="Aptos" w:cs="Aptos"/>
          <w:noProof w:val="0"/>
          <w:sz w:val="24"/>
          <w:szCs w:val="24"/>
          <w:lang w:val="en-GB"/>
        </w:rPr>
        <w:t>remains</w:t>
      </w:r>
      <w:r w:rsidRPr="6D759D67" w:rsidR="1DAC7898">
        <w:rPr>
          <w:rFonts w:ascii="Aptos" w:hAnsi="Aptos" w:eastAsia="Aptos" w:cs="Aptos"/>
          <w:noProof w:val="0"/>
          <w:sz w:val="24"/>
          <w:szCs w:val="24"/>
          <w:lang w:val="en-GB"/>
        </w:rPr>
        <w:t xml:space="preserve"> a central feature of LGBTQ+ experiences globally. Power, as Foucault emphasises, is never absolute but always accompanied by the possibility of resistance. Grassroots activism, mutual aid networks, and informal community structures have played a crucial role in challenging inequality, particularly in contexts where formal legal avenues are unavailable. Decolonial queer scholars argue that resistance must be understood within local histories and cultural frameworks rather than measured against Western models of rights-based activism (Rao, 2020).</w:t>
      </w:r>
    </w:p>
    <w:p w:rsidR="1DAC7898" w:rsidP="6D759D67" w:rsidRDefault="1DAC7898" w14:paraId="36FDD8D1" w14:textId="77FE33AE">
      <w:pPr>
        <w:spacing w:before="240" w:beforeAutospacing="off" w:after="240" w:afterAutospacing="off"/>
      </w:pPr>
      <w:r w:rsidRPr="6D759D67" w:rsidR="1DAC7898">
        <w:rPr>
          <w:rFonts w:ascii="Aptos" w:hAnsi="Aptos" w:eastAsia="Aptos" w:cs="Aptos"/>
          <w:noProof w:val="0"/>
          <w:sz w:val="24"/>
          <w:szCs w:val="24"/>
          <w:lang w:val="en-GB"/>
        </w:rPr>
        <w:t>These forms of resistance challenge dominant power structures by reimagining kinship, care, and belonging beyond state recognition. At the same time, the uneven visibility and resourcing of LGBTQ+ movements reflect broader global inequalities, raising critical questions about whose struggles are amplified and whose remain marginalised. Resistance therefore both contests and reveals the operation of power, underscoring the need for structural transformation rather than symbolic inclusion.</w:t>
      </w:r>
    </w:p>
    <w:p w:rsidR="1DAC7898" w:rsidP="6D759D67" w:rsidRDefault="1DAC7898" w14:paraId="7194A6AA" w14:textId="2CEE521C">
      <w:pPr>
        <w:spacing w:before="240" w:beforeAutospacing="off" w:after="240" w:afterAutospacing="off"/>
      </w:pPr>
      <w:r w:rsidRPr="6D759D67" w:rsidR="1DAC7898">
        <w:rPr>
          <w:rFonts w:ascii="Aptos" w:hAnsi="Aptos" w:eastAsia="Aptos" w:cs="Aptos"/>
          <w:noProof w:val="0"/>
          <w:sz w:val="24"/>
          <w:szCs w:val="24"/>
          <w:lang w:val="en-GB"/>
        </w:rPr>
        <w:t xml:space="preserve">Collectively, these </w:t>
      </w:r>
      <w:r w:rsidRPr="6D759D67" w:rsidR="1DAC7898">
        <w:rPr>
          <w:rFonts w:ascii="Aptos" w:hAnsi="Aptos" w:eastAsia="Aptos" w:cs="Aptos"/>
          <w:noProof w:val="0"/>
          <w:sz w:val="24"/>
          <w:szCs w:val="24"/>
          <w:lang w:val="en-GB"/>
        </w:rPr>
        <w:t>additional</w:t>
      </w:r>
      <w:r w:rsidRPr="6D759D67" w:rsidR="1DAC7898">
        <w:rPr>
          <w:rFonts w:ascii="Aptos" w:hAnsi="Aptos" w:eastAsia="Aptos" w:cs="Aptos"/>
          <w:noProof w:val="0"/>
          <w:sz w:val="24"/>
          <w:szCs w:val="24"/>
          <w:lang w:val="en-GB"/>
        </w:rPr>
        <w:t xml:space="preserve"> dimensions reinforce the argument that LGBTQ+ inequality is produced and sustained through interconnected systems of power operating across religion, education, criminal justice, migration, and global governance. These systems regulate not only legal status and material resources but also knowledge, morality, and belonging. Addressing LGBTQ+ inequality therefore requires an approach that recognises power as multidimensional and embedded within everyday institutions, rather than as a series of isolated discriminatory acts. Only by confronting these structural mechanisms can meaningful and sustainable equality be achieved.</w:t>
      </w:r>
    </w:p>
    <w:p w:rsidR="7194E6AE" w:rsidP="6D759D67" w:rsidRDefault="7194E6AE" w14:paraId="05CD8894" w14:textId="59965880">
      <w:pPr>
        <w:pStyle w:val="Normal"/>
      </w:pPr>
      <w:r w:rsidRPr="6D759D67" w:rsidR="7194E6AE">
        <w:rPr>
          <w:rFonts w:ascii="Aptos" w:hAnsi="Aptos" w:eastAsia="Aptos" w:cs="Aptos"/>
          <w:noProof w:val="0"/>
          <w:sz w:val="24"/>
          <w:szCs w:val="24"/>
          <w:lang w:val="en-GB"/>
        </w:rPr>
        <w:t xml:space="preserve">Despite pervasive oppression, LGBTQ+ communities have consistently exercised agency through activism, legal mobilisation, and international advocacy. Global human rights instruments such as the Yogyakarta Principles articulate the application of international human rights law to sexual orientation and gender identity, challenging state-centred definitions of legitimacy (Yogyakarta Principles, 2007). Intersectional and decolonial activism has been particularly important in centring the voices of those most marginalised within LGBTQ+ communities, including trans people, migrants, and people of colour. These forms of resistance </w:t>
      </w:r>
      <w:r w:rsidRPr="6D759D67" w:rsidR="7194E6AE">
        <w:rPr>
          <w:rFonts w:ascii="Aptos" w:hAnsi="Aptos" w:eastAsia="Aptos" w:cs="Aptos"/>
          <w:noProof w:val="0"/>
          <w:sz w:val="24"/>
          <w:szCs w:val="24"/>
          <w:lang w:val="en-GB"/>
        </w:rPr>
        <w:t>demonstrate</w:t>
      </w:r>
      <w:r w:rsidRPr="6D759D67" w:rsidR="7194E6AE">
        <w:rPr>
          <w:rFonts w:ascii="Aptos" w:hAnsi="Aptos" w:eastAsia="Aptos" w:cs="Aptos"/>
          <w:noProof w:val="0"/>
          <w:sz w:val="24"/>
          <w:szCs w:val="24"/>
          <w:lang w:val="en-GB"/>
        </w:rPr>
        <w:t xml:space="preserve"> that power is not static but contested. Let us now draw together the implications of this analysis.</w:t>
      </w:r>
    </w:p>
    <w:p w:rsidR="73E4972D" w:rsidP="6D759D67" w:rsidRDefault="73E4972D" w14:paraId="5FAFAF9E" w14:textId="21D4B301">
      <w:pPr>
        <w:spacing w:before="240" w:beforeAutospacing="off" w:after="240" w:afterAutospacing="off"/>
      </w:pPr>
      <w:r w:rsidRPr="6D759D67" w:rsidR="73E4972D">
        <w:rPr>
          <w:rFonts w:ascii="Aptos" w:hAnsi="Aptos" w:eastAsia="Aptos" w:cs="Aptos"/>
          <w:noProof w:val="0"/>
          <w:sz w:val="24"/>
          <w:szCs w:val="24"/>
          <w:lang w:val="en-GB"/>
        </w:rPr>
        <w:t>In conclusion, the inequalities experienced by LGBTQ+ groups globally are not the result of isolated acts of discrimination but are produced and sustained through interconnected systems of power and control. Legal frameworks, state policies, cultural norms, religious authority, economic structures, and institutional practices collectively regulate gender and sexuality, often through processes of normalisation and selective inclusion rather than overt repression. These mechanisms shape not only material conditions such as access to citizenship, employment, healthcare, and education, but also social legitimacy and belonging. As a result, inequality is reproduced across everyday spaces and over time, reinforcing hierarchies both between heterosexual and LGBTQ+ populations and within LGBTQ+ communities themselves along intersecting lines of class, race, gender identity, and nationality.</w:t>
      </w:r>
    </w:p>
    <w:p w:rsidR="73E4972D" w:rsidP="6D759D67" w:rsidRDefault="73E4972D" w14:paraId="65A3147E" w14:textId="26E2F2D9">
      <w:pPr>
        <w:spacing w:before="240" w:beforeAutospacing="off" w:after="240" w:afterAutospacing="off"/>
      </w:pPr>
      <w:r w:rsidRPr="6D759D67" w:rsidR="73E4972D">
        <w:rPr>
          <w:rFonts w:ascii="Aptos" w:hAnsi="Aptos" w:eastAsia="Aptos" w:cs="Aptos"/>
          <w:noProof w:val="0"/>
          <w:sz w:val="24"/>
          <w:szCs w:val="24"/>
          <w:lang w:val="en-GB"/>
        </w:rPr>
        <w:t>While activism, resistance, and legal reform have challenged these structures and expanded recognition in some contexts, such advances remain uneven and fragile. Neoliberal governance, colonial legacies, and heteropatriarchal power continue to determine whose identities are legitimised and whose lives remain precarious or disposable. Without addressing these deeper structural conditions, policy reforms risk offering symbolic inclusion rather than substantive equality. Meaningful global LGBTQ+ equality therefore requires transformative approaches that confront power at its structural roots, challenge dominant norms, and reimagine social, political, and economic arrangements beyond conditional recognition within existing systems.</w:t>
      </w:r>
    </w:p>
    <w:p w:rsidR="6D759D67" w:rsidP="6D759D67" w:rsidRDefault="6D759D67" w14:paraId="04E46796" w14:textId="23C1CE43">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FB68"/>
    <w:rsid w:val="00BDFB68"/>
    <w:rsid w:val="01F0CC7B"/>
    <w:rsid w:val="0212F52B"/>
    <w:rsid w:val="0C825B2E"/>
    <w:rsid w:val="1B08E00A"/>
    <w:rsid w:val="1DAC7898"/>
    <w:rsid w:val="1F9FDCAA"/>
    <w:rsid w:val="1FF4F6B7"/>
    <w:rsid w:val="20771560"/>
    <w:rsid w:val="215EF2B6"/>
    <w:rsid w:val="247FFEAB"/>
    <w:rsid w:val="2D4404E5"/>
    <w:rsid w:val="2EA4241A"/>
    <w:rsid w:val="31259BD8"/>
    <w:rsid w:val="378F946B"/>
    <w:rsid w:val="3950AEE5"/>
    <w:rsid w:val="3AB4FD30"/>
    <w:rsid w:val="3E18F517"/>
    <w:rsid w:val="4225BA84"/>
    <w:rsid w:val="5BFA9B59"/>
    <w:rsid w:val="5DB30AC0"/>
    <w:rsid w:val="5E554874"/>
    <w:rsid w:val="5E7F7AD9"/>
    <w:rsid w:val="6D422596"/>
    <w:rsid w:val="6D759D67"/>
    <w:rsid w:val="6FB4CA29"/>
    <w:rsid w:val="7194E6AE"/>
    <w:rsid w:val="73E4972D"/>
    <w:rsid w:val="768B4EE8"/>
    <w:rsid w:val="77ABC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DFB68"/>
  <w15:chartTrackingRefBased/>
  <w15:docId w15:val="{FD7229B8-6C65-4DC7-9A57-C9C9FFA1E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Usha Krishna Raj (2022598)</dc:creator>
  <keywords/>
  <dc:description/>
  <lastModifiedBy>Usha Krishna Raj (2022598)</lastModifiedBy>
  <revision>2</revision>
  <dcterms:created xsi:type="dcterms:W3CDTF">2025-12-28T14:35:08.5482336Z</dcterms:created>
  <dcterms:modified xsi:type="dcterms:W3CDTF">2025-12-28T15:08:55.4768326Z</dcterms:modified>
</coreProperties>
</file>