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10BC" w:rsidRDefault="00D610BC"/>
    <w:tbl>
      <w:tblPr>
        <w:tblStyle w:val="TableGrid"/>
        <w:tblpPr w:leftFromText="141" w:rightFromText="141" w:vertAnchor="text" w:horzAnchor="margin" w:tblpXSpec="center" w:tblpY="392"/>
        <w:tblW w:w="10490" w:type="dxa"/>
        <w:tblInd w:w="0" w:type="dxa"/>
        <w:tblCellMar>
          <w:top w:w="11" w:type="dxa"/>
          <w:left w:w="108" w:type="dxa"/>
          <w:right w:w="115" w:type="dxa"/>
        </w:tblCellMar>
        <w:tblLook w:val="04A0" w:firstRow="1" w:lastRow="0" w:firstColumn="1" w:lastColumn="0" w:noHBand="0" w:noVBand="1"/>
      </w:tblPr>
      <w:tblGrid>
        <w:gridCol w:w="10490"/>
      </w:tblGrid>
      <w:tr w:rsidR="00D610BC" w:rsidTr="00D610BC">
        <w:trPr>
          <w:trHeight w:val="541"/>
        </w:trPr>
        <w:tc>
          <w:tcPr>
            <w:tcW w:w="10490" w:type="dxa"/>
            <w:tcBorders>
              <w:top w:val="single" w:sz="6" w:space="0" w:color="000000"/>
              <w:left w:val="single" w:sz="4" w:space="0" w:color="000000"/>
              <w:bottom w:val="single" w:sz="4" w:space="0" w:color="000000"/>
              <w:right w:val="single" w:sz="4" w:space="0" w:color="000000"/>
            </w:tcBorders>
          </w:tcPr>
          <w:p w:rsidR="00D610BC" w:rsidRPr="00D610BC" w:rsidRDefault="00D610BC" w:rsidP="007C769C">
            <w:pPr>
              <w:rPr>
                <w:b/>
                <w:sz w:val="24"/>
                <w:szCs w:val="24"/>
                <w:lang w:val="en-US"/>
              </w:rPr>
            </w:pPr>
            <w:r w:rsidRPr="00D610BC">
              <w:rPr>
                <w:b/>
                <w:sz w:val="24"/>
                <w:szCs w:val="24"/>
                <w:lang w:val="en-US"/>
              </w:rPr>
              <w:t>Title</w:t>
            </w:r>
          </w:p>
          <w:p w:rsidR="00D610BC" w:rsidRPr="00D610BC" w:rsidRDefault="00D610BC" w:rsidP="007C769C">
            <w:pPr>
              <w:rPr>
                <w:rFonts w:ascii="Times New Roman" w:hAnsi="Times New Roman" w:cs="Times New Roman"/>
                <w:sz w:val="24"/>
                <w:szCs w:val="24"/>
                <w:lang w:val="en-US"/>
              </w:rPr>
            </w:pPr>
            <w:r w:rsidRPr="00D610BC">
              <w:rPr>
                <w:rFonts w:ascii="Times New Roman" w:hAnsi="Times New Roman" w:cs="Times New Roman"/>
                <w:sz w:val="24"/>
                <w:szCs w:val="24"/>
                <w:lang w:val="en-US"/>
              </w:rPr>
              <w:t>“</w:t>
            </w:r>
            <w:r w:rsidRPr="00D610BC">
              <w:rPr>
                <w:rFonts w:ascii="Times New Roman" w:hAnsi="Times New Roman" w:cs="Times New Roman"/>
                <w:sz w:val="24"/>
                <w:szCs w:val="24"/>
              </w:rPr>
              <w:t>Alcohol deprivation</w:t>
            </w:r>
            <w:r w:rsidRPr="00D610BC">
              <w:rPr>
                <w:rFonts w:ascii="Times New Roman" w:hAnsi="Times New Roman" w:cs="Times New Roman"/>
                <w:sz w:val="24"/>
                <w:szCs w:val="24"/>
                <w:lang w:val="en-US"/>
              </w:rPr>
              <w:t>”,</w:t>
            </w:r>
            <w:r w:rsidRPr="00D610BC">
              <w:rPr>
                <w:rFonts w:ascii="Times New Roman" w:hAnsi="Times New Roman" w:cs="Times New Roman"/>
                <w:sz w:val="24"/>
                <w:szCs w:val="24"/>
              </w:rPr>
              <w:t xml:space="preserve"> a fun app campaign</w:t>
            </w:r>
            <w:r w:rsidRPr="00D610BC">
              <w:rPr>
                <w:rFonts w:ascii="Times New Roman" w:hAnsi="Times New Roman" w:cs="Times New Roman"/>
                <w:sz w:val="24"/>
                <w:szCs w:val="24"/>
                <w:lang w:val="en-US"/>
              </w:rPr>
              <w:t>.</w:t>
            </w:r>
          </w:p>
        </w:tc>
      </w:tr>
    </w:tbl>
    <w:p w:rsidR="00D610BC" w:rsidRDefault="00D610BC"/>
    <w:tbl>
      <w:tblPr>
        <w:tblStyle w:val="TableGrid"/>
        <w:tblpPr w:leftFromText="141" w:rightFromText="141" w:vertAnchor="text" w:horzAnchor="margin" w:tblpXSpec="center" w:tblpY="392"/>
        <w:tblW w:w="10490" w:type="dxa"/>
        <w:tblInd w:w="0" w:type="dxa"/>
        <w:tblCellMar>
          <w:top w:w="11" w:type="dxa"/>
          <w:left w:w="108" w:type="dxa"/>
          <w:right w:w="115" w:type="dxa"/>
        </w:tblCellMar>
        <w:tblLook w:val="04A0" w:firstRow="1" w:lastRow="0" w:firstColumn="1" w:lastColumn="0" w:noHBand="0" w:noVBand="1"/>
      </w:tblPr>
      <w:tblGrid>
        <w:gridCol w:w="10490"/>
      </w:tblGrid>
      <w:tr w:rsidR="00D610BC" w:rsidRPr="000E6AE3" w:rsidTr="007C769C">
        <w:trPr>
          <w:trHeight w:val="14149"/>
        </w:trPr>
        <w:tc>
          <w:tcPr>
            <w:tcW w:w="10490" w:type="dxa"/>
            <w:tcBorders>
              <w:top w:val="single" w:sz="6" w:space="0" w:color="000000"/>
              <w:left w:val="single" w:sz="4" w:space="0" w:color="000000"/>
              <w:bottom w:val="single" w:sz="4" w:space="0" w:color="000000"/>
              <w:right w:val="single" w:sz="4" w:space="0" w:color="000000"/>
            </w:tcBorders>
          </w:tcPr>
          <w:p w:rsidR="00D610BC" w:rsidRPr="000E6AE3" w:rsidRDefault="00D610BC" w:rsidP="007C769C">
            <w:pPr>
              <w:spacing w:after="191"/>
              <w:rPr>
                <w:rFonts w:ascii="Times New Roman" w:hAnsi="Times New Roman" w:cs="Times New Roman"/>
                <w:sz w:val="24"/>
                <w:szCs w:val="24"/>
              </w:rPr>
            </w:pPr>
            <w:r w:rsidRPr="000E6AE3">
              <w:rPr>
                <w:rFonts w:ascii="Times New Roman" w:eastAsia="Arial" w:hAnsi="Times New Roman" w:cs="Times New Roman"/>
                <w:b/>
                <w:sz w:val="24"/>
                <w:szCs w:val="24"/>
              </w:rPr>
              <w:lastRenderedPageBreak/>
              <w:t xml:space="preserve">Background </w:t>
            </w:r>
            <w:r w:rsidRPr="000E6AE3">
              <w:rPr>
                <w:rFonts w:ascii="Times New Roman" w:eastAsia="Arial" w:hAnsi="Times New Roman" w:cs="Times New Roman"/>
                <w:sz w:val="24"/>
                <w:szCs w:val="24"/>
              </w:rPr>
              <w:t xml:space="preserve"> </w:t>
            </w:r>
          </w:p>
          <w:p w:rsidR="00D610BC" w:rsidRPr="000E6AE3" w:rsidRDefault="00D610BC" w:rsidP="007C769C">
            <w:pPr>
              <w:spacing w:after="191"/>
              <w:rPr>
                <w:rFonts w:ascii="Times New Roman" w:hAnsi="Times New Roman" w:cs="Times New Roman"/>
                <w:sz w:val="24"/>
                <w:szCs w:val="24"/>
              </w:rPr>
            </w:pPr>
            <w:r w:rsidRPr="000E6AE3">
              <w:rPr>
                <w:rFonts w:ascii="Times New Roman" w:hAnsi="Times New Roman" w:cs="Times New Roman"/>
                <w:sz w:val="24"/>
                <w:szCs w:val="24"/>
                <w:lang w:val="en-US"/>
              </w:rPr>
              <w:t xml:space="preserve">According to the Office of National Statistics (2016) 7.8 million people in Great Britain engage in binge drinking. Although, young people between 16 and 24 exhibit the lowest general tendency to drink,  when they do it their alcohol consumption surpass that of any other age group. Surveillance conducted by the National union of students (2016) on university students in the UK,  shows that in total 58 % of students consume alcohol at least once a week. From them, 29 % report drinking alcohol 2 to 3 days a week, 4 % - 4 to 5 days a week and 2% every day.  Out of the respondents, 45% find difficulty not to drink too much on a night out. Initial consumption of alcohol predominantly takes place before going out, with 48% percent indicating that pre drinking takes place at home or in accommodations. This may be partly related to the report that 80 % may drink large amounts of alcohol in short periods in order to cut short their night out. Heavy or Binge drinking is show to be related of health risks, such as unwounded pregnancies, speeding of sexually transmitted diseases and physical injuries (Ross &amp; Jackson, 2013). A relation is also found between drinking and poor academic performance (Gill, 2002). Despite of the known potential dangers to it, 84 % of students don’t worry about potential health damage caused by the use of alcohol. However, even though 48 % of students believe that the consumption of alcohol will result in more enjoyable spend of their free time, still 76 % agree that they don’t need to drink to have a good night out (National union of students, 2016). Meaning, that the introduction of engaging and incentive alternative, may positively affect students weekly alcohol consumption and decrease the overall engagement in binge drinking. </w:t>
            </w:r>
          </w:p>
          <w:p w:rsidR="00D610BC" w:rsidRPr="000E6AE3" w:rsidRDefault="00D610BC" w:rsidP="007C769C">
            <w:pPr>
              <w:autoSpaceDE w:val="0"/>
              <w:autoSpaceDN w:val="0"/>
              <w:adjustRightInd w:val="0"/>
              <w:rPr>
                <w:rFonts w:ascii="Times New Roman" w:hAnsi="Times New Roman" w:cs="Times New Roman"/>
                <w:sz w:val="24"/>
                <w:szCs w:val="24"/>
                <w:lang w:val="en-US"/>
              </w:rPr>
            </w:pPr>
            <w:r w:rsidRPr="000E6AE3">
              <w:rPr>
                <w:rFonts w:ascii="Times New Roman" w:hAnsi="Times New Roman" w:cs="Times New Roman"/>
                <w:sz w:val="24"/>
                <w:szCs w:val="24"/>
                <w:lang w:val="en-US"/>
              </w:rPr>
              <w:t>Previous literature using the Theory of Planned Behavior as a predictive tool for alcohol consumption is show that the intention for participating in binge drinking to be a major predictor of that behavior. Counting for 73 % variances in some cases (Ross &amp; Jackson, 2013)</w:t>
            </w:r>
            <w:r>
              <w:rPr>
                <w:rFonts w:ascii="Times New Roman" w:hAnsi="Times New Roman" w:cs="Times New Roman"/>
                <w:sz w:val="24"/>
                <w:szCs w:val="24"/>
                <w:lang w:val="en-US"/>
              </w:rPr>
              <w:t xml:space="preserve">. </w:t>
            </w:r>
            <w:r w:rsidRPr="000E6AE3">
              <w:rPr>
                <w:rFonts w:ascii="Times New Roman" w:hAnsi="Times New Roman" w:cs="Times New Roman"/>
                <w:sz w:val="24"/>
                <w:szCs w:val="24"/>
                <w:lang w:val="en-US"/>
              </w:rPr>
              <w:t xml:space="preserve"> </w:t>
            </w:r>
            <w:r w:rsidR="001C4EFA">
              <w:rPr>
                <w:rFonts w:ascii="Times New Roman" w:hAnsi="Times New Roman" w:cs="Times New Roman"/>
                <w:sz w:val="24"/>
                <w:szCs w:val="24"/>
                <w:lang w:val="en-US"/>
              </w:rPr>
              <w:t>Past studies have identified that</w:t>
            </w:r>
            <w:r w:rsidRPr="000E6AE3">
              <w:rPr>
                <w:rFonts w:ascii="Times New Roman" w:hAnsi="Times New Roman" w:cs="Times New Roman"/>
                <w:sz w:val="24"/>
                <w:szCs w:val="24"/>
                <w:lang w:val="en-US"/>
              </w:rPr>
              <w:t xml:space="preserve"> attitude, subject norms, precede behavioral control and self </w:t>
            </w:r>
            <w:r w:rsidRPr="000E6AE3">
              <w:rPr>
                <w:rFonts w:ascii="Times New Roman" w:hAnsi="Times New Roman" w:cs="Times New Roman"/>
                <w:sz w:val="24"/>
                <w:szCs w:val="24"/>
              </w:rPr>
              <w:t>efficacy</w:t>
            </w:r>
            <w:r w:rsidRPr="000E6AE3">
              <w:rPr>
                <w:rFonts w:ascii="Times New Roman" w:hAnsi="Times New Roman" w:cs="Times New Roman"/>
                <w:sz w:val="24"/>
                <w:szCs w:val="24"/>
                <w:lang w:val="en-US"/>
              </w:rPr>
              <w:t xml:space="preserve"> play role in predicting the indention to engage in binge drinking (Collins and </w:t>
            </w:r>
            <w:proofErr w:type="spellStart"/>
            <w:r w:rsidRPr="000E6AE3">
              <w:rPr>
                <w:rFonts w:ascii="Times New Roman" w:hAnsi="Times New Roman" w:cs="Times New Roman"/>
                <w:sz w:val="24"/>
                <w:szCs w:val="24"/>
                <w:lang w:val="en-US"/>
              </w:rPr>
              <w:t>Witkiewitz</w:t>
            </w:r>
            <w:proofErr w:type="spellEnd"/>
            <w:r w:rsidRPr="000E6AE3">
              <w:rPr>
                <w:rFonts w:ascii="Times New Roman" w:hAnsi="Times New Roman" w:cs="Times New Roman"/>
                <w:sz w:val="24"/>
                <w:szCs w:val="24"/>
                <w:lang w:val="en-US"/>
              </w:rPr>
              <w:t>, 2010; Ross &amp; Jackson, 2013). Hence, the already apparent attitude in the students, that drinking is not strictly necessary for a pleasant night out, may support the assumption that some students will decrease participation binge drinking and alcohol if: 1) students are provided with alternative to drinking, such as alcohol prohibited events, significant discounts for students in venues and 2) creation of a mobile application, which to encompass and constantly update all available events and promotions that provide alternative to drinking.</w:t>
            </w:r>
          </w:p>
          <w:p w:rsidR="00D610BC" w:rsidRPr="000E6AE3" w:rsidRDefault="00D610BC" w:rsidP="007C769C">
            <w:pPr>
              <w:rPr>
                <w:rFonts w:ascii="Times New Roman" w:hAnsi="Times New Roman" w:cs="Times New Roman"/>
                <w:sz w:val="24"/>
                <w:szCs w:val="24"/>
              </w:rPr>
            </w:pPr>
          </w:p>
          <w:p w:rsidR="00D610BC" w:rsidRPr="000E6AE3" w:rsidRDefault="00D610BC" w:rsidP="007C769C">
            <w:pPr>
              <w:rPr>
                <w:rFonts w:ascii="Times New Roman" w:eastAsia="Times New Roman" w:hAnsi="Times New Roman" w:cs="Times New Roman"/>
                <w:b/>
                <w:sz w:val="24"/>
                <w:szCs w:val="24"/>
              </w:rPr>
            </w:pPr>
            <w:r w:rsidRPr="00FE6128">
              <w:rPr>
                <w:rFonts w:ascii="Times New Roman" w:eastAsia="Times New Roman" w:hAnsi="Times New Roman" w:cs="Times New Roman"/>
                <w:b/>
                <w:sz w:val="24"/>
                <w:szCs w:val="24"/>
              </w:rPr>
              <w:t xml:space="preserve">Proposed methodology </w:t>
            </w:r>
          </w:p>
          <w:p w:rsidR="00D610BC" w:rsidRPr="000E6AE3" w:rsidRDefault="00D610BC" w:rsidP="007C769C">
            <w:pPr>
              <w:rPr>
                <w:rFonts w:ascii="Times New Roman" w:eastAsia="Times New Roman" w:hAnsi="Times New Roman" w:cs="Times New Roman"/>
                <w:sz w:val="24"/>
                <w:szCs w:val="24"/>
              </w:rPr>
            </w:pPr>
          </w:p>
          <w:p w:rsidR="00D610BC" w:rsidRPr="00FE6128" w:rsidRDefault="00D610BC" w:rsidP="007C769C">
            <w:pPr>
              <w:rPr>
                <w:rFonts w:ascii="Times New Roman" w:eastAsia="Times New Roman" w:hAnsi="Times New Roman" w:cs="Times New Roman"/>
                <w:sz w:val="24"/>
                <w:szCs w:val="24"/>
                <w:lang w:val="en-US"/>
              </w:rPr>
            </w:pPr>
            <w:r w:rsidRPr="000E6AE3">
              <w:rPr>
                <w:rFonts w:ascii="Times New Roman" w:eastAsia="Times New Roman" w:hAnsi="Times New Roman" w:cs="Times New Roman"/>
                <w:sz w:val="24"/>
                <w:szCs w:val="24"/>
                <w:lang w:val="en-US"/>
              </w:rPr>
              <w:t xml:space="preserve">The innervation </w:t>
            </w:r>
          </w:p>
          <w:p w:rsidR="00D610BC" w:rsidRPr="000E6AE3" w:rsidRDefault="00D610BC" w:rsidP="007C769C">
            <w:pPr>
              <w:autoSpaceDE w:val="0"/>
              <w:autoSpaceDN w:val="0"/>
              <w:adjustRightInd w:val="0"/>
              <w:rPr>
                <w:rFonts w:ascii="Times New Roman" w:hAnsi="Times New Roman" w:cs="Times New Roman"/>
                <w:sz w:val="24"/>
                <w:szCs w:val="24"/>
              </w:rPr>
            </w:pPr>
          </w:p>
          <w:p w:rsidR="00D610BC" w:rsidRPr="000E6AE3" w:rsidRDefault="00D610BC" w:rsidP="007C769C">
            <w:pPr>
              <w:pStyle w:val="Heading1"/>
              <w:outlineLvl w:val="0"/>
              <w:rPr>
                <w:b w:val="0"/>
                <w:sz w:val="24"/>
                <w:szCs w:val="24"/>
                <w:lang w:val="en-US"/>
              </w:rPr>
            </w:pPr>
            <w:r w:rsidRPr="000E6AE3">
              <w:rPr>
                <w:b w:val="0"/>
                <w:sz w:val="24"/>
                <w:szCs w:val="24"/>
                <w:lang w:val="en-US"/>
              </w:rPr>
              <w:t>The intervention consists of establishment of anti-binge and alcohol consumption campaign</w:t>
            </w:r>
            <w:r w:rsidR="001C4EFA">
              <w:rPr>
                <w:b w:val="0"/>
                <w:sz w:val="24"/>
                <w:szCs w:val="24"/>
                <w:lang w:val="en-US"/>
              </w:rPr>
              <w:t>,</w:t>
            </w:r>
            <w:r w:rsidRPr="000E6AE3">
              <w:rPr>
                <w:b w:val="0"/>
                <w:sz w:val="24"/>
                <w:szCs w:val="24"/>
                <w:lang w:val="en-US"/>
              </w:rPr>
              <w:t xml:space="preserve"> between University of Wales Saint David and different establishments around the city of Swansea. Such as</w:t>
            </w:r>
            <w:r w:rsidR="001C4EFA">
              <w:rPr>
                <w:b w:val="0"/>
                <w:sz w:val="24"/>
                <w:szCs w:val="24"/>
                <w:lang w:val="en-US"/>
              </w:rPr>
              <w:t>,</w:t>
            </w:r>
            <w:r w:rsidRPr="000E6AE3">
              <w:rPr>
                <w:b w:val="0"/>
                <w:sz w:val="24"/>
                <w:szCs w:val="24"/>
                <w:lang w:val="en-US"/>
              </w:rPr>
              <w:t xml:space="preserve"> gaming clubs, restaurants, cinemas, bowling </w:t>
            </w:r>
            <w:r w:rsidR="001C4EFA" w:rsidRPr="000E6AE3">
              <w:rPr>
                <w:b w:val="0"/>
                <w:sz w:val="24"/>
                <w:szCs w:val="24"/>
                <w:lang w:val="en-US"/>
              </w:rPr>
              <w:t>alley</w:t>
            </w:r>
            <w:r w:rsidR="001C4EFA">
              <w:rPr>
                <w:b w:val="0"/>
                <w:sz w:val="24"/>
                <w:szCs w:val="24"/>
                <w:lang w:val="en-US"/>
              </w:rPr>
              <w:t>s</w:t>
            </w:r>
            <w:r w:rsidRPr="000E6AE3">
              <w:rPr>
                <w:b w:val="0"/>
                <w:sz w:val="24"/>
                <w:szCs w:val="24"/>
                <w:lang w:val="en-US"/>
              </w:rPr>
              <w:t xml:space="preserve">, </w:t>
            </w:r>
            <w:proofErr w:type="gramStart"/>
            <w:r w:rsidRPr="000E6AE3">
              <w:rPr>
                <w:b w:val="0"/>
                <w:sz w:val="24"/>
                <w:szCs w:val="24"/>
                <w:lang w:val="en-US"/>
              </w:rPr>
              <w:t>et</w:t>
            </w:r>
            <w:proofErr w:type="gramEnd"/>
            <w:r w:rsidRPr="000E6AE3">
              <w:rPr>
                <w:b w:val="0"/>
                <w:sz w:val="24"/>
                <w:szCs w:val="24"/>
                <w:lang w:val="en-US"/>
              </w:rPr>
              <w:t>…, which will provide significant discounts and alternative forms of entertainment for students during targeted days</w:t>
            </w:r>
            <w:r w:rsidR="001C4EFA">
              <w:rPr>
                <w:b w:val="0"/>
                <w:sz w:val="24"/>
                <w:szCs w:val="24"/>
                <w:lang w:val="en-US"/>
              </w:rPr>
              <w:t>,</w:t>
            </w:r>
            <w:r w:rsidRPr="000E6AE3">
              <w:rPr>
                <w:b w:val="0"/>
                <w:sz w:val="24"/>
                <w:szCs w:val="24"/>
                <w:lang w:val="en-US"/>
              </w:rPr>
              <w:t xml:space="preserve"> such as weekends. In time frames that otherwise will promote the visit of alcohol serving venues. Students who are under the influence of alcohol will be denied </w:t>
            </w:r>
            <w:r w:rsidRPr="000E6AE3">
              <w:rPr>
                <w:b w:val="0"/>
                <w:sz w:val="24"/>
                <w:szCs w:val="24"/>
              </w:rPr>
              <w:t>access</w:t>
            </w:r>
            <w:r w:rsidRPr="000E6AE3">
              <w:rPr>
                <w:b w:val="0"/>
                <w:sz w:val="24"/>
                <w:szCs w:val="24"/>
                <w:lang w:val="en-US"/>
              </w:rPr>
              <w:t xml:space="preserve"> to any discounts and events under the umbrella of this campaign. Secondly, a mobile application will be developed with the intent of listing any available discounts and events according to date, time and proximity. Similar to the already existing “</w:t>
            </w:r>
            <w:r w:rsidRPr="000E6AE3">
              <w:rPr>
                <w:rStyle w:val="tlid-translation"/>
                <w:b w:val="0"/>
                <w:sz w:val="24"/>
                <w:szCs w:val="24"/>
              </w:rPr>
              <w:t>Drinkaware</w:t>
            </w:r>
            <w:r w:rsidRPr="000E6AE3">
              <w:rPr>
                <w:rStyle w:val="inverted"/>
                <w:b w:val="0"/>
                <w:sz w:val="24"/>
                <w:szCs w:val="24"/>
              </w:rPr>
              <w:t>: Track and</w:t>
            </w:r>
            <w:r w:rsidRPr="000E6AE3">
              <w:rPr>
                <w:b w:val="0"/>
                <w:sz w:val="24"/>
                <w:szCs w:val="24"/>
              </w:rPr>
              <w:t xml:space="preserve"> </w:t>
            </w:r>
            <w:r w:rsidRPr="000E6AE3">
              <w:rPr>
                <w:rStyle w:val="inverted"/>
                <w:b w:val="0"/>
                <w:sz w:val="24"/>
                <w:szCs w:val="24"/>
              </w:rPr>
              <w:t>Calculate Units app</w:t>
            </w:r>
            <w:r w:rsidRPr="000E6AE3">
              <w:rPr>
                <w:rStyle w:val="inverted"/>
                <w:b w:val="0"/>
                <w:sz w:val="24"/>
                <w:szCs w:val="24"/>
                <w:lang w:val="en-US"/>
              </w:rPr>
              <w:t>”,</w:t>
            </w:r>
            <w:r w:rsidRPr="000E6AE3">
              <w:rPr>
                <w:b w:val="0"/>
                <w:sz w:val="24"/>
                <w:szCs w:val="24"/>
              </w:rPr>
              <w:t xml:space="preserve"> </w:t>
            </w:r>
            <w:r w:rsidRPr="000E6AE3">
              <w:rPr>
                <w:b w:val="0"/>
                <w:sz w:val="24"/>
                <w:szCs w:val="24"/>
                <w:lang w:val="en-US"/>
              </w:rPr>
              <w:t xml:space="preserve">the new application will also contain additional tools, such as cutback calculator,  which will both calculate nominal savings as well as providing the student estimated feedback of the health </w:t>
            </w:r>
            <w:r w:rsidR="001C4EFA">
              <w:rPr>
                <w:b w:val="0"/>
                <w:sz w:val="24"/>
                <w:szCs w:val="24"/>
                <w:lang w:val="en-US"/>
              </w:rPr>
              <w:t>benefits he/she receive from restricting</w:t>
            </w:r>
            <w:r w:rsidRPr="000E6AE3">
              <w:rPr>
                <w:b w:val="0"/>
                <w:sz w:val="24"/>
                <w:szCs w:val="24"/>
                <w:lang w:val="en-US"/>
              </w:rPr>
              <w:t xml:space="preserve"> of alcohol. Both of those will use </w:t>
            </w:r>
            <w:r w:rsidR="001C4EFA">
              <w:rPr>
                <w:b w:val="0"/>
                <w:sz w:val="24"/>
                <w:szCs w:val="24"/>
                <w:lang w:val="en-US"/>
              </w:rPr>
              <w:t xml:space="preserve">previous </w:t>
            </w:r>
            <w:r w:rsidRPr="000E6AE3">
              <w:rPr>
                <w:b w:val="0"/>
                <w:sz w:val="24"/>
                <w:szCs w:val="24"/>
                <w:lang w:val="en-US"/>
              </w:rPr>
              <w:t>drinking patterns</w:t>
            </w:r>
            <w:r w:rsidR="001C4EFA">
              <w:rPr>
                <w:b w:val="0"/>
                <w:sz w:val="24"/>
                <w:szCs w:val="24"/>
                <w:lang w:val="en-US"/>
              </w:rPr>
              <w:t>.</w:t>
            </w:r>
            <w:r w:rsidRPr="000E6AE3">
              <w:rPr>
                <w:b w:val="0"/>
                <w:sz w:val="24"/>
                <w:szCs w:val="24"/>
                <w:lang w:val="en-US"/>
              </w:rPr>
              <w:t xml:space="preserve"> Further options for setting up </w:t>
            </w:r>
            <w:r w:rsidRPr="000E6AE3">
              <w:rPr>
                <w:b w:val="0"/>
                <w:sz w:val="24"/>
                <w:szCs w:val="24"/>
                <w:lang w:val="en-US"/>
              </w:rPr>
              <w:lastRenderedPageBreak/>
              <w:t xml:space="preserve">goals and rewords for achieving them will also be present. Another use of the application will be the collection of data trying to evaluate changes in the attitudes and overall behavior. </w:t>
            </w:r>
          </w:p>
          <w:p w:rsidR="00D610BC" w:rsidRPr="000E6AE3" w:rsidRDefault="00D610BC" w:rsidP="007C769C">
            <w:pPr>
              <w:pStyle w:val="Heading1"/>
              <w:outlineLvl w:val="0"/>
              <w:rPr>
                <w:b w:val="0"/>
                <w:sz w:val="24"/>
                <w:szCs w:val="24"/>
                <w:lang w:val="en-US"/>
              </w:rPr>
            </w:pPr>
          </w:p>
          <w:p w:rsidR="00D610BC" w:rsidRPr="000E6AE3" w:rsidRDefault="00D610BC" w:rsidP="007C769C">
            <w:pPr>
              <w:pStyle w:val="Heading1"/>
              <w:outlineLvl w:val="0"/>
              <w:rPr>
                <w:b w:val="0"/>
                <w:sz w:val="24"/>
                <w:szCs w:val="24"/>
                <w:lang w:val="en-US"/>
              </w:rPr>
            </w:pPr>
            <w:r w:rsidRPr="000E6AE3">
              <w:rPr>
                <w:b w:val="0"/>
                <w:sz w:val="24"/>
                <w:szCs w:val="24"/>
              </w:rPr>
              <w:t>Target population and participant recruitment strategy</w:t>
            </w:r>
            <w:r w:rsidRPr="000E6AE3">
              <w:rPr>
                <w:b w:val="0"/>
                <w:sz w:val="24"/>
                <w:szCs w:val="24"/>
                <w:lang w:val="en-US"/>
              </w:rPr>
              <w:t xml:space="preserve"> </w:t>
            </w:r>
          </w:p>
          <w:p w:rsidR="00D610BC" w:rsidRPr="000E6AE3" w:rsidRDefault="00D610BC" w:rsidP="007C769C">
            <w:pPr>
              <w:pStyle w:val="Heading1"/>
              <w:outlineLvl w:val="0"/>
              <w:rPr>
                <w:b w:val="0"/>
                <w:sz w:val="24"/>
                <w:szCs w:val="24"/>
                <w:lang w:val="en-US"/>
              </w:rPr>
            </w:pPr>
            <w:r w:rsidRPr="000E6AE3">
              <w:rPr>
                <w:b w:val="0"/>
                <w:sz w:val="24"/>
                <w:szCs w:val="24"/>
                <w:lang w:val="en-US"/>
              </w:rPr>
              <w:t>The target popul</w:t>
            </w:r>
            <w:r w:rsidR="001C4EFA">
              <w:rPr>
                <w:b w:val="0"/>
                <w:sz w:val="24"/>
                <w:szCs w:val="24"/>
                <w:lang w:val="en-US"/>
              </w:rPr>
              <w:t xml:space="preserve">ation of the program will be </w:t>
            </w:r>
            <w:r w:rsidR="001C4EFA" w:rsidRPr="000E6AE3">
              <w:rPr>
                <w:b w:val="0"/>
                <w:sz w:val="24"/>
                <w:szCs w:val="24"/>
                <w:lang w:val="en-US"/>
              </w:rPr>
              <w:t xml:space="preserve">UWTSD </w:t>
            </w:r>
            <w:r w:rsidRPr="000E6AE3">
              <w:rPr>
                <w:b w:val="0"/>
                <w:sz w:val="24"/>
                <w:szCs w:val="24"/>
                <w:lang w:val="en-US"/>
              </w:rPr>
              <w:t xml:space="preserve">students based in Swansea. The application will be introduced between 60 and 75 days after the start of the academic </w:t>
            </w:r>
            <w:r w:rsidR="001C4EFA">
              <w:rPr>
                <w:b w:val="0"/>
                <w:sz w:val="24"/>
                <w:szCs w:val="24"/>
                <w:lang w:val="en-US"/>
              </w:rPr>
              <w:t>year in every university course.</w:t>
            </w:r>
            <w:r w:rsidRPr="000E6AE3">
              <w:rPr>
                <w:b w:val="0"/>
                <w:sz w:val="24"/>
                <w:szCs w:val="24"/>
                <w:lang w:val="en-US"/>
              </w:rPr>
              <w:t xml:space="preserve"> </w:t>
            </w:r>
            <w:r w:rsidR="001C4EFA" w:rsidRPr="000E6AE3">
              <w:rPr>
                <w:b w:val="0"/>
                <w:sz w:val="24"/>
                <w:szCs w:val="24"/>
                <w:lang w:val="en-US"/>
              </w:rPr>
              <w:t>Enabling</w:t>
            </w:r>
            <w:r w:rsidRPr="000E6AE3">
              <w:rPr>
                <w:b w:val="0"/>
                <w:sz w:val="24"/>
                <w:szCs w:val="24"/>
                <w:lang w:val="en-US"/>
              </w:rPr>
              <w:t xml:space="preserve"> more accurate evaluation of</w:t>
            </w:r>
            <w:r w:rsidR="001C4EFA">
              <w:rPr>
                <w:b w:val="0"/>
                <w:sz w:val="24"/>
                <w:szCs w:val="24"/>
                <w:lang w:val="en-US"/>
              </w:rPr>
              <w:t xml:space="preserve"> behavioral changes</w:t>
            </w:r>
            <w:r w:rsidRPr="000E6AE3">
              <w:rPr>
                <w:b w:val="0"/>
                <w:sz w:val="24"/>
                <w:szCs w:val="24"/>
                <w:lang w:val="en-US"/>
              </w:rPr>
              <w:t xml:space="preserve"> in first year student, giving them time to established ‘‘typical’’ student patterns of drinking and social life. The size of the sample group will be determent by the overall number of willing participants in the Swansea branch of the UWTSD. </w:t>
            </w:r>
          </w:p>
          <w:p w:rsidR="00D610BC" w:rsidRPr="000E6AE3" w:rsidRDefault="00D610BC" w:rsidP="007C769C">
            <w:pPr>
              <w:pStyle w:val="Heading1"/>
              <w:outlineLvl w:val="0"/>
              <w:rPr>
                <w:b w:val="0"/>
                <w:sz w:val="24"/>
                <w:szCs w:val="24"/>
                <w:lang w:val="en-US"/>
              </w:rPr>
            </w:pPr>
          </w:p>
          <w:p w:rsidR="00D610BC" w:rsidRPr="000E6AE3" w:rsidRDefault="00D610BC" w:rsidP="007C769C">
            <w:pPr>
              <w:pStyle w:val="Heading1"/>
              <w:outlineLvl w:val="0"/>
              <w:rPr>
                <w:b w:val="0"/>
                <w:sz w:val="24"/>
                <w:szCs w:val="24"/>
                <w:lang w:val="en-US"/>
              </w:rPr>
            </w:pPr>
            <w:r w:rsidRPr="000E6AE3">
              <w:rPr>
                <w:b w:val="0"/>
                <w:sz w:val="24"/>
                <w:szCs w:val="24"/>
                <w:lang w:val="en-US"/>
              </w:rPr>
              <w:t xml:space="preserve">Data collection and evaluation methods </w:t>
            </w:r>
            <w:bookmarkStart w:id="0" w:name="_GoBack"/>
            <w:bookmarkEnd w:id="0"/>
          </w:p>
          <w:p w:rsidR="00D610BC" w:rsidRDefault="00D610BC" w:rsidP="007C769C">
            <w:pPr>
              <w:pStyle w:val="Heading1"/>
              <w:outlineLvl w:val="0"/>
              <w:rPr>
                <w:b w:val="0"/>
                <w:sz w:val="24"/>
                <w:szCs w:val="24"/>
                <w:lang w:val="en-US"/>
              </w:rPr>
            </w:pPr>
            <w:r w:rsidRPr="000E6AE3">
              <w:rPr>
                <w:b w:val="0"/>
                <w:sz w:val="24"/>
                <w:szCs w:val="24"/>
                <w:lang w:val="en-US"/>
              </w:rPr>
              <w:t>Any data will be recorded through the use of the mobile application. Baseline data collection (time 1) will consist of the Age, Gender, Ethnicity. Self-assets data such as drinking patterns and amount of consumed alcohol will also be recorded. At time 2 (two months from the start, and time 3 (four months from the start), data will be downloaded from the application via the usage of computer software. Time’s 2 and 3 will also require the completion of self-administrated questioner integrated in the application. In order to record any changes in intention towards binge and excessive drinking. Time 4 will take place two months after time 3. Through the use of the application, randomly selected group of participants will be asked to take part in focus group in order to discuss and provide any evaluation and feedback from the innervation, which will otherwise will not be recorded by the application. The completion the focus group and the full collection of date will sound the conclusion of the innervation.</w:t>
            </w:r>
          </w:p>
          <w:p w:rsidR="00D610BC" w:rsidRPr="0030433B" w:rsidRDefault="00D610BC" w:rsidP="007C769C">
            <w:pPr>
              <w:rPr>
                <w:rFonts w:ascii="Times New Roman" w:eastAsia="Times New Roman" w:hAnsi="Times New Roman" w:cs="Times New Roman"/>
                <w:sz w:val="24"/>
                <w:szCs w:val="24"/>
              </w:rPr>
            </w:pPr>
            <w:r w:rsidRPr="0030433B">
              <w:rPr>
                <w:rFonts w:ascii="Times New Roman" w:eastAsia="Times New Roman" w:hAnsi="Times New Roman" w:cs="Times New Roman"/>
                <w:sz w:val="24"/>
                <w:szCs w:val="24"/>
              </w:rPr>
              <w:t xml:space="preserve">Planned analyses </w:t>
            </w:r>
          </w:p>
          <w:p w:rsidR="00D610BC" w:rsidRPr="000E6AE3" w:rsidRDefault="00D610BC" w:rsidP="007C769C">
            <w:pPr>
              <w:rPr>
                <w:rFonts w:ascii="Times New Roman" w:eastAsia="Times New Roman" w:hAnsi="Times New Roman" w:cs="Times New Roman"/>
                <w:sz w:val="24"/>
                <w:szCs w:val="24"/>
              </w:rPr>
            </w:pPr>
          </w:p>
          <w:p w:rsidR="00D610BC" w:rsidRPr="00336869" w:rsidRDefault="00D610BC" w:rsidP="007C769C">
            <w:pPr>
              <w:rPr>
                <w:rFonts w:ascii="Times New Roman" w:eastAsia="Times New Roman" w:hAnsi="Times New Roman" w:cs="Times New Roman"/>
                <w:sz w:val="24"/>
                <w:szCs w:val="24"/>
                <w:lang w:val="en-US"/>
              </w:rPr>
            </w:pPr>
            <w:r w:rsidRPr="0030433B">
              <w:rPr>
                <w:rFonts w:ascii="Times New Roman" w:eastAsia="Times New Roman" w:hAnsi="Times New Roman" w:cs="Times New Roman"/>
                <w:sz w:val="24"/>
                <w:szCs w:val="24"/>
              </w:rPr>
              <w:t xml:space="preserve">A three way mixed Analysis of Variance </w:t>
            </w:r>
            <w:r w:rsidRPr="000E6AE3">
              <w:rPr>
                <w:rFonts w:ascii="Times New Roman" w:eastAsia="Times New Roman" w:hAnsi="Times New Roman" w:cs="Times New Roman"/>
                <w:sz w:val="24"/>
                <w:szCs w:val="24"/>
                <w:lang w:val="en-US"/>
              </w:rPr>
              <w:t xml:space="preserve">will examine the differences between the  students results according to year. </w:t>
            </w:r>
            <w:r w:rsidRPr="000E6AE3">
              <w:rPr>
                <w:rFonts w:ascii="Times New Roman" w:eastAsia="Times New Roman" w:hAnsi="Times New Roman" w:cs="Times New Roman"/>
                <w:sz w:val="24"/>
                <w:szCs w:val="24"/>
              </w:rPr>
              <w:t xml:space="preserve">Regression analyses will </w:t>
            </w:r>
            <w:r w:rsidRPr="00336869">
              <w:rPr>
                <w:rFonts w:ascii="Times New Roman" w:eastAsia="Times New Roman" w:hAnsi="Times New Roman" w:cs="Times New Roman"/>
                <w:sz w:val="24"/>
                <w:szCs w:val="24"/>
              </w:rPr>
              <w:t>explore the predictive</w:t>
            </w:r>
            <w:r w:rsidRPr="000E6AE3">
              <w:rPr>
                <w:rFonts w:ascii="Times New Roman" w:eastAsia="Times New Roman" w:hAnsi="Times New Roman" w:cs="Times New Roman"/>
                <w:sz w:val="24"/>
                <w:szCs w:val="24"/>
              </w:rPr>
              <w:t>potential of TPB constructs</w:t>
            </w:r>
            <w:r w:rsidRPr="00336869">
              <w:rPr>
                <w:rFonts w:ascii="Times New Roman" w:eastAsia="Times New Roman" w:hAnsi="Times New Roman" w:cs="Times New Roman"/>
                <w:sz w:val="24"/>
                <w:szCs w:val="24"/>
              </w:rPr>
              <w:t xml:space="preserve"> and demographic variables</w:t>
            </w:r>
            <w:r w:rsidRPr="000E6AE3">
              <w:rPr>
                <w:rFonts w:ascii="Times New Roman" w:eastAsia="Times New Roman" w:hAnsi="Times New Roman" w:cs="Times New Roman"/>
                <w:sz w:val="24"/>
                <w:szCs w:val="24"/>
                <w:lang w:val="en-US"/>
              </w:rPr>
              <w:t xml:space="preserve">. Thematic analysis will extract and evaluate the information </w:t>
            </w:r>
            <w:proofErr w:type="spellStart"/>
            <w:r w:rsidRPr="000E6AE3">
              <w:rPr>
                <w:rFonts w:ascii="Times New Roman" w:eastAsia="Times New Roman" w:hAnsi="Times New Roman" w:cs="Times New Roman"/>
                <w:sz w:val="24"/>
                <w:szCs w:val="24"/>
                <w:lang w:val="en-US"/>
              </w:rPr>
              <w:t>guaderd</w:t>
            </w:r>
            <w:proofErr w:type="spellEnd"/>
            <w:r w:rsidRPr="000E6AE3">
              <w:rPr>
                <w:rFonts w:ascii="Times New Roman" w:eastAsia="Times New Roman" w:hAnsi="Times New Roman" w:cs="Times New Roman"/>
                <w:sz w:val="24"/>
                <w:szCs w:val="24"/>
                <w:lang w:val="en-US"/>
              </w:rPr>
              <w:t xml:space="preserve"> from the focus group determining the perception towards the intervention usefulness, efficacy and potential buildup. </w:t>
            </w:r>
          </w:p>
          <w:p w:rsidR="00D610BC" w:rsidRPr="000E6AE3" w:rsidRDefault="00D610BC" w:rsidP="007C769C">
            <w:pPr>
              <w:rPr>
                <w:rFonts w:ascii="Times New Roman" w:hAnsi="Times New Roman" w:cs="Times New Roman"/>
                <w:sz w:val="24"/>
                <w:szCs w:val="24"/>
              </w:rPr>
            </w:pPr>
          </w:p>
          <w:p w:rsidR="00D610BC" w:rsidRPr="000E6AE3" w:rsidRDefault="00D610BC" w:rsidP="007C769C">
            <w:pPr>
              <w:rPr>
                <w:rFonts w:ascii="Times New Roman" w:hAnsi="Times New Roman" w:cs="Times New Roman"/>
                <w:b/>
                <w:sz w:val="24"/>
                <w:szCs w:val="24"/>
              </w:rPr>
            </w:pPr>
            <w:r w:rsidRPr="000E6AE3">
              <w:rPr>
                <w:rFonts w:ascii="Times New Roman" w:hAnsi="Times New Roman" w:cs="Times New Roman"/>
                <w:b/>
                <w:sz w:val="24"/>
                <w:szCs w:val="24"/>
              </w:rPr>
              <w:t>Main Ethical considerations</w:t>
            </w:r>
          </w:p>
          <w:p w:rsidR="00D610BC" w:rsidRPr="000E6AE3" w:rsidRDefault="00D610BC" w:rsidP="007C769C">
            <w:pPr>
              <w:rPr>
                <w:rFonts w:ascii="Times New Roman" w:hAnsi="Times New Roman" w:cs="Times New Roman"/>
                <w:sz w:val="24"/>
                <w:szCs w:val="24"/>
              </w:rPr>
            </w:pPr>
          </w:p>
          <w:p w:rsidR="00D610BC" w:rsidRPr="000E6AE3" w:rsidRDefault="00D610BC" w:rsidP="007C769C">
            <w:pPr>
              <w:rPr>
                <w:rFonts w:ascii="Times New Roman" w:hAnsi="Times New Roman" w:cs="Times New Roman"/>
                <w:sz w:val="24"/>
                <w:szCs w:val="24"/>
                <w:lang w:val="en-US"/>
              </w:rPr>
            </w:pPr>
            <w:r w:rsidRPr="000E6AE3">
              <w:rPr>
                <w:rFonts w:ascii="Times New Roman" w:hAnsi="Times New Roman" w:cs="Times New Roman"/>
                <w:sz w:val="24"/>
                <w:szCs w:val="24"/>
                <w:lang w:val="en-US"/>
              </w:rPr>
              <w:t xml:space="preserve">The British Psychological Society (BPS) ethical guidelines will be strictly followed at all stages of the study.  Consentience form as well as full information package will be available at all times on the mobile application. </w:t>
            </w:r>
          </w:p>
          <w:p w:rsidR="00D610BC" w:rsidRPr="000E6AE3" w:rsidRDefault="00D610BC" w:rsidP="007C769C">
            <w:pPr>
              <w:rPr>
                <w:rFonts w:ascii="Times New Roman" w:hAnsi="Times New Roman" w:cs="Times New Roman"/>
                <w:sz w:val="24"/>
                <w:szCs w:val="24"/>
                <w:lang w:val="en-US"/>
              </w:rPr>
            </w:pPr>
            <w:r w:rsidRPr="000E6AE3">
              <w:rPr>
                <w:rFonts w:ascii="Times New Roman" w:hAnsi="Times New Roman" w:cs="Times New Roman"/>
                <w:sz w:val="24"/>
                <w:szCs w:val="24"/>
                <w:lang w:val="en-US"/>
              </w:rPr>
              <w:t xml:space="preserve">The participants will be given exact information about how to quit the study. The collected data from the participants will be anonymous, with each participant being assigned a randomly generated code representing his presence on the system. The manuscripts from the focused group will be stored on a password secured file.  Any identifying information such as names will be et…, will be replaced. Up on it transcription the data from the focus group will be destroyed. </w:t>
            </w:r>
          </w:p>
          <w:p w:rsidR="00D610BC" w:rsidRDefault="00D610BC" w:rsidP="007C769C">
            <w:pPr>
              <w:pStyle w:val="Heading1"/>
              <w:outlineLvl w:val="0"/>
              <w:rPr>
                <w:b w:val="0"/>
                <w:sz w:val="24"/>
                <w:szCs w:val="24"/>
                <w:lang w:val="en-US"/>
              </w:rPr>
            </w:pPr>
          </w:p>
          <w:p w:rsidR="00D610BC" w:rsidRDefault="00D610BC" w:rsidP="007C769C">
            <w:pPr>
              <w:pStyle w:val="Heading1"/>
              <w:outlineLvl w:val="0"/>
              <w:rPr>
                <w:b w:val="0"/>
                <w:sz w:val="24"/>
                <w:szCs w:val="24"/>
                <w:lang w:val="en-US"/>
              </w:rPr>
            </w:pPr>
          </w:p>
          <w:p w:rsidR="00D610BC" w:rsidRPr="000E6AE3" w:rsidRDefault="00D610BC" w:rsidP="007C769C">
            <w:pPr>
              <w:rPr>
                <w:rFonts w:ascii="Times New Roman" w:hAnsi="Times New Roman" w:cs="Times New Roman"/>
                <w:sz w:val="24"/>
                <w:szCs w:val="24"/>
              </w:rPr>
            </w:pPr>
            <w:r w:rsidRPr="000E6AE3">
              <w:rPr>
                <w:rFonts w:ascii="Times New Roman" w:eastAsia="Arial" w:hAnsi="Times New Roman" w:cs="Times New Roman"/>
                <w:b/>
                <w:sz w:val="24"/>
                <w:szCs w:val="24"/>
              </w:rPr>
              <w:t xml:space="preserve">What are the expected outputs from this project?  </w:t>
            </w:r>
            <w:r w:rsidRPr="000E6AE3">
              <w:rPr>
                <w:rFonts w:ascii="Times New Roman" w:eastAsia="Arial" w:hAnsi="Times New Roman" w:cs="Times New Roman"/>
                <w:i/>
                <w:sz w:val="24"/>
                <w:szCs w:val="24"/>
              </w:rPr>
              <w:t xml:space="preserve"> </w:t>
            </w:r>
          </w:p>
          <w:p w:rsidR="00D610BC" w:rsidRPr="000E6AE3" w:rsidRDefault="00D610BC" w:rsidP="007C769C">
            <w:pPr>
              <w:rPr>
                <w:rFonts w:ascii="Times New Roman" w:hAnsi="Times New Roman" w:cs="Times New Roman"/>
                <w:sz w:val="24"/>
                <w:szCs w:val="24"/>
              </w:rPr>
            </w:pPr>
          </w:p>
          <w:p w:rsidR="00D610BC" w:rsidRPr="000E6AE3" w:rsidRDefault="00D610BC" w:rsidP="007C769C">
            <w:pPr>
              <w:rPr>
                <w:rFonts w:ascii="Times New Roman" w:hAnsi="Times New Roman" w:cs="Times New Roman"/>
                <w:sz w:val="24"/>
                <w:szCs w:val="24"/>
              </w:rPr>
            </w:pPr>
          </w:p>
          <w:p w:rsidR="00D610BC" w:rsidRPr="00530BDB" w:rsidRDefault="00D610BC" w:rsidP="007C769C">
            <w:pPr>
              <w:pStyle w:val="Heading1"/>
              <w:outlineLvl w:val="0"/>
              <w:rPr>
                <w:b w:val="0"/>
                <w:sz w:val="24"/>
                <w:szCs w:val="24"/>
                <w:lang w:val="en-US"/>
              </w:rPr>
            </w:pPr>
            <w:r w:rsidRPr="00530BDB">
              <w:rPr>
                <w:b w:val="0"/>
                <w:sz w:val="24"/>
                <w:szCs w:val="24"/>
                <w:lang w:val="en-US"/>
              </w:rPr>
              <w:t>The intention of the study is not to eradicate the consumption of alcohol but to influence the manner in which it is consumed. It is believed that the introduction of alternatives and incentives spread through a mobile phone application to students, in specifically predetermine points in time (in which students tend to drink), can positively impact binge drinking and alcohol consumption.  It is hope that a significant portion of students will chose not engage drinking. Instead, choosing not alcoholic forms of entertainment. For those who still want to do, but also want to take advantage of the intervention, it is assumed that this approach will limited their usage of alcohol at home, were binge drinking takes place most often. And over all limited the time which they spend in bars, engaging in alcohol consumption.</w:t>
            </w:r>
          </w:p>
          <w:p w:rsidR="00D610BC" w:rsidRPr="000E6AE3" w:rsidRDefault="00D610BC" w:rsidP="007C769C">
            <w:pPr>
              <w:rPr>
                <w:rFonts w:ascii="Times New Roman" w:hAnsi="Times New Roman" w:cs="Times New Roman"/>
                <w:sz w:val="24"/>
                <w:szCs w:val="24"/>
              </w:rPr>
            </w:pPr>
          </w:p>
        </w:tc>
      </w:tr>
    </w:tbl>
    <w:p w:rsidR="00D610BC" w:rsidRDefault="00D610BC"/>
    <w:tbl>
      <w:tblPr>
        <w:tblStyle w:val="TableGrid"/>
        <w:tblpPr w:leftFromText="141" w:rightFromText="141" w:vertAnchor="text" w:horzAnchor="margin" w:tblpXSpec="center" w:tblpY="392"/>
        <w:tblW w:w="10490" w:type="dxa"/>
        <w:tblInd w:w="0" w:type="dxa"/>
        <w:tblCellMar>
          <w:top w:w="11" w:type="dxa"/>
          <w:left w:w="108" w:type="dxa"/>
          <w:right w:w="115" w:type="dxa"/>
        </w:tblCellMar>
        <w:tblLook w:val="04A0" w:firstRow="1" w:lastRow="0" w:firstColumn="1" w:lastColumn="0" w:noHBand="0" w:noVBand="1"/>
      </w:tblPr>
      <w:tblGrid>
        <w:gridCol w:w="10782"/>
      </w:tblGrid>
      <w:tr w:rsidR="00D610BC" w:rsidTr="007C769C">
        <w:trPr>
          <w:trHeight w:val="9755"/>
        </w:trPr>
        <w:tc>
          <w:tcPr>
            <w:tcW w:w="10490" w:type="dxa"/>
            <w:tcBorders>
              <w:top w:val="single" w:sz="6" w:space="0" w:color="000000"/>
              <w:left w:val="single" w:sz="4" w:space="0" w:color="000000"/>
              <w:bottom w:val="single" w:sz="4" w:space="0" w:color="000000"/>
              <w:right w:val="single" w:sz="4" w:space="0" w:color="000000"/>
            </w:tcBorders>
          </w:tcPr>
          <w:p w:rsidR="00D610BC" w:rsidRPr="00D610BC" w:rsidRDefault="00D610BC" w:rsidP="007C769C">
            <w:pPr>
              <w:rPr>
                <w:rFonts w:ascii="Times New Roman" w:hAnsi="Times New Roman" w:cs="Times New Roman"/>
                <w:sz w:val="24"/>
                <w:szCs w:val="24"/>
                <w:lang w:val="en-US"/>
              </w:rPr>
            </w:pPr>
          </w:p>
          <w:p w:rsidR="00D610BC" w:rsidRPr="00D610BC" w:rsidRDefault="00D610BC" w:rsidP="008A2F04">
            <w:pPr>
              <w:spacing w:line="480" w:lineRule="auto"/>
              <w:ind w:left="709" w:hanging="709"/>
              <w:rPr>
                <w:rFonts w:ascii="Times New Roman" w:hAnsi="Times New Roman" w:cs="Times New Roman"/>
                <w:sz w:val="24"/>
                <w:szCs w:val="24"/>
              </w:rPr>
            </w:pPr>
            <w:r w:rsidRPr="00D610BC">
              <w:rPr>
                <w:rFonts w:ascii="Times New Roman" w:hAnsi="Times New Roman" w:cs="Times New Roman"/>
                <w:sz w:val="24"/>
                <w:szCs w:val="24"/>
              </w:rPr>
              <w:t xml:space="preserve">Collins, S. E., Witkiewitz, K., &amp; Larimer, M. E. (2011). The theory of planned behavior as a predictor of growth in risky college drinking. </w:t>
            </w:r>
            <w:r w:rsidRPr="00D610BC">
              <w:rPr>
                <w:rFonts w:ascii="Times New Roman" w:hAnsi="Times New Roman" w:cs="Times New Roman"/>
                <w:i/>
                <w:iCs/>
                <w:sz w:val="24"/>
                <w:szCs w:val="24"/>
              </w:rPr>
              <w:t>Journal of studies on alcohol and drugs</w:t>
            </w:r>
            <w:r w:rsidRPr="00D610BC">
              <w:rPr>
                <w:rFonts w:ascii="Times New Roman" w:hAnsi="Times New Roman" w:cs="Times New Roman"/>
                <w:sz w:val="24"/>
                <w:szCs w:val="24"/>
              </w:rPr>
              <w:t xml:space="preserve">, </w:t>
            </w:r>
            <w:r w:rsidRPr="00D610BC">
              <w:rPr>
                <w:rFonts w:ascii="Times New Roman" w:hAnsi="Times New Roman" w:cs="Times New Roman"/>
                <w:i/>
                <w:iCs/>
                <w:sz w:val="24"/>
                <w:szCs w:val="24"/>
              </w:rPr>
              <w:t>72</w:t>
            </w:r>
            <w:r w:rsidRPr="00D610BC">
              <w:rPr>
                <w:rFonts w:ascii="Times New Roman" w:hAnsi="Times New Roman" w:cs="Times New Roman"/>
                <w:sz w:val="24"/>
                <w:szCs w:val="24"/>
              </w:rPr>
              <w:t>(2), 322-332.</w:t>
            </w:r>
          </w:p>
          <w:p w:rsidR="00D610BC" w:rsidRPr="00D610BC" w:rsidRDefault="00D610BC" w:rsidP="008A2F04">
            <w:pPr>
              <w:spacing w:line="480" w:lineRule="auto"/>
              <w:ind w:left="709" w:hanging="709"/>
              <w:rPr>
                <w:rFonts w:ascii="Times New Roman" w:hAnsi="Times New Roman" w:cs="Times New Roman"/>
                <w:sz w:val="24"/>
                <w:szCs w:val="24"/>
              </w:rPr>
            </w:pPr>
          </w:p>
          <w:p w:rsidR="00D610BC" w:rsidRPr="00D610BC" w:rsidRDefault="00D610BC" w:rsidP="008A2F04">
            <w:pPr>
              <w:spacing w:line="480" w:lineRule="auto"/>
              <w:ind w:left="709" w:hanging="709"/>
              <w:rPr>
                <w:rFonts w:ascii="Times New Roman" w:hAnsi="Times New Roman" w:cs="Times New Roman"/>
                <w:sz w:val="24"/>
                <w:szCs w:val="24"/>
                <w:lang w:val="en-US"/>
              </w:rPr>
            </w:pPr>
            <w:r w:rsidRPr="00D610BC">
              <w:rPr>
                <w:rFonts w:ascii="Times New Roman" w:hAnsi="Times New Roman" w:cs="Times New Roman"/>
                <w:sz w:val="24"/>
                <w:szCs w:val="24"/>
                <w:lang w:val="en-US"/>
              </w:rPr>
              <w:t xml:space="preserve">Retrieved from </w:t>
            </w:r>
            <w:r w:rsidRPr="00D610BC">
              <w:rPr>
                <w:rFonts w:ascii="Times New Roman" w:hAnsi="Times New Roman" w:cs="Times New Roman"/>
                <w:sz w:val="24"/>
                <w:szCs w:val="24"/>
              </w:rPr>
              <w:t xml:space="preserve"> </w:t>
            </w:r>
            <w:r w:rsidRPr="00D610BC">
              <w:rPr>
                <w:rFonts w:ascii="Times New Roman" w:hAnsi="Times New Roman" w:cs="Times New Roman"/>
                <w:sz w:val="24"/>
                <w:szCs w:val="24"/>
                <w:lang w:val="en-US"/>
              </w:rPr>
              <w:t>https://www.jsad.com/doi/abs/10.15288/jsad.2011.72.322</w:t>
            </w:r>
          </w:p>
          <w:p w:rsidR="00D610BC" w:rsidRPr="00D610BC" w:rsidRDefault="00D610BC" w:rsidP="008A2F04">
            <w:pPr>
              <w:spacing w:line="480" w:lineRule="auto"/>
              <w:ind w:left="709" w:hanging="709"/>
              <w:rPr>
                <w:rFonts w:ascii="Times New Roman" w:hAnsi="Times New Roman" w:cs="Times New Roman"/>
                <w:sz w:val="24"/>
                <w:szCs w:val="24"/>
                <w:lang w:val="en-US"/>
              </w:rPr>
            </w:pPr>
          </w:p>
          <w:p w:rsidR="00D610BC" w:rsidRPr="00D610BC" w:rsidRDefault="00D610BC" w:rsidP="008A2F04">
            <w:pPr>
              <w:spacing w:line="480" w:lineRule="auto"/>
              <w:ind w:left="709" w:hanging="709"/>
              <w:rPr>
                <w:rFonts w:ascii="Times New Roman" w:hAnsi="Times New Roman" w:cs="Times New Roman"/>
                <w:sz w:val="24"/>
                <w:szCs w:val="24"/>
                <w:lang w:val="en-US"/>
              </w:rPr>
            </w:pPr>
          </w:p>
          <w:p w:rsidR="00D610BC" w:rsidRPr="00D610BC" w:rsidRDefault="00D610BC" w:rsidP="008A2F04">
            <w:pPr>
              <w:spacing w:line="480" w:lineRule="auto"/>
              <w:ind w:left="709" w:hanging="709"/>
              <w:rPr>
                <w:rFonts w:ascii="Times New Roman" w:hAnsi="Times New Roman" w:cs="Times New Roman"/>
                <w:sz w:val="24"/>
                <w:szCs w:val="24"/>
                <w:lang w:val="en-US"/>
              </w:rPr>
            </w:pPr>
            <w:r w:rsidRPr="00D610BC">
              <w:rPr>
                <w:rFonts w:ascii="Times New Roman" w:hAnsi="Times New Roman" w:cs="Times New Roman"/>
                <w:sz w:val="24"/>
                <w:szCs w:val="24"/>
                <w:lang w:val="en-US"/>
              </w:rPr>
              <w:t>National union of students (2016). Research into student’s relationship with alcohol.</w:t>
            </w:r>
          </w:p>
          <w:p w:rsidR="00D610BC" w:rsidRPr="00D610BC" w:rsidRDefault="00D610BC" w:rsidP="008A2F04">
            <w:pPr>
              <w:spacing w:line="480" w:lineRule="auto"/>
              <w:ind w:left="709" w:hanging="709"/>
              <w:rPr>
                <w:rFonts w:ascii="Times New Roman" w:hAnsi="Times New Roman" w:cs="Times New Roman"/>
                <w:sz w:val="24"/>
                <w:szCs w:val="24"/>
                <w:lang w:val="en-US"/>
              </w:rPr>
            </w:pPr>
            <w:r w:rsidRPr="00D610BC">
              <w:rPr>
                <w:rFonts w:ascii="Times New Roman" w:hAnsi="Times New Roman" w:cs="Times New Roman"/>
                <w:sz w:val="24"/>
                <w:szCs w:val="24"/>
                <w:lang w:val="en-US"/>
              </w:rPr>
              <w:t xml:space="preserve">Retrieved from </w:t>
            </w:r>
            <w:r w:rsidRPr="00D610BC">
              <w:rPr>
                <w:rFonts w:ascii="Times New Roman" w:hAnsi="Times New Roman" w:cs="Times New Roman"/>
                <w:sz w:val="24"/>
                <w:szCs w:val="24"/>
              </w:rPr>
              <w:t xml:space="preserve"> </w:t>
            </w:r>
            <w:hyperlink r:id="rId4" w:history="1">
              <w:r w:rsidRPr="00D610BC">
                <w:rPr>
                  <w:rStyle w:val="Hyperlink"/>
                  <w:rFonts w:ascii="Times New Roman" w:hAnsi="Times New Roman" w:cs="Times New Roman"/>
                  <w:color w:val="auto"/>
                  <w:sz w:val="24"/>
                  <w:szCs w:val="24"/>
                  <w:u w:val="none"/>
                  <w:lang w:val="en-US"/>
                </w:rPr>
                <w:t>http://s3-eu-west-1.amazonaws.com/nusdigital/document/documents/</w:t>
              </w:r>
            </w:hyperlink>
          </w:p>
          <w:p w:rsidR="00D610BC" w:rsidRPr="00D610BC" w:rsidRDefault="00D610BC" w:rsidP="008A2F04">
            <w:pPr>
              <w:spacing w:line="480" w:lineRule="auto"/>
              <w:ind w:left="709" w:hanging="709"/>
              <w:rPr>
                <w:rFonts w:ascii="Times New Roman" w:hAnsi="Times New Roman" w:cs="Times New Roman"/>
                <w:sz w:val="24"/>
                <w:szCs w:val="24"/>
                <w:lang w:val="en-US"/>
              </w:rPr>
            </w:pPr>
            <w:r w:rsidRPr="00D610BC">
              <w:rPr>
                <w:rFonts w:ascii="Times New Roman" w:hAnsi="Times New Roman" w:cs="Times New Roman"/>
                <w:sz w:val="24"/>
                <w:szCs w:val="24"/>
                <w:lang w:val="en-US"/>
              </w:rPr>
              <w:t>27249/9c439fd3a22644fee56ed771c584303a/NUS_Alcohol_Impact_Students_and_alcohol_2016.pdf</w:t>
            </w:r>
          </w:p>
          <w:p w:rsidR="00D610BC" w:rsidRPr="00D610BC" w:rsidRDefault="00D610BC" w:rsidP="008A2F04">
            <w:pPr>
              <w:spacing w:line="480" w:lineRule="auto"/>
              <w:ind w:left="709" w:hanging="709"/>
              <w:rPr>
                <w:rFonts w:ascii="Times New Roman" w:hAnsi="Times New Roman" w:cs="Times New Roman"/>
                <w:sz w:val="24"/>
                <w:szCs w:val="24"/>
                <w:lang w:val="en-US"/>
              </w:rPr>
            </w:pPr>
          </w:p>
          <w:p w:rsidR="00D610BC" w:rsidRPr="00D610BC" w:rsidRDefault="00D610BC" w:rsidP="008A2F04">
            <w:pPr>
              <w:spacing w:line="480" w:lineRule="auto"/>
              <w:ind w:left="709" w:hanging="709"/>
              <w:rPr>
                <w:rFonts w:ascii="Times New Roman" w:hAnsi="Times New Roman" w:cs="Times New Roman"/>
                <w:sz w:val="24"/>
                <w:szCs w:val="24"/>
                <w:lang w:val="en-US"/>
              </w:rPr>
            </w:pPr>
          </w:p>
          <w:p w:rsidR="00D610BC" w:rsidRPr="00D610BC" w:rsidRDefault="00D610BC" w:rsidP="008A2F04">
            <w:pPr>
              <w:pStyle w:val="Heading1"/>
              <w:spacing w:line="480" w:lineRule="auto"/>
              <w:ind w:left="709" w:hanging="709"/>
              <w:outlineLvl w:val="0"/>
              <w:rPr>
                <w:b w:val="0"/>
                <w:sz w:val="24"/>
                <w:szCs w:val="24"/>
                <w:lang w:val="en-US"/>
              </w:rPr>
            </w:pPr>
            <w:r w:rsidRPr="00D610BC">
              <w:rPr>
                <w:b w:val="0"/>
                <w:sz w:val="24"/>
                <w:szCs w:val="24"/>
                <w:lang w:val="en-US"/>
              </w:rPr>
              <w:t xml:space="preserve">Office of National Statistics (2016) </w:t>
            </w:r>
            <w:r w:rsidRPr="00D610BC">
              <w:rPr>
                <w:b w:val="0"/>
                <w:sz w:val="24"/>
                <w:szCs w:val="24"/>
              </w:rPr>
              <w:t>Adult drinking habits in Great Britain: 2005 to 2016</w:t>
            </w:r>
            <w:r w:rsidRPr="00D610BC">
              <w:rPr>
                <w:b w:val="0"/>
                <w:sz w:val="24"/>
                <w:szCs w:val="24"/>
                <w:lang w:val="en-US"/>
              </w:rPr>
              <w:t xml:space="preserve">. </w:t>
            </w:r>
          </w:p>
          <w:p w:rsidR="00D610BC" w:rsidRPr="00D610BC" w:rsidRDefault="00D610BC" w:rsidP="008A2F04">
            <w:pPr>
              <w:pStyle w:val="Heading1"/>
              <w:spacing w:line="480" w:lineRule="auto"/>
              <w:ind w:left="709" w:hanging="709"/>
              <w:outlineLvl w:val="0"/>
              <w:rPr>
                <w:b w:val="0"/>
                <w:sz w:val="24"/>
                <w:szCs w:val="24"/>
                <w:lang w:val="en-US"/>
              </w:rPr>
            </w:pPr>
            <w:r w:rsidRPr="00D610BC">
              <w:rPr>
                <w:b w:val="0"/>
                <w:sz w:val="24"/>
                <w:szCs w:val="24"/>
                <w:lang w:val="en-US"/>
              </w:rPr>
              <w:t xml:space="preserve">Retrieved from </w:t>
            </w:r>
            <w:hyperlink r:id="rId5" w:history="1">
              <w:r w:rsidRPr="00D610BC">
                <w:rPr>
                  <w:rStyle w:val="Hyperlink"/>
                  <w:b w:val="0"/>
                  <w:color w:val="auto"/>
                  <w:sz w:val="24"/>
                  <w:szCs w:val="24"/>
                  <w:u w:val="none"/>
                  <w:lang w:val="en-US"/>
                </w:rPr>
                <w:t>https://www.ons.gov.uk/peoplepopulationandcommunity/healthandsocialcare/</w:t>
              </w:r>
            </w:hyperlink>
          </w:p>
          <w:p w:rsidR="00D610BC" w:rsidRPr="00D610BC" w:rsidRDefault="00D610BC" w:rsidP="008A2F04">
            <w:pPr>
              <w:pStyle w:val="Heading1"/>
              <w:spacing w:line="480" w:lineRule="auto"/>
              <w:ind w:left="709" w:hanging="709"/>
              <w:outlineLvl w:val="0"/>
              <w:rPr>
                <w:b w:val="0"/>
                <w:sz w:val="24"/>
                <w:szCs w:val="24"/>
                <w:lang w:val="en-US"/>
              </w:rPr>
            </w:pPr>
            <w:proofErr w:type="gramStart"/>
            <w:r w:rsidRPr="00D610BC">
              <w:rPr>
                <w:b w:val="0"/>
                <w:sz w:val="24"/>
                <w:szCs w:val="24"/>
                <w:lang w:val="en-US"/>
              </w:rPr>
              <w:t>drugusealcoholandsmoking/bulletins/opinionsandlifestylesurveyadultdrinkinghabitsingreatbritain/2005to2016</w:t>
            </w:r>
            <w:proofErr w:type="gramEnd"/>
          </w:p>
          <w:p w:rsidR="00D610BC" w:rsidRPr="00D610BC" w:rsidRDefault="00D610BC" w:rsidP="008A2F04">
            <w:pPr>
              <w:spacing w:line="480" w:lineRule="auto"/>
              <w:ind w:left="709" w:hanging="709"/>
              <w:rPr>
                <w:rFonts w:ascii="Times New Roman" w:hAnsi="Times New Roman" w:cs="Times New Roman"/>
                <w:sz w:val="24"/>
                <w:szCs w:val="24"/>
              </w:rPr>
            </w:pPr>
            <w:r w:rsidRPr="00D610BC">
              <w:rPr>
                <w:rFonts w:ascii="Times New Roman" w:hAnsi="Times New Roman" w:cs="Times New Roman"/>
                <w:sz w:val="24"/>
                <w:szCs w:val="24"/>
              </w:rPr>
              <w:t xml:space="preserve">Ross, A., &amp; Jackson, M. (2013). Investigating the theory of planned behaviour’s application to binge drinking among university students. </w:t>
            </w:r>
            <w:r w:rsidRPr="00D610BC">
              <w:rPr>
                <w:rFonts w:ascii="Times New Roman" w:hAnsi="Times New Roman" w:cs="Times New Roman"/>
                <w:i/>
                <w:iCs/>
                <w:sz w:val="24"/>
                <w:szCs w:val="24"/>
              </w:rPr>
              <w:t>Journal of Substance Use</w:t>
            </w:r>
            <w:r w:rsidRPr="00D610BC">
              <w:rPr>
                <w:rFonts w:ascii="Times New Roman" w:hAnsi="Times New Roman" w:cs="Times New Roman"/>
                <w:sz w:val="24"/>
                <w:szCs w:val="24"/>
              </w:rPr>
              <w:t xml:space="preserve">, </w:t>
            </w:r>
            <w:r w:rsidRPr="00D610BC">
              <w:rPr>
                <w:rFonts w:ascii="Times New Roman" w:hAnsi="Times New Roman" w:cs="Times New Roman"/>
                <w:i/>
                <w:iCs/>
                <w:sz w:val="24"/>
                <w:szCs w:val="24"/>
              </w:rPr>
              <w:t>18</w:t>
            </w:r>
            <w:r w:rsidRPr="00D610BC">
              <w:rPr>
                <w:rFonts w:ascii="Times New Roman" w:hAnsi="Times New Roman" w:cs="Times New Roman"/>
                <w:sz w:val="24"/>
                <w:szCs w:val="24"/>
              </w:rPr>
              <w:t>(3), 184-195.</w:t>
            </w:r>
          </w:p>
          <w:p w:rsidR="00D610BC" w:rsidRPr="00D610BC" w:rsidRDefault="00D610BC" w:rsidP="008A2F04">
            <w:pPr>
              <w:spacing w:line="480" w:lineRule="auto"/>
              <w:ind w:left="709" w:hanging="709"/>
              <w:rPr>
                <w:rFonts w:ascii="Times New Roman" w:hAnsi="Times New Roman" w:cs="Times New Roman"/>
                <w:sz w:val="24"/>
                <w:szCs w:val="24"/>
                <w:lang w:val="en-US"/>
              </w:rPr>
            </w:pPr>
          </w:p>
          <w:p w:rsidR="00D610BC" w:rsidRPr="00D610BC" w:rsidRDefault="00D610BC" w:rsidP="008A2F04">
            <w:pPr>
              <w:spacing w:line="480" w:lineRule="auto"/>
              <w:ind w:left="709" w:hanging="709"/>
              <w:rPr>
                <w:rFonts w:ascii="Times New Roman" w:hAnsi="Times New Roman" w:cs="Times New Roman"/>
                <w:sz w:val="24"/>
                <w:szCs w:val="24"/>
                <w:lang w:val="en-US"/>
              </w:rPr>
            </w:pPr>
            <w:r w:rsidRPr="00D610BC">
              <w:rPr>
                <w:rFonts w:ascii="Times New Roman" w:hAnsi="Times New Roman" w:cs="Times New Roman"/>
                <w:sz w:val="24"/>
                <w:szCs w:val="24"/>
                <w:lang w:val="en-US"/>
              </w:rPr>
              <w:t xml:space="preserve">Retrieved from </w:t>
            </w:r>
            <w:r w:rsidRPr="00D610BC">
              <w:rPr>
                <w:rFonts w:ascii="Times New Roman" w:hAnsi="Times New Roman" w:cs="Times New Roman"/>
                <w:sz w:val="24"/>
                <w:szCs w:val="24"/>
              </w:rPr>
              <w:t xml:space="preserve"> </w:t>
            </w:r>
            <w:r w:rsidRPr="00D610BC">
              <w:rPr>
                <w:rFonts w:ascii="Times New Roman" w:hAnsi="Times New Roman" w:cs="Times New Roman"/>
                <w:sz w:val="24"/>
                <w:szCs w:val="24"/>
                <w:lang w:val="en-US"/>
              </w:rPr>
              <w:t>https://www.tandfonline.com/doi/abs/10.3109/14659891.2012.661024</w:t>
            </w:r>
          </w:p>
          <w:p w:rsidR="00D610BC" w:rsidRDefault="00D610BC" w:rsidP="007C769C"/>
          <w:p w:rsidR="00D610BC" w:rsidRPr="00D610BC" w:rsidRDefault="00D610BC" w:rsidP="007C769C">
            <w:pPr>
              <w:rPr>
                <w:sz w:val="24"/>
                <w:szCs w:val="24"/>
                <w:lang w:val="en-US"/>
              </w:rPr>
            </w:pPr>
          </w:p>
        </w:tc>
      </w:tr>
    </w:tbl>
    <w:p w:rsidR="000B747C" w:rsidRDefault="000B747C"/>
    <w:sectPr w:rsidR="000B747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53E8"/>
    <w:rsid w:val="000B747C"/>
    <w:rsid w:val="001C4EFA"/>
    <w:rsid w:val="008A2F04"/>
    <w:rsid w:val="009C53E8"/>
    <w:rsid w:val="00D610B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F43E39-CF48-45DD-A739-BD610233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10BC"/>
  </w:style>
  <w:style w:type="paragraph" w:styleId="Heading1">
    <w:name w:val="heading 1"/>
    <w:basedOn w:val="Normal"/>
    <w:link w:val="Heading1Char"/>
    <w:uiPriority w:val="9"/>
    <w:qFormat/>
    <w:rsid w:val="00D610B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D610BC"/>
    <w:pPr>
      <w:spacing w:after="0" w:line="240" w:lineRule="auto"/>
    </w:pPr>
    <w:rPr>
      <w:rFonts w:eastAsiaTheme="minorEastAsia"/>
      <w:lang w:eastAsia="bg-BG"/>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D610BC"/>
    <w:rPr>
      <w:rFonts w:ascii="Times New Roman" w:eastAsia="Times New Roman" w:hAnsi="Times New Roman" w:cs="Times New Roman"/>
      <w:b/>
      <w:bCs/>
      <w:kern w:val="36"/>
      <w:sz w:val="48"/>
      <w:szCs w:val="48"/>
      <w:lang w:eastAsia="bg-BG"/>
    </w:rPr>
  </w:style>
  <w:style w:type="character" w:customStyle="1" w:styleId="tlid-translation">
    <w:name w:val="tlid-translation"/>
    <w:basedOn w:val="DefaultParagraphFont"/>
    <w:rsid w:val="00D610BC"/>
  </w:style>
  <w:style w:type="character" w:customStyle="1" w:styleId="inverted">
    <w:name w:val="inverted"/>
    <w:basedOn w:val="DefaultParagraphFont"/>
    <w:rsid w:val="00D610BC"/>
  </w:style>
  <w:style w:type="character" w:styleId="Hyperlink">
    <w:name w:val="Hyperlink"/>
    <w:basedOn w:val="DefaultParagraphFont"/>
    <w:uiPriority w:val="99"/>
    <w:unhideWhenUsed/>
    <w:rsid w:val="00D610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1675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ons.gov.uk/peoplepopulationandcommunity/healthandsocialcare/" TargetMode="External"/><Relationship Id="rId4" Type="http://schemas.openxmlformats.org/officeDocument/2006/relationships/hyperlink" Target="http://s3-eu-west-1.amazonaws.com/nusdigital/document/docu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5</Pages>
  <Words>1364</Words>
  <Characters>7781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2019-01-29T23:33:00Z</dcterms:created>
  <dcterms:modified xsi:type="dcterms:W3CDTF">2019-01-29T23:57:00Z</dcterms:modified>
</cp:coreProperties>
</file>