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0F8AC" w14:textId="47531172" w:rsidR="001767DE" w:rsidRPr="00690993" w:rsidRDefault="001767DE" w:rsidP="00690993">
      <w:pPr>
        <w:pStyle w:val="Heading2"/>
      </w:pPr>
      <w:r w:rsidRPr="00690993">
        <w:t>AC 1.1</w:t>
      </w:r>
    </w:p>
    <w:p w14:paraId="2D96D328" w14:textId="006B25AC" w:rsidR="00C05F9A" w:rsidRPr="00C05F9A" w:rsidRDefault="00C05F9A" w:rsidP="00F6504A">
      <w:pPr>
        <w:jc w:val="both"/>
      </w:pPr>
      <w:r w:rsidRPr="00C05F9A">
        <w:t xml:space="preserve">Reward </w:t>
      </w:r>
      <w:r w:rsidRPr="00515501">
        <w:t>incorporates</w:t>
      </w:r>
      <w:r w:rsidRPr="00C05F9A">
        <w:t xml:space="preserve"> both financial and non-financial returns that employees receive in exchange for their contribution to organisational objectives. Effective reward systems are built on key principles such as fairness, transparency, consistency, and alignment with organisational goals (Armstrong and Brown, 2024). Fairness and equity are particularly critical, as employees need to perceive rewards as just and proportionate. Where reward arrangements favour senior staff, as observed at GreenFriendlyEco, perceptions of inequity may arise, potentially leading to dissatisfaction, reduced commitment, and increased turnover (Armstrong and Taylor, 2023).</w:t>
      </w:r>
    </w:p>
    <w:p w14:paraId="0E2F7CE7" w14:textId="03540909" w:rsidR="00C05F9A" w:rsidRPr="00C05F9A" w:rsidRDefault="00C05F9A" w:rsidP="00F6504A">
      <w:pPr>
        <w:jc w:val="both"/>
      </w:pPr>
      <w:r w:rsidRPr="00C05F9A">
        <w:t>Transparency is another core principle of effective reward. Employees should clearly understand how rewards are determined and how performance is evaluated (Marchington et al., 2021). While GreenFriendlyEco</w:t>
      </w:r>
      <w:r w:rsidRPr="00515501">
        <w:t>,</w:t>
      </w:r>
      <w:r w:rsidRPr="00C05F9A">
        <w:t xml:space="preserve"> utilises measured day work and standard times, evidence suggests that such systems, if not complemented by meaningful incentives, can reduce motivation and encourage employees to meet only minimum performance expectations (Sam-Mensah et al., 2025). Consistency in reward application is also important, as inconsistent practices can erode trust in management and foster perceptions of bias or favouritism (Armstrong and Taylor, 2023).</w:t>
      </w:r>
    </w:p>
    <w:p w14:paraId="4ED75573" w14:textId="406D4F71" w:rsidR="00C05F9A" w:rsidRPr="00C05F9A" w:rsidRDefault="00B24FE6" w:rsidP="00F6504A">
      <w:pPr>
        <w:jc w:val="both"/>
      </w:pPr>
      <w:r>
        <w:t>It is important that any r</w:t>
      </w:r>
      <w:r w:rsidR="00C05F9A" w:rsidRPr="00C05F9A">
        <w:t xml:space="preserve">eward systems </w:t>
      </w:r>
      <w:r w:rsidR="00537FEE">
        <w:t>are</w:t>
      </w:r>
      <w:r w:rsidR="00C05F9A" w:rsidRPr="00C05F9A">
        <w:t xml:space="preserve"> closely aligned with organisational objectives to reinforce desired behaviours such as productivity, quality, and sustainability. Inclusive reward practices that are applied across all levels of the workforce support a sense of value and belonging, helping to strengthen the psychological contract between employer and employee (Baskin, 2023; Robbins and Judge, 2024). Organisational culture is strongly influenced by the behaviours that are recognised and rewarded, and limited recognition may lead to a culture of compliance rather than engagement. At GreenFriendlyEco, the absence of reward incentives could be a significant factor contributing to low morale and weak employee engagement.</w:t>
      </w:r>
    </w:p>
    <w:p w14:paraId="35F60B13" w14:textId="02F68BEF" w:rsidR="00C05F9A" w:rsidRPr="00C05F9A" w:rsidRDefault="00C05F9A" w:rsidP="00F6504A">
      <w:pPr>
        <w:jc w:val="both"/>
      </w:pPr>
      <w:r w:rsidRPr="00C05F9A">
        <w:t>The importance of reward to performance management lies in its ability to reinforce performance expectations and encourage continuous improvement. Systems that rely solely on control mechanisms, such as standard times, are unlikely to motivate employees without clear links to performance outcomes (Dessler, 2020). Research indicates that effective reward practices are strongly associated with higher engagement and motivation, which in turn support improved organisational performance (CIPD, 2025</w:t>
      </w:r>
      <w:r w:rsidRPr="00690993">
        <w:t>)</w:t>
      </w:r>
    </w:p>
    <w:p w14:paraId="3B1399C4" w14:textId="40381089" w:rsidR="00C05F9A" w:rsidRPr="00690993" w:rsidRDefault="00C05F9A" w:rsidP="00F6504A">
      <w:pPr>
        <w:jc w:val="both"/>
      </w:pPr>
      <w:r w:rsidRPr="00C05F9A">
        <w:t>In conclusion, the principles of reward</w:t>
      </w:r>
      <w:r w:rsidR="00515501" w:rsidRPr="00690993">
        <w:t xml:space="preserve"> </w:t>
      </w:r>
      <w:r w:rsidRPr="00C05F9A">
        <w:t>fairness, transparency, consistency, and alignment with organisational goals</w:t>
      </w:r>
      <w:r w:rsidR="00515501" w:rsidRPr="00690993">
        <w:t xml:space="preserve"> </w:t>
      </w:r>
      <w:r w:rsidRPr="00C05F9A">
        <w:t>play a critical role in shaping organisational culture and enhancing performance management. For GreenFriendlyEco, implementing fair, transparent, and inclusive reward practices would help improve motivation, encourage positive behaviours, and address issues of negative culture and employee turnover.</w:t>
      </w:r>
    </w:p>
    <w:p w14:paraId="5166FCD0" w14:textId="1E9E252F" w:rsidR="00690993" w:rsidRDefault="00690993" w:rsidP="00F6504A">
      <w:pPr>
        <w:pStyle w:val="Heading2"/>
        <w:jc w:val="both"/>
      </w:pPr>
      <w:r>
        <w:t>AC 1.2</w:t>
      </w:r>
    </w:p>
    <w:p w14:paraId="107C81DD" w14:textId="1E87AEB5" w:rsidR="001F467A" w:rsidRDefault="001F467A" w:rsidP="00F6504A">
      <w:pPr>
        <w:jc w:val="both"/>
      </w:pPr>
      <w:r>
        <w:t xml:space="preserve">As identified, GreenFriendlyEco is experiencing increased employee turnover alongside a negative organisational culture, suggesting weaknesses within its current reward approach. The absence of formal incentive schemes and the reliance on measured day work indicate limited motivation for employees to exceed minimum performance standards or demonstrate </w:t>
      </w:r>
      <w:r>
        <w:lastRenderedPageBreak/>
        <w:t xml:space="preserve">discretionary effort. Evidence shows that both extrinsic and intrinsic rewards make a significant contribution to improving employee contribution and sustaining organisational performance when applied in a balanced and strategic way. This is particularly relevant in manufacturing contexts, where employee motivation directly influences productivity, quality </w:t>
      </w:r>
      <w:r w:rsidR="003E1274">
        <w:t>outcomes,</w:t>
      </w:r>
      <w:r>
        <w:t xml:space="preserve"> and workforce retention (Armstrong and Brown, 2024; CIPD, 2025a).</w:t>
      </w:r>
    </w:p>
    <w:p w14:paraId="6629259C" w14:textId="338B952F" w:rsidR="001F467A" w:rsidRDefault="001F467A" w:rsidP="00F6504A">
      <w:pPr>
        <w:jc w:val="both"/>
      </w:pPr>
      <w:r>
        <w:t xml:space="preserve">Extrinsic rewards, such as pay, bonuses and benefits, provide tangible recognition for performance and are effective in driving short-term improvements in productivity, </w:t>
      </w:r>
      <w:r w:rsidR="00454731">
        <w:t>attendance,</w:t>
      </w:r>
      <w:r>
        <w:t xml:space="preserve"> and retention (Armstrong and Taylor, 2023). At GreenFriendlyEco, the introduction of performance-related or skill-based pay could encourage employees to increase effort, improve output </w:t>
      </w:r>
      <w:r w:rsidR="00454731">
        <w:t>quality,</w:t>
      </w:r>
      <w:r>
        <w:t xml:space="preserve"> and take greater ownership of their work, thereby enhancing individual and team contribution. The CIPD (2025) emphasises that fair and transparent reward systems strengthen the employee</w:t>
      </w:r>
      <w:r w:rsidR="00365440">
        <w:t xml:space="preserve"> </w:t>
      </w:r>
      <w:r w:rsidR="00454731">
        <w:t>-</w:t>
      </w:r>
      <w:r w:rsidR="00365440">
        <w:t xml:space="preserve"> </w:t>
      </w:r>
      <w:r>
        <w:t xml:space="preserve">employer relationship by reinforcing perceptions of </w:t>
      </w:r>
      <w:r w:rsidR="00365440">
        <w:t>fairness</w:t>
      </w:r>
      <w:r>
        <w:t xml:space="preserve"> and organisational support. This, in turn, supports sustained organisational performance through reduced turnover and improved workforce stability. However, where extrinsic rewards are relied upon in isolation, they may promote compliance rather than commitment and encourage a narrow focus on measurable outputs, potentially limiting longer-term engagement and innovation (Robbins and Judge, 2024).</w:t>
      </w:r>
    </w:p>
    <w:p w14:paraId="0D392796" w14:textId="544121E0" w:rsidR="001F467A" w:rsidRDefault="001F467A" w:rsidP="00F6504A">
      <w:pPr>
        <w:jc w:val="both"/>
      </w:pPr>
      <w:r>
        <w:t xml:space="preserve">In contrast, intrinsic rewards relate to the psychological benefits employees derive from their work, including recognition, autonomy, skill </w:t>
      </w:r>
      <w:r w:rsidR="00454731">
        <w:t>development,</w:t>
      </w:r>
      <w:r>
        <w:t xml:space="preserve"> and a sense of meaningful contribution (Armstrong and Brown, 2024). Research suggests that intrinsic rewards have a stronger influence on sustained motivation, discretionary </w:t>
      </w:r>
      <w:r w:rsidR="00454731">
        <w:t>effort,</w:t>
      </w:r>
      <w:r>
        <w:t xml:space="preserve"> and organisational commitment, all of which are critical to long-term performance improvement (CIPD, 2025). For GreenFriendlyEco, initiatives such as recognition schemes, enhanced learning and development opportunities and greater employee involvement in decision-making could improve morale, rebuild </w:t>
      </w:r>
      <w:r w:rsidR="00454731">
        <w:t>trust,</w:t>
      </w:r>
      <w:r>
        <w:t xml:space="preserve"> and encourage employees to contribute beyond contractual expectations. As a result, intrinsic rewards support sustained organisational performance by strengthening engagement, reducing turnover and fostering a more positive workplace culture (Green, 2018).</w:t>
      </w:r>
    </w:p>
    <w:p w14:paraId="5F6B5012" w14:textId="6955B356" w:rsidR="001F467A" w:rsidRDefault="001F467A" w:rsidP="00F6504A">
      <w:pPr>
        <w:jc w:val="both"/>
      </w:pPr>
      <w:r>
        <w:t xml:space="preserve">The greatest contribution to sustained organisational performance is achieved when extrinsic and intrinsic rewards are integrated within a total reward framework (CIPD, 2025a). Armstrong and Brown (2024) argue that combining financial incentives with recognition, development and employee voice creates a more resilient, </w:t>
      </w:r>
      <w:r w:rsidR="003E1274">
        <w:t>motivated,</w:t>
      </w:r>
      <w:r>
        <w:t xml:space="preserve"> and productive workforce. For GreenFriendlyEco, adopting such an approach would enhance immediate employee contribution by aligning rewards with performance expectations, while also supporting long-term cultural change, improving retention and sustaining organisational performance through higher levels of engagement and commitment.</w:t>
      </w:r>
    </w:p>
    <w:p w14:paraId="794371A1" w14:textId="6118B38F" w:rsidR="00B95C3E" w:rsidRDefault="00B95C3E" w:rsidP="00F6504A">
      <w:pPr>
        <w:pStyle w:val="Heading2"/>
        <w:jc w:val="both"/>
      </w:pPr>
      <w:r>
        <w:t xml:space="preserve">AC </w:t>
      </w:r>
      <w:r w:rsidR="00D121B8">
        <w:t>2.1</w:t>
      </w:r>
    </w:p>
    <w:p w14:paraId="1C706846" w14:textId="77777777" w:rsidR="00BE2ACB" w:rsidRDefault="00BE2ACB" w:rsidP="00F6504A">
      <w:pPr>
        <w:jc w:val="both"/>
      </w:pPr>
      <w:r>
        <w:t>Grade and pay structures provide a formal framework for determining how employees are rewarded within an organisation, and different approaches present distinct advantages and limitations. Within GreenFriendlyEco, selecting an appropriate structure is particularly important to ensure fairness, transparency, and consistency with the organisation’s sustainability-driven values and long-term growth objectives.</w:t>
      </w:r>
    </w:p>
    <w:p w14:paraId="4FD66AA6" w14:textId="44585164" w:rsidR="00BE2ACB" w:rsidRDefault="00BE2ACB" w:rsidP="00F6504A">
      <w:pPr>
        <w:jc w:val="both"/>
      </w:pPr>
      <w:r>
        <w:lastRenderedPageBreak/>
        <w:t>A graded pay structure is one of the most widely adopted systems in both the private and public sectors. This approach groups jobs of comparable size, responsibility, and contribution into a series of grades, each linked to a defined pay range (CIPD, 2025</w:t>
      </w:r>
      <w:r w:rsidR="005D6C8A">
        <w:t>c</w:t>
      </w:r>
      <w:r w:rsidR="00A31398">
        <w:t>)</w:t>
      </w:r>
      <w:r>
        <w:t>. Progression within a grade is typically based on factors such as experience, skill acquisition, and performance, providing a clear and structured pathway for pay development. For GreenFriendlyEco, a graded structure could enhance internal equity by ensuring that roles contributing similar value to environmental performance and operational effectiveness are rewarded consistently. Research suggests that such transparency supports employee perceptions of fairness and strengthens trust in pay decisions, which can positively influence engagement, retention, and overall organisational commitment (</w:t>
      </w:r>
      <w:r w:rsidR="001735AB">
        <w:t>Mohrenweiser</w:t>
      </w:r>
      <w:r w:rsidR="00960A3A">
        <w:t xml:space="preserve"> &amp; Pfeifer</w:t>
      </w:r>
      <w:r>
        <w:t xml:space="preserve">, 2023). However, </w:t>
      </w:r>
      <w:r w:rsidR="001A071A">
        <w:t>Graded structures can be administratively rigid and may struggle to accommodate emerging or rapidly evolving roles, particularly in areas such as sustainability innovation or environmental data analysis, where job responsibilities often expand beyond traditional grade definitions</w:t>
      </w:r>
      <w:r w:rsidR="00B33D88">
        <w:t xml:space="preserve"> (One</w:t>
      </w:r>
      <w:r w:rsidR="00E60D9C">
        <w:t xml:space="preserve"> et al, 2018)</w:t>
      </w:r>
      <w:r w:rsidR="00A31398">
        <w:t>.</w:t>
      </w:r>
    </w:p>
    <w:p w14:paraId="210CDF7D" w14:textId="1D4EE7CC" w:rsidR="00BE2ACB" w:rsidRDefault="00BE2ACB" w:rsidP="00F6504A">
      <w:pPr>
        <w:jc w:val="both"/>
      </w:pPr>
      <w:r>
        <w:t>In contrast, a narrow-banded pay structure represents a more tightly defined variation of the graded approach. Narrow banding involves a larger number of grades with relatively small pay ranges, allowing organisations to differentiate pay more precisely based on job size and responsibility (CIPD, 2025</w:t>
      </w:r>
      <w:r w:rsidR="005D6C8A">
        <w:t>b</w:t>
      </w:r>
      <w:r>
        <w:t>; CIPD, 2025</w:t>
      </w:r>
      <w:r w:rsidR="005D6C8A">
        <w:t>c</w:t>
      </w:r>
      <w:r>
        <w:t xml:space="preserve">). This structure can be particularly effective in reinforcing pay control and maintaining strong internal </w:t>
      </w:r>
      <w:r w:rsidR="00CD0441">
        <w:t>relationships</w:t>
      </w:r>
      <w:r>
        <w:t>. For GreenFriendlyEco, narrow banding could support a strong sense of procedural fairness by clearly distinguishing between roles at various levels of environmental or technical responsibility. Narrow pay bands can also reduce the risk of pay drift and help organisations maintain consistency during periods of controlled growth (CIPD, 2025</w:t>
      </w:r>
      <w:r w:rsidR="005D6C8A">
        <w:t>c</w:t>
      </w:r>
      <w:r>
        <w:t>). However, limited pay ranges may restrict progression opportunities within roles, increasing the likelihood of grade inflation or employee dissatisfaction if promotion opportunities are scarce. This may be especially challenging for knowledge-based sustainability roles where skill development does not always align neatly with hierarchical advancement (</w:t>
      </w:r>
      <w:r w:rsidR="00960A3A">
        <w:t>Mohrenweiser &amp; Pfeifer</w:t>
      </w:r>
      <w:r>
        <w:t>).</w:t>
      </w:r>
    </w:p>
    <w:p w14:paraId="487CEFEF" w14:textId="19766DBC" w:rsidR="00C14127" w:rsidRDefault="00BE2ACB" w:rsidP="00F6504A">
      <w:pPr>
        <w:jc w:val="both"/>
      </w:pPr>
      <w:r>
        <w:t>Overall, while both graded and narrow-banded structures promote clarity, fairness, and accountability, GreenFriendlyEco must balance control with flexibility to ensure pay arrangements support innovation, employee motivation, and evolving sustainability priorities (</w:t>
      </w:r>
      <w:r w:rsidR="003C011D">
        <w:t>Brauer</w:t>
      </w:r>
      <w:r>
        <w:t>, 2025).</w:t>
      </w:r>
    </w:p>
    <w:p w14:paraId="420ED789" w14:textId="6DBC3111" w:rsidR="00D530DB" w:rsidRDefault="00D530DB" w:rsidP="00D530DB">
      <w:pPr>
        <w:pStyle w:val="Heading2"/>
        <w:jc w:val="both"/>
      </w:pPr>
      <w:r>
        <w:t>AC 2.</w:t>
      </w:r>
      <w:r>
        <w:t>2</w:t>
      </w:r>
    </w:p>
    <w:p w14:paraId="34B8A581" w14:textId="77777777" w:rsidR="00292376" w:rsidRDefault="00292376" w:rsidP="00292376">
      <w:pPr>
        <w:jc w:val="both"/>
      </w:pPr>
      <w:r>
        <w:t>At GreenFriendlyEco, introducing contingent rewards could significantly influence performance at individual, team, and organisational levels. Contingent rewards are forms of recognition or financial incentive provided based on achieving pre-defined performance standards, targets, or behaviours (Armstrong and Brown, 2024). These rewards link effort and contribution directly to outcomes, creating a clear line of sight between performance and recognition.</w:t>
      </w:r>
    </w:p>
    <w:p w14:paraId="2AB21224" w14:textId="77777777" w:rsidR="00292376" w:rsidRDefault="00292376" w:rsidP="00292376">
      <w:pPr>
        <w:jc w:val="both"/>
      </w:pPr>
      <w:r>
        <w:t xml:space="preserve">At an individual level, contingent rewards can enhance motivation, engagement, and accountability. Employees in production roles at GreenFriendlyEco, operating under measured day work and standard times, could benefit from performance-related bonuses or piece-rate incentives. According to self-determination theory, contingent rewards can strengthen intrinsic motivation when aligned with personal competence and achievement, while also satisfying extrinsic motivational needs (Lin et al., 2022). Recognition for meeting or </w:t>
      </w:r>
      <w:r>
        <w:lastRenderedPageBreak/>
        <w:t>exceeding production targets may reduce turnover among skilled and non-skilled employees by demonstrating that effort is valued and rewarded (CIPD, 2025e).</w:t>
      </w:r>
    </w:p>
    <w:p w14:paraId="0C6EC579" w14:textId="77777777" w:rsidR="00292376" w:rsidRDefault="00292376" w:rsidP="00292376">
      <w:pPr>
        <w:jc w:val="both"/>
      </w:pPr>
      <w:r>
        <w:t>At a team level, contingent rewards can promote collaboration and collective responsibility. For example, offering team-based bonuses linked to overall production efficiency or quality targets encourages cooperation, knowledge sharing, and mutual support among workers. Evidence suggests that contingent rewards aligned with team outcomes improve communication, cohesion, and accountability, fostering a sense of shared purpose (CIPD, 2025e; Gallup, 2024). In a workplace like GreenFriendlyEco, where the current culture has been described as negative, team-based contingent rewards could shift dynamics towards collaboration and positive reinforcement rather than individual competition alone.</w:t>
      </w:r>
    </w:p>
    <w:p w14:paraId="109A76FF" w14:textId="77777777" w:rsidR="00292376" w:rsidRDefault="00292376" w:rsidP="00292376">
      <w:pPr>
        <w:jc w:val="both"/>
      </w:pPr>
      <w:r>
        <w:t>At an organisational level, contingent rewards can reinforce strategic objectives and support performance management. Linking rewards to company-wide targets, such as reducing waste, improving production efficiency, or meeting sustainability benchmarks, aligns employee behaviour with organisational goals (Armstrong and Brown, 2024). A structured contingent reward system can also aid retention by demonstrating fairness and transparency, which is particularly important for GreenFriendlyEco as it seeks to reduce turnover and improve engagement (CIPD, 2025a). Additionally, effective contingent rewards can foster a performance-oriented culture where employees understand how their contributions impact business success, improving overall organisational productivity and profitability.</w:t>
      </w:r>
    </w:p>
    <w:p w14:paraId="10D3C56B" w14:textId="77777777" w:rsidR="00292376" w:rsidRDefault="00292376" w:rsidP="00292376">
      <w:pPr>
        <w:jc w:val="both"/>
      </w:pPr>
      <w:r>
        <w:t>However, it is important to design contingent rewards carefully. Poorly structured incentives can lead to short-term focus, unhealthy competition, or a neglect of non-rewarded activities (Dessler, 2020). GreenFriendlyEco should therefore balance individual, team, and organisational incentives while maintaining clear performance metrics and fair evaluation processes.</w:t>
      </w:r>
    </w:p>
    <w:p w14:paraId="315E587A" w14:textId="54B53BB9" w:rsidR="00292376" w:rsidRPr="00292376" w:rsidRDefault="00292376" w:rsidP="00292376">
      <w:pPr>
        <w:jc w:val="both"/>
      </w:pPr>
      <w:r>
        <w:t xml:space="preserve">In conclusion, contingent rewards, when strategically designed, can enhance individual motivation, foster team cohesion, and align employee behaviour with organisational objectives, providing a robust approach to improving performance and culture at </w:t>
      </w:r>
      <w:r w:rsidR="00A8776E">
        <w:t>GreenFriendlyEco.</w:t>
      </w:r>
    </w:p>
    <w:p w14:paraId="32893571" w14:textId="18D8583E" w:rsidR="00AC1E06" w:rsidRDefault="00AC1E06" w:rsidP="00AC1E06">
      <w:pPr>
        <w:pStyle w:val="Heading2"/>
        <w:jc w:val="both"/>
      </w:pPr>
      <w:r>
        <w:t>AC 2.</w:t>
      </w:r>
      <w:r w:rsidR="00BC1499">
        <w:t>3</w:t>
      </w:r>
    </w:p>
    <w:p w14:paraId="569C5741" w14:textId="4A8D8A3F" w:rsidR="00483D66" w:rsidRDefault="00483D66" w:rsidP="00483D66">
      <w:pPr>
        <w:spacing w:before="0" w:line="259" w:lineRule="auto"/>
        <w:jc w:val="both"/>
      </w:pPr>
      <w:r>
        <w:t>To fully realise how benefits can contribute to a healthier workplace, organisations must understand the common issues affecting employees that lead to short</w:t>
      </w:r>
      <w:r w:rsidR="00C209B1">
        <w:t xml:space="preserve"> </w:t>
      </w:r>
      <w:r>
        <w:t>and long-term absence (CIPD, 2025f). Offering additional benefits is a key strategy for improving employee productivity and organisational commitment. For GreenFriendlyEco, introducing benefits such as flexible working, family-friendly policies and private health insurance (PHI) could provide clear advantages in addressing high turnover and a negative workplace culture.</w:t>
      </w:r>
    </w:p>
    <w:p w14:paraId="46CC46FC" w14:textId="11F8F03E" w:rsidR="00483D66" w:rsidRDefault="00483D66" w:rsidP="00483D66">
      <w:pPr>
        <w:spacing w:before="0" w:line="259" w:lineRule="auto"/>
        <w:jc w:val="both"/>
      </w:pPr>
      <w:r>
        <w:t xml:space="preserve">One major merit of flexible working is its positive impact on employee wellbeing. Flexible working arrangements, including flexible hours, remote or hybrid working and additional leave options, enable employees to better balance work and personal responsibilities. Research by the CIPD (2025g) identifies flexible working as a key factor in reducing stress, </w:t>
      </w:r>
      <w:r w:rsidR="00211C0B">
        <w:t>burnout,</w:t>
      </w:r>
      <w:r>
        <w:t xml:space="preserve"> and work–life conflict, which are significant contributors to absenteeism and employee turnover. Employees who feel trusted and supported are more likely to be motivated and engaged (CIPD, 2025f)</w:t>
      </w:r>
    </w:p>
    <w:p w14:paraId="25CBFA61" w14:textId="3A0956DB" w:rsidR="00483D66" w:rsidRDefault="00483D66" w:rsidP="00483D66">
      <w:pPr>
        <w:spacing w:before="0" w:line="259" w:lineRule="auto"/>
        <w:jc w:val="both"/>
      </w:pPr>
      <w:r>
        <w:lastRenderedPageBreak/>
        <w:t>Similarly, family-friendly policies enable organisations to support employees across different life stages and health</w:t>
      </w:r>
      <w:r w:rsidR="0003671F">
        <w:t xml:space="preserve"> </w:t>
      </w:r>
      <w:r>
        <w:t xml:space="preserve">related needs. These may include enhanced maternity and paternity pay, parental leave, carers’ leave and menopause support. Clemo (2025) highlights how the introduction of family-friendly working practices, including a menopause policy and enhanced maternity benefits, helped create a more inclusive and supportive working environment, transforming an organisation from low employee satisfaction to achieving Great Place to Work certification. Such initiatives demonstrate organisational commitment to fairness, </w:t>
      </w:r>
      <w:r w:rsidR="00F53523">
        <w:t>inclusion,</w:t>
      </w:r>
      <w:r>
        <w:t xml:space="preserve"> and wellbeing. Dawson (2025) further reports that research conducted by Working Families and Bright Horizons found that 48% of UK parents with access to enhanced parental leave experienced higher job satisfaction and engagement. </w:t>
      </w:r>
    </w:p>
    <w:p w14:paraId="1D5123FF" w14:textId="77777777" w:rsidR="00483D66" w:rsidRDefault="00483D66" w:rsidP="00483D66">
      <w:pPr>
        <w:spacing w:before="0" w:line="259" w:lineRule="auto"/>
        <w:jc w:val="both"/>
      </w:pPr>
      <w:r>
        <w:t>Another valuable benefit is private health insurance (PHI), which offers advantages for both employees and employers. Paton (2023) reports that over 50% of employees consider access to PHI through their employer to be a key benefit, highlighting its importance within the overall reward package. PHI also strengthens the employer value proposition and supports attraction and retention in competitive labour markets. From an employee perspective, PHI provides faster access to medical diagnosis and treatment, reducing waiting times and supporting quicker recovery, which can enhance wellbeing and job satisfaction (CIPD, 2025g</w:t>
      </w:r>
    </w:p>
    <w:p w14:paraId="2C0CD4B2" w14:textId="77777777" w:rsidR="002B69EC" w:rsidRDefault="00483D66" w:rsidP="00483D66">
      <w:pPr>
        <w:spacing w:before="0" w:line="259" w:lineRule="auto"/>
        <w:jc w:val="both"/>
      </w:pPr>
      <w:r>
        <w:t>Overall, promoting employee wellbeing through a comprehensive benefits offering can help prevent stress and create a more positive workplace culture. Good health and wellbeing are recognised as key enablers of employee engagement and organisational performance (Suff, 2025). For GreenFriendlyEco, introducing flexible working, family-friendly policies and PHI would demonstrate a clear commitment to employee wellbeing, support cultural change, and help address ongoing issues of turnover and low morale.</w:t>
      </w:r>
    </w:p>
    <w:p w14:paraId="19C6C1D6" w14:textId="20A8212C" w:rsidR="00BC1499" w:rsidRDefault="00BC1499" w:rsidP="00BC1499">
      <w:pPr>
        <w:pStyle w:val="Heading2"/>
        <w:jc w:val="both"/>
      </w:pPr>
      <w:r>
        <w:t>AC 2.</w:t>
      </w:r>
      <w:r w:rsidR="00997433">
        <w:t>4</w:t>
      </w:r>
    </w:p>
    <w:p w14:paraId="16EEF842" w14:textId="77777777" w:rsidR="00AF49A2" w:rsidRPr="00577F10" w:rsidRDefault="00AF49A2" w:rsidP="00AF49A2">
      <w:pPr>
        <w:spacing w:before="0" w:line="259" w:lineRule="auto"/>
        <w:jc w:val="both"/>
      </w:pPr>
      <w:r w:rsidRPr="00577F10">
        <w:t>At GreenFriendlyEco, the absence of formal recognition and reward schemes is contributing to low employee engagement and rising turnover among both skilled and non-skilled staff. Recognition plays a vital role in motivating employees, fostering a sense of achievement, and ensuring individuals feel valued for their contributions. Evidence shows that effective recognition not only enhances engagement but also improves productivity, strengthens loyalty, and supports higher retention levels (Gallup, 2024). Recognition can be delivered through financial schemes, which provide direct monetary rewards, or non-financial schemes, which acknowledge contribution without pay-related incentives.</w:t>
      </w:r>
    </w:p>
    <w:p w14:paraId="68B6B5BE" w14:textId="77777777" w:rsidR="00AF49A2" w:rsidRPr="00577F10" w:rsidRDefault="00AF49A2" w:rsidP="00AF49A2">
      <w:pPr>
        <w:spacing w:before="0" w:line="259" w:lineRule="auto"/>
        <w:jc w:val="both"/>
      </w:pPr>
      <w:r w:rsidRPr="00577F10">
        <w:t>Public recognition, such as awards, certificates, or formal commendations, offers a visible way of reinforcing positive behaviours and organisational values. This form of recognition signals that employees are valued beyond basic pay, which can strengthen engagement and commitment. Armstrong and Taylor (2023) highlight that visible recognition supports motivation, while Baskin (2023) notes its role in enhancing psychological safety by encouraging employees to perform confidently without fear of criticism. CIPD (2025e) further emphasises that public recognition is most effective when it is timely, transparent, and linked to clearly defined criteria, promoting fairness and trust. Implemented consistently, public recognition could help GreenFriendlyEco move towards a more positive and performance-focused culture.</w:t>
      </w:r>
    </w:p>
    <w:p w14:paraId="44673BF3" w14:textId="77777777" w:rsidR="00AF49A2" w:rsidRPr="00577F10" w:rsidRDefault="00AF49A2" w:rsidP="00AF49A2">
      <w:pPr>
        <w:spacing w:before="0" w:line="259" w:lineRule="auto"/>
        <w:jc w:val="both"/>
      </w:pPr>
      <w:r w:rsidRPr="00577F10">
        <w:t xml:space="preserve">Private recognition from managers, peers, or customers provides a more personalised approach. Sincere and tailored acknowledgement has been shown to strengthen engagement, deepen employees’ sense of belonging, and reduce turnover by building trust in leadership (Gallup, 2024). CIPD (2025e) highlights that employees who feel genuinely valued are more likely to demonstrate discretionary effort. At GreenFriendlyEco, private recognition </w:t>
      </w:r>
      <w:r w:rsidRPr="00577F10">
        <w:lastRenderedPageBreak/>
        <w:t>could take the form of regular manager feedback, informal praise, or peer recognition for exceeding expected performance, reinforcing positive behavioural norms within teams.</w:t>
      </w:r>
    </w:p>
    <w:p w14:paraId="4773B1C4" w14:textId="77777777" w:rsidR="00AF49A2" w:rsidRPr="00577F10" w:rsidRDefault="00AF49A2" w:rsidP="00AF49A2">
      <w:pPr>
        <w:spacing w:before="0" w:line="259" w:lineRule="auto"/>
        <w:jc w:val="both"/>
      </w:pPr>
      <w:r w:rsidRPr="00577F10">
        <w:t>Monetary awards, including pay increases, prizes, or sponsored trips, provide tangible recognition that directly reinforces performance and achievement. Armstrong and Brown (2024) argue that financial incentives are most effective when linked to measurable outcomes, which aligns well with GreenFriendlyEco’s existing system of standard times. CIPD (2025e) notes that monetary awards can also enhance engagement and retention while supporting a transparent reward culture (Brauer, 2025). A key benefit of this approach is the clear and immediate link it creates between effort and reward, which can motivate employees to meet or exceed performance expectations.</w:t>
      </w:r>
    </w:p>
    <w:p w14:paraId="3C7799E6" w14:textId="77777777" w:rsidR="00AF49A2" w:rsidRDefault="00AF49A2" w:rsidP="00AF49A2">
      <w:pPr>
        <w:spacing w:before="0" w:line="259" w:lineRule="auto"/>
        <w:jc w:val="both"/>
      </w:pPr>
      <w:r w:rsidRPr="00577F10">
        <w:t>In summary, adopting a combination of public recognition, private acknowledgement, and monetary awards offers GreenFriendlyEco a practical and balanced approach to improving engagement, morale, and retention. Together, these forms of recognition can create a fair, transparent, and motivating reward system that reduces turnover and supports the organisation’s long-term success.</w:t>
      </w:r>
    </w:p>
    <w:p w14:paraId="3A0B9591" w14:textId="774E2495" w:rsidR="00AF49A2" w:rsidRDefault="00AF49A2" w:rsidP="00AF49A2">
      <w:pPr>
        <w:pStyle w:val="Heading2"/>
        <w:jc w:val="both"/>
      </w:pPr>
      <w:r>
        <w:t xml:space="preserve">AC </w:t>
      </w:r>
      <w:r w:rsidR="00CF0ACC">
        <w:t>3.1</w:t>
      </w:r>
    </w:p>
    <w:p w14:paraId="5EC327C2" w14:textId="016C1BAF" w:rsidR="00F62349" w:rsidRDefault="00F62349" w:rsidP="00F62349">
      <w:pPr>
        <w:jc w:val="both"/>
      </w:pPr>
      <w:r>
        <w:t xml:space="preserve">The reward environment at GreenFriendlyEco is traditional and cost focused, shaped primarily by long established internal practices rather than current labour market expectations. Internally, the organisation relies on measured day work, standard </w:t>
      </w:r>
      <w:r w:rsidR="00211C0B">
        <w:t>times,</w:t>
      </w:r>
      <w:r>
        <w:t xml:space="preserve"> and tightly defined output targets. This reflects a transactional reward philosophy that prioritises control and consistency over motivation and engagement. Armstrong and Taylor (2023) emphasise that reward systems should be strategically aligned with organisational values and performance objectives; however, at GreenFriendlyEco, reward appears disconnected from individual contribution and the behaviours the organisation seeks to encourage, reinforcing a culture of compliance rather than commitment.</w:t>
      </w:r>
    </w:p>
    <w:p w14:paraId="7FD916B6" w14:textId="77777777" w:rsidR="00F62349" w:rsidRDefault="00F62349" w:rsidP="00F62349">
      <w:pPr>
        <w:jc w:val="both"/>
      </w:pPr>
      <w:r>
        <w:t>The current reward package is narrow, comprising base pay, 28 days paid annual leave and a non-contributory pension scheme. While these provisions provide security and meet baseline expectations, they align with what Armstrong and Brown (2024) describe as “hygiene factors”, which prevent dissatisfaction but do little to motivate employees. A further issue is the awareness that enhanced pension or benefit arrangements apply only to senior staff. The lack of transparency surrounding these arrangements risk increase the idea of unfairness, which research consistently links to lower job satisfaction and increased turnover (Mohrenweiser and Pfeifer, 2023).</w:t>
      </w:r>
    </w:p>
    <w:p w14:paraId="46495122" w14:textId="72375E86" w:rsidR="00F62349" w:rsidRDefault="00F62349" w:rsidP="00F62349">
      <w:pPr>
        <w:jc w:val="both"/>
      </w:pPr>
      <w:r>
        <w:t xml:space="preserve">Externally, GreenFriendlyEco operates in a competitive UK manufacturing labour market where employee expectations have shifted. Both skilled and non-skilled workers increasingly value more holistic reward packages. CIPD (2025a) highlights the importance of a total reward approach that integrates pay, benefits, development, </w:t>
      </w:r>
      <w:r w:rsidR="00211C0B">
        <w:t>wellbeing,</w:t>
      </w:r>
      <w:r>
        <w:t xml:space="preserve"> and recognition. Compared with market norms. GreenFriendlyEco’s reward offer appears limited, weakening its employee value proposition and reducing its ability to attract and retain talent. The absence of incentive schemes, structured recognition or meaningful non-financial rewards leaves the organisation vulnerable to competitors offering more progressive reward frameworks.</w:t>
      </w:r>
    </w:p>
    <w:p w14:paraId="05BA5980" w14:textId="77777777" w:rsidR="00F62349" w:rsidRDefault="00F62349" w:rsidP="00F62349">
      <w:pPr>
        <w:jc w:val="both"/>
      </w:pPr>
      <w:r>
        <w:t xml:space="preserve">While manufacturing organisations often prioritise efficiency and cost control, evidence suggests that well-designed performance-related incentives and recognition schemes can </w:t>
      </w:r>
      <w:r>
        <w:lastRenderedPageBreak/>
        <w:t>enhance productivity and engagement without undermining operational discipline (CIPD, 2025e; Gallup, 2024). Internally, the lack of recognition and employee voice may also be contributing to a psychologically unsafe environment (Baskin, 2023). Bailey (2022) further notes that contemporary reward practice increasingly balances structure and transparency with flexibility, enabling organisations to respond to employee expectations while managing cost pressures.</w:t>
      </w:r>
    </w:p>
    <w:p w14:paraId="6D0DA55E" w14:textId="1285AA85" w:rsidR="00CF0ACC" w:rsidRPr="00CF0ACC" w:rsidRDefault="00F62349" w:rsidP="00F62349">
      <w:pPr>
        <w:jc w:val="both"/>
      </w:pPr>
      <w:r>
        <w:t xml:space="preserve">Overall, GreenFriendlyEco’s reward environment reflects practices that were historically effective in providing stability but are now misaligned with both internal cultural needs and external labour market realities. Without reform, the current reward approach is likely to continue driving disengagement and turnover. A more inclusive, </w:t>
      </w:r>
      <w:r w:rsidR="00211C0B">
        <w:t>transparent,</w:t>
      </w:r>
      <w:r>
        <w:t xml:space="preserve"> and strategically aligned reward framework is therefore essential to support long-term organisational performance and sustainability.</w:t>
      </w:r>
    </w:p>
    <w:p w14:paraId="6F3AB3AB" w14:textId="6E3745CC" w:rsidR="00AF49A2" w:rsidRDefault="00751D5E" w:rsidP="00751D5E">
      <w:pPr>
        <w:pStyle w:val="Heading2"/>
      </w:pPr>
      <w:r>
        <w:t>AC 3.2</w:t>
      </w:r>
    </w:p>
    <w:p w14:paraId="68194831" w14:textId="77777777" w:rsidR="00386243" w:rsidRDefault="00386243" w:rsidP="00386243">
      <w:pPr>
        <w:jc w:val="both"/>
      </w:pPr>
      <w:r>
        <w:t>GreenFriendlyEco’s rising turnover and limited reward practices highlight the need for structured benchmarking to guide improvements in pay, incentives, and recognition. Benchmarking provides vital evidence to assess pay competitiveness, internal fairness, and the impact of reward practices on organisational outcomes (CIPD, 2024; CIPD, 2025d). To develop a comprehensive understanding, three complementary approaches market benchmarking, internal benchmarking, and outcomes benchmarking can be evaluated in terms of relevance, data gathering, measurement, insight development, and limitations (Armstrong &amp; Taylor, 2023).</w:t>
      </w:r>
    </w:p>
    <w:p w14:paraId="2CF3676E" w14:textId="512701DD" w:rsidR="00386243" w:rsidRDefault="00386243" w:rsidP="00386243">
      <w:pPr>
        <w:jc w:val="both"/>
      </w:pPr>
      <w:r>
        <w:t xml:space="preserve">Market benchmarking compares GreenFriendlyEco’s pay and reward practices with those of organisations of </w:t>
      </w:r>
      <w:r w:rsidR="00897B13">
        <w:t>comparable size</w:t>
      </w:r>
      <w:r>
        <w:t xml:space="preserve">, sector, and location. Data can </w:t>
      </w:r>
      <w:proofErr w:type="gramStart"/>
      <w:r>
        <w:t>be sourced</w:t>
      </w:r>
      <w:proofErr w:type="gramEnd"/>
      <w:r>
        <w:t xml:space="preserve"> from third</w:t>
      </w:r>
      <w:r w:rsidR="00897B13">
        <w:t xml:space="preserve"> </w:t>
      </w:r>
      <w:r>
        <w:t>party salary surveys, industry reports, and specialised benchmarking tools combining official earnings information with live placements (ONS, 2022). Effective benchmarking requires careful job matching to ensure that roles such as skilled operatives and supervisors are compared to appropriate market equivalents (CIPD, 2025d). Measurement typically focuses on median pay positions, pay quartiles, and total reward comparisons, including benefits. This approach highlights whether pay levels are competitive and supports informed decisions on incentive schemes and total rewards, enabling alignment with market conditions, employee expectations, and organisational objectives (Armstrong &amp; Brown, 2024; CIPD, 2025a). However, market benchmarking can be limited by differences in job definitions or organisational context, meaning comparisons may not fully reflect internal realities (Pacelli, 2024).</w:t>
      </w:r>
    </w:p>
    <w:p w14:paraId="10D3A275" w14:textId="0E8485BA" w:rsidR="00386243" w:rsidRDefault="00386243" w:rsidP="00386243">
      <w:pPr>
        <w:jc w:val="both"/>
      </w:pPr>
      <w:r>
        <w:t>Internal benchmarking uses GreenFriendlyEco’s HR and payroll data to compare pay, benefits, and conditions across groups and grades. Data is drawn from payroll records, job descriptions, and internal performance metrics. Measurement focuses on pay equity, range penetration, and benefit access. For example, the current enhanced pensions for senior staff can be evaluated for fairness. Internal benchmarking exposes disparities that could affect morale and supports decisions that enhance transparency (Vulpen, 2021). Its limitation is that it provides no insight into external competitiveness, which may leave the organisation vulnerable to market</w:t>
      </w:r>
      <w:r w:rsidR="00897B13">
        <w:t xml:space="preserve"> </w:t>
      </w:r>
      <w:r>
        <w:t>driven turnover.</w:t>
      </w:r>
    </w:p>
    <w:p w14:paraId="220C1E86" w14:textId="77777777" w:rsidR="00386243" w:rsidRDefault="00386243" w:rsidP="00386243">
      <w:pPr>
        <w:jc w:val="both"/>
      </w:pPr>
      <w:r>
        <w:lastRenderedPageBreak/>
        <w:t>Outcomes benchmarking links reward practices to organisational outcomes such as turnover, retention, productivity, and engagement. Data is drawn from HR analytics, engagement surveys, and performance metrics. Analysing trends before and after implementing reward changes shows whether incentives influence behaviours and retention. This approach supports the development of effective, strategically aligned reward systems (CIPD, 2025e). A disadvantage is that outcomes may be influenced by external factors, making it difficult to attribute changes directly to reward interventions.</w:t>
      </w:r>
    </w:p>
    <w:p w14:paraId="41C9FE70" w14:textId="45FBC11D" w:rsidR="00751D5E" w:rsidRDefault="00386243" w:rsidP="00386243">
      <w:pPr>
        <w:jc w:val="both"/>
      </w:pPr>
      <w:r>
        <w:t>In conclusion, integrating market, internal, and outcomes benchmarking enables GreenFriendlyEco to develop competitive and equitable reward strategies while evaluating their real impact on workforce behaviour and performance. Recognising each method’s limitations ensures insights are interpreted accurately and applied effectively.</w:t>
      </w:r>
    </w:p>
    <w:p w14:paraId="62C62E8E" w14:textId="270664D3" w:rsidR="00386243" w:rsidRDefault="00386243" w:rsidP="00386243">
      <w:pPr>
        <w:pStyle w:val="Heading2"/>
      </w:pPr>
      <w:r>
        <w:t>AC 3.3</w:t>
      </w:r>
    </w:p>
    <w:p w14:paraId="0DA50D8A" w14:textId="77777777" w:rsidR="00892913" w:rsidRDefault="00892913" w:rsidP="00892913">
      <w:pPr>
        <w:jc w:val="both"/>
      </w:pPr>
      <w:r>
        <w:t>To address GreenFriendlyEco’s concerns about employee turnover and low motivation, job evaluation provides a structured foundation for fair pay, recognition, and reward systems. Job evaluation is the systematic assessment of the relative worth of roles within an organisation, enabling fair pay structures, clarity of responsibilities, and a basis for incentive schemes (CIPD, 2025d).</w:t>
      </w:r>
    </w:p>
    <w:p w14:paraId="1005288C" w14:textId="77777777" w:rsidR="00892913" w:rsidRDefault="00892913" w:rsidP="00892913">
      <w:pPr>
        <w:jc w:val="both"/>
      </w:pPr>
      <w:r>
        <w:t>Formal approaches to job evaluation involve structured, documented methods that produce transparent, consistent outcomes. These include analytical techniques such as point-factor systems, where jobs are assessed against compensable factors such as skills, responsibilities, effort, and working conditions. By assigning points to each factor, organisations can create an internally consistent hierarchy of roles. For GreenFriendlyEco, this approach could differentiate skilled production employees from non-skilled roles, ensuring that pay, benefits, and potential incentive schemes are aligned with actual contribution (Armstrong and Brown, 2024). Formal approaches also often incorporate market data to maintain external competitiveness, which is essential for retaining critical staff in the competitive UK manufacturing sector (Pacelli, 2024).</w:t>
      </w:r>
    </w:p>
    <w:p w14:paraId="30F14C4A" w14:textId="77777777" w:rsidR="00892913" w:rsidRDefault="00892913" w:rsidP="00892913">
      <w:pPr>
        <w:jc w:val="both"/>
      </w:pPr>
      <w:r>
        <w:t>Informal approaches, by contrast, rely on managerial judgment, discussion, and experience rather than structured frameworks. This could include line managers proposing pay adjustments or bonuses based on perceived contribution or loyalty. While informal approaches are flexible and can be implemented quickly, they carry risks of inconsistency, perceived unfairness, and bias, which may reinforce negative cultural perceptions if not carefully monitored (Armstrong and Taylor, 2023).</w:t>
      </w:r>
    </w:p>
    <w:p w14:paraId="34088D06" w14:textId="6A9F6239" w:rsidR="00892913" w:rsidRDefault="00892913" w:rsidP="00892913">
      <w:pPr>
        <w:jc w:val="both"/>
      </w:pPr>
      <w:r>
        <w:t>Within formal evaluation, methods can be further classified as analytical or non-analytical. Analytical approaches, such as point</w:t>
      </w:r>
      <w:r w:rsidR="00E623D5">
        <w:t xml:space="preserve"> </w:t>
      </w:r>
      <w:r>
        <w:t xml:space="preserve">factor evaluation, break jobs into defined </w:t>
      </w:r>
      <w:r w:rsidR="00211C0B">
        <w:t>elements,</w:t>
      </w:r>
      <w:r>
        <w:t xml:space="preserve"> and assign measurable scores, providing precise comparisons across roles. These approaches are particularly useful when designing structured incentive schemes linked to performance metrics such as measured day work (CIPD, 2025d). Non-analytical approaches, including job ranking and job classification, are simpler. Job ranking orders roles from most to least important, whereas job classification allocates jobs into predefined grades or bands. These methods are easier to implement and can integrate with existing benefits, such as the non-contributory pension scheme, but they may overlook subtle differences between jobs and provide less guidance for performance</w:t>
      </w:r>
      <w:r w:rsidR="00170C56">
        <w:t xml:space="preserve"> </w:t>
      </w:r>
      <w:r>
        <w:t>related rewards (Armstrong and Taylor, 2023).</w:t>
      </w:r>
    </w:p>
    <w:p w14:paraId="0988AB20" w14:textId="4716E65D" w:rsidR="00386243" w:rsidRPr="00386243" w:rsidRDefault="00892913" w:rsidP="00892913">
      <w:pPr>
        <w:jc w:val="both"/>
      </w:pPr>
      <w:r>
        <w:lastRenderedPageBreak/>
        <w:t>For GreenFriendlyEco, combining formal analytical evaluation with non-analytical classification schemes and market benchmarking would provide a fair, transparent, and motivating framework for pay and rewards. Supplementing these with informal recognition and small, timely incentives can further enhance engagement, improve workplace culture, and reduce turnover (CIPD, 2025e; Gallup, 2024). Implementing structured evaluation methods offers a clear path toward transforming the company’s negative performance culture into one that encourages commitment, motivation, and overall organisational effectiveness.</w:t>
      </w:r>
    </w:p>
    <w:p w14:paraId="5197696D" w14:textId="29A6350B" w:rsidR="00712722" w:rsidRDefault="00BA64E1" w:rsidP="00BA64E1">
      <w:pPr>
        <w:pStyle w:val="Heading2"/>
      </w:pPr>
      <w:r>
        <w:t>AC 3.4</w:t>
      </w:r>
    </w:p>
    <w:p w14:paraId="456D6D53" w14:textId="77777777" w:rsidR="00BA64E1" w:rsidRDefault="00BA64E1" w:rsidP="00BA64E1">
      <w:pPr>
        <w:jc w:val="both"/>
      </w:pPr>
      <w:r>
        <w:t>Implementing effective reward practices requires careful consideration of UK legislative requirements to ensure compliance and reduce legal and reputational risk. Reward management is shaped by employment law, anti-discrimination legislation, and statutory entitlements, which collectively establish minimum standards for pay, benefits, and incentives (Armstrong and Taylor, 2023). Ensuring that all reward practices comply with these requirements is essential not only for legal protection but also for promoting fairness and supporting a positive organisational culture.</w:t>
      </w:r>
    </w:p>
    <w:p w14:paraId="1207DAC1" w14:textId="77777777" w:rsidR="00BA64E1" w:rsidRDefault="00BA64E1" w:rsidP="00BA64E1">
      <w:pPr>
        <w:jc w:val="both"/>
      </w:pPr>
      <w:r>
        <w:t>The National Minimum and Living Wage (NMW/NLW) legislation sets the statutory minimum for employee pay, which must be met for both skilled and non-skilled employees. GreenFriendlyEco must ensure that all roles comply with current rates, particularly given the measured day work system and standard times used in production. Non-compliance can result in enforcement action, financial penalties, and back pay claims, which could negatively impact employee morale and retention (Gov.uk, 2025a; CIPD, 2025b).</w:t>
      </w:r>
    </w:p>
    <w:p w14:paraId="525FCA2C" w14:textId="57E86CB5" w:rsidR="00BA64E1" w:rsidRDefault="00BA64E1" w:rsidP="00BA64E1">
      <w:pPr>
        <w:jc w:val="both"/>
      </w:pPr>
      <w:r>
        <w:t>Equal pay and anti-discrimination legislation are equally critical in shaping fair reward practices. The Equality Act 2010 prohibits pay discrimination based on protected characteristics, including gender, race, age, disability, and religion. GreenFriendlyEco must ensure that pay, bonus schemes, and benefits such as pensions and leave are applied consistently across all employees. Conducting regular pay audits can identify and correct disparities, particularly given the special schemes available for senior staff, helping to avoid claims of unfair treatment and enhance staff perception of fairness (ACAS, 202</w:t>
      </w:r>
      <w:r w:rsidR="00333193">
        <w:t>4</w:t>
      </w:r>
      <w:r>
        <w:t>; Mohrenweiser and Pfeifer, 2023).</w:t>
      </w:r>
    </w:p>
    <w:p w14:paraId="3FDBCC55" w14:textId="77777777" w:rsidR="00BA64E1" w:rsidRDefault="00BA64E1" w:rsidP="00BA64E1">
      <w:pPr>
        <w:jc w:val="both"/>
      </w:pPr>
      <w:r>
        <w:t>Working Time Regulations (WTR) influence reward through entitlements such as paid annual leave, rest periods, and overtime pay. GreenFriendlyEco currently provides 28 days of paid holiday; ensuring continued compliance with statutory minimum and properly accounting for overtime under measured day work is essential for both legal compliance and employee satisfaction (Gov.uk, 2025b; Armstrong and Taylor, 2023).</w:t>
      </w:r>
    </w:p>
    <w:p w14:paraId="6E3AA441" w14:textId="77777777" w:rsidR="00BA64E1" w:rsidRDefault="00BA64E1" w:rsidP="00BA64E1">
      <w:pPr>
        <w:jc w:val="both"/>
      </w:pPr>
      <w:r>
        <w:t>Other legislative frameworks include pension auto-enrolment, requiring employers to provide access to a qualifying workplace pension for eligible employees, and tax legislation, which governs the treatment of benefits, bonuses, and other forms of reward (CIPD, 2025a). Misalignment can result in financial penalties, regulatory scrutiny, or employee dissatisfaction.</w:t>
      </w:r>
    </w:p>
    <w:p w14:paraId="6E2FF20F" w14:textId="5ABC4779" w:rsidR="00BA64E1" w:rsidRPr="00BA64E1" w:rsidRDefault="00BA64E1" w:rsidP="00BA64E1">
      <w:pPr>
        <w:jc w:val="both"/>
      </w:pPr>
      <w:r>
        <w:t xml:space="preserve">In conclusion, reward practices at GreenFriendlyEco must comply with statutory pay, equal treatment, leave, pensions, and tax regulations, while considering health and safety requirements. Ensuring compliance not only protects the company legally but also reinforces fairness, engagement, and commitment across the workforce. Aligning reward systems with </w:t>
      </w:r>
      <w:r>
        <w:lastRenderedPageBreak/>
        <w:t>legal compliance, fairness, and wellbeing initiatives supports motivation, reduces turnover, and contributes to a more positive organisational culture.</w:t>
      </w:r>
    </w:p>
    <w:p w14:paraId="0544D6AE" w14:textId="6C058D5B" w:rsidR="00BE2ACB" w:rsidRDefault="00BE2ACB" w:rsidP="00483D66">
      <w:pPr>
        <w:spacing w:before="0" w:line="259" w:lineRule="auto"/>
        <w:jc w:val="both"/>
      </w:pPr>
      <w:r>
        <w:br w:type="page"/>
      </w:r>
    </w:p>
    <w:p w14:paraId="599E0A00" w14:textId="4700654A" w:rsidR="00C00734" w:rsidRDefault="00D64682" w:rsidP="00D64682">
      <w:pPr>
        <w:pStyle w:val="Heading2"/>
      </w:pPr>
      <w:r>
        <w:lastRenderedPageBreak/>
        <w:t>Bibliography</w:t>
      </w:r>
    </w:p>
    <w:p w14:paraId="39E8C0F4" w14:textId="53DEB0CB" w:rsidR="000E49F9" w:rsidRDefault="000E49F9" w:rsidP="000E49F9">
      <w:r>
        <w:t>ACAS (202</w:t>
      </w:r>
      <w:r w:rsidR="00333193">
        <w:t>4</w:t>
      </w:r>
      <w:r>
        <w:t xml:space="preserve">) </w:t>
      </w:r>
      <w:r w:rsidRPr="000E49F9">
        <w:rPr>
          <w:i/>
          <w:iCs/>
        </w:rPr>
        <w:t>Equal pay</w:t>
      </w:r>
      <w:r w:rsidR="003B0B1B">
        <w:rPr>
          <w:i/>
          <w:iCs/>
        </w:rPr>
        <w:t>: employer responsibilities</w:t>
      </w:r>
      <w:r>
        <w:t>. Available at: https://www.acas.org.uk/equal-pay-and-discrimination (Accessed: February 2026).</w:t>
      </w:r>
    </w:p>
    <w:p w14:paraId="34BA55FF" w14:textId="29FBBF5B" w:rsidR="00C05F9A" w:rsidRPr="00D64682" w:rsidRDefault="00C05F9A" w:rsidP="00690993">
      <w:r w:rsidRPr="00D64682">
        <w:t xml:space="preserve">Armstrong, </w:t>
      </w:r>
      <w:r w:rsidR="003E1274" w:rsidRPr="00D64682">
        <w:t>M.,</w:t>
      </w:r>
      <w:r w:rsidRPr="00D64682">
        <w:t xml:space="preserve"> and Taylor, S. (2023) </w:t>
      </w:r>
      <w:r w:rsidRPr="00D64682">
        <w:rPr>
          <w:i/>
          <w:iCs/>
        </w:rPr>
        <w:t>Armstrong’s Handbook of Human Resource Management Practice</w:t>
      </w:r>
      <w:r w:rsidRPr="00D64682">
        <w:t>. 16th edn. London: Kogan Page.</w:t>
      </w:r>
    </w:p>
    <w:p w14:paraId="2503EF26" w14:textId="6D2ED340" w:rsidR="009A249A" w:rsidRPr="00D64682" w:rsidRDefault="009A249A" w:rsidP="00690993">
      <w:r w:rsidRPr="00D64682">
        <w:t xml:space="preserve">Armstrong, </w:t>
      </w:r>
      <w:r w:rsidR="003E1274" w:rsidRPr="00D64682">
        <w:t>M.,</w:t>
      </w:r>
      <w:r w:rsidRPr="00D64682">
        <w:t xml:space="preserve"> and Brown, D. (2024) </w:t>
      </w:r>
      <w:r w:rsidRPr="00D64682">
        <w:rPr>
          <w:i/>
          <w:iCs/>
        </w:rPr>
        <w:t>Armstrong’s handbook of reward management practice: improving performance through reward</w:t>
      </w:r>
      <w:r w:rsidRPr="00D64682">
        <w:t xml:space="preserve">. Seventh edition. London: KoganPage. </w:t>
      </w:r>
    </w:p>
    <w:p w14:paraId="4F6CD895" w14:textId="01A39302" w:rsidR="00277F59" w:rsidRPr="00D64682" w:rsidRDefault="00277F59" w:rsidP="00690993">
      <w:r w:rsidRPr="00D64682">
        <w:t xml:space="preserve">Bailey, D. (2022) </w:t>
      </w:r>
      <w:r w:rsidR="00EA0092" w:rsidRPr="00D64682">
        <w:rPr>
          <w:i/>
          <w:iCs/>
        </w:rPr>
        <w:t>A Day</w:t>
      </w:r>
      <w:r w:rsidRPr="00D64682">
        <w:rPr>
          <w:i/>
          <w:iCs/>
        </w:rPr>
        <w:t xml:space="preserve"> in the life of a reward analyst</w:t>
      </w:r>
      <w:r w:rsidRPr="00D64682">
        <w:t xml:space="preserve">. Available at: </w:t>
      </w:r>
      <w:hyperlink r:id="rId4" w:history="1">
        <w:r w:rsidRPr="00D64682">
          <w:rPr>
            <w:rStyle w:val="Hyperlink"/>
          </w:rPr>
          <w:t>https://www.cipd.org/uk/the-people-profession/meet-the-people-professionals/day-in-the-life-reward-analyst/</w:t>
        </w:r>
      </w:hyperlink>
      <w:r w:rsidRPr="00D64682">
        <w:t>. (Accessed: December 2025)</w:t>
      </w:r>
    </w:p>
    <w:p w14:paraId="705686CE" w14:textId="77777777" w:rsidR="00C05F9A" w:rsidRPr="00D64682" w:rsidRDefault="00C05F9A" w:rsidP="00690993">
      <w:r w:rsidRPr="00D64682">
        <w:t xml:space="preserve">Baskin, K. (2023) </w:t>
      </w:r>
      <w:r w:rsidRPr="00D64682">
        <w:rPr>
          <w:i/>
          <w:iCs/>
        </w:rPr>
        <w:t>‘Four Steps to Building the Psychological Safety That High-Performing Teams Need</w:t>
      </w:r>
      <w:r w:rsidRPr="00D64682">
        <w:t xml:space="preserve">’, Harvard Business School Working Knowledge. Available at: </w:t>
      </w:r>
      <w:hyperlink r:id="rId5" w:tgtFrame="_new" w:history="1">
        <w:r w:rsidRPr="00D64682">
          <w:rPr>
            <w:rStyle w:val="Hyperlink"/>
          </w:rPr>
          <w:t>https://www.library.hbs.edu/working-knowledge/four-steps-to-build-the-psychological-safety-that-high-performing-teams</w:t>
        </w:r>
        <w:r w:rsidRPr="00D64682">
          <w:rPr>
            <w:rStyle w:val="Hyperlink"/>
          </w:rPr>
          <w:t>-</w:t>
        </w:r>
        <w:r w:rsidRPr="00D64682">
          <w:rPr>
            <w:rStyle w:val="Hyperlink"/>
          </w:rPr>
          <w:t>need-today</w:t>
        </w:r>
      </w:hyperlink>
      <w:r w:rsidRPr="00D64682">
        <w:t xml:space="preserve"> (Accessed: December 2025).</w:t>
      </w:r>
    </w:p>
    <w:p w14:paraId="1936163F" w14:textId="77777777" w:rsidR="003C011D" w:rsidRPr="00D64682" w:rsidRDefault="00C128B1" w:rsidP="00690993">
      <w:r w:rsidRPr="00D64682">
        <w:t xml:space="preserve">Brauer, P. (2025). </w:t>
      </w:r>
      <w:r w:rsidRPr="00D64682">
        <w:rPr>
          <w:i/>
          <w:iCs/>
        </w:rPr>
        <w:t>Pay structures: Options, transparency, and what really motivates employees</w:t>
      </w:r>
      <w:r w:rsidRPr="00D64682">
        <w:t>. Available at: https://reba.global/resource/pay-structures-options-transparency-and-what-really-motivates-employees.html [Accessed January 2026].</w:t>
      </w:r>
    </w:p>
    <w:p w14:paraId="30AF3713" w14:textId="77777777" w:rsidR="003B1BEB" w:rsidRPr="00D64682" w:rsidRDefault="003B1BEB" w:rsidP="003B1BEB">
      <w:r w:rsidRPr="00D64682">
        <w:t xml:space="preserve">CIPD (2022) </w:t>
      </w:r>
      <w:r w:rsidRPr="00D64682">
        <w:rPr>
          <w:i/>
          <w:iCs/>
        </w:rPr>
        <w:t>Reward Management Survey: Career and Wellbeing Benefits.</w:t>
      </w:r>
      <w:r w:rsidRPr="00D64682">
        <w:t xml:space="preserve"> Available at: https://www.cipd.org/globalassets/media/knowledge/knowledge-hub/reports/2023-pdfs/career-wellbeing-benefits_tcm18-108773.pdf. (Accessed: January 2026)</w:t>
      </w:r>
    </w:p>
    <w:p w14:paraId="7AE09A8D" w14:textId="134EE1A0" w:rsidR="00F54FDE" w:rsidRPr="00D64682" w:rsidRDefault="00F54FDE" w:rsidP="00F54FDE">
      <w:r w:rsidRPr="00D64682">
        <w:t xml:space="preserve">CIPD (2024) </w:t>
      </w:r>
      <w:r w:rsidRPr="00D64682">
        <w:rPr>
          <w:i/>
          <w:iCs/>
        </w:rPr>
        <w:t>Pay, performance and transparency 2024</w:t>
      </w:r>
      <w:r w:rsidRPr="00D64682">
        <w:t xml:space="preserve">. London: CIPD. Available at: https://www.cipd.org/uk/knowledge/reports/pay-performance-transparency (Accessed </w:t>
      </w:r>
      <w:r w:rsidR="00021208" w:rsidRPr="00D64682">
        <w:t>January</w:t>
      </w:r>
      <w:r w:rsidRPr="00D64682">
        <w:t xml:space="preserve"> 2026).</w:t>
      </w:r>
    </w:p>
    <w:p w14:paraId="598AE47D" w14:textId="580CB74B" w:rsidR="00C05F9A" w:rsidRPr="00D64682" w:rsidRDefault="00C05F9A" w:rsidP="00690993">
      <w:r w:rsidRPr="00D64682">
        <w:t xml:space="preserve">CIPD (2025) </w:t>
      </w:r>
      <w:r w:rsidRPr="00D64682">
        <w:rPr>
          <w:i/>
          <w:iCs/>
        </w:rPr>
        <w:t>Employee engagement and motivation</w:t>
      </w:r>
      <w:r w:rsidRPr="00D64682">
        <w:t xml:space="preserve">. Available at: </w:t>
      </w:r>
      <w:hyperlink r:id="rId6" w:tgtFrame="_new" w:history="1">
        <w:r w:rsidRPr="00D64682">
          <w:rPr>
            <w:rStyle w:val="Hyperlink"/>
          </w:rPr>
          <w:t>https://www.cipd.org/uk/knowledge/factsheets/engagement-factsheet/</w:t>
        </w:r>
      </w:hyperlink>
      <w:r w:rsidRPr="00D64682">
        <w:t xml:space="preserve"> (Accessed: </w:t>
      </w:r>
      <w:r w:rsidRPr="00D64682">
        <w:t>December</w:t>
      </w:r>
      <w:r w:rsidRPr="00D64682">
        <w:t xml:space="preserve"> 2025).</w:t>
      </w:r>
    </w:p>
    <w:p w14:paraId="10B42B6E" w14:textId="406C75FD" w:rsidR="00277F59" w:rsidRPr="00D64682" w:rsidRDefault="00277F59" w:rsidP="00690993">
      <w:r w:rsidRPr="00D64682">
        <w:t>CIPD (2025</w:t>
      </w:r>
      <w:r w:rsidR="00C05F9A" w:rsidRPr="00D64682">
        <w:t>a</w:t>
      </w:r>
      <w:r w:rsidRPr="00D64682">
        <w:t xml:space="preserve">) </w:t>
      </w:r>
      <w:r w:rsidRPr="00D64682">
        <w:rPr>
          <w:i/>
          <w:iCs/>
        </w:rPr>
        <w:t>Strategic reward and total reward</w:t>
      </w:r>
      <w:r w:rsidRPr="00D64682">
        <w:t xml:space="preserve">. Available at: </w:t>
      </w:r>
      <w:hyperlink r:id="rId7" w:history="1">
        <w:r w:rsidRPr="00D64682">
          <w:rPr>
            <w:rStyle w:val="Hyperlink"/>
          </w:rPr>
          <w:t>https://www.cipd.org/uk/knowledge/factsheets/strategic-total-factsheet/</w:t>
        </w:r>
      </w:hyperlink>
      <w:r w:rsidRPr="00D64682">
        <w:t>. (Accessed: December 2025)</w:t>
      </w:r>
    </w:p>
    <w:p w14:paraId="69AEBFDD" w14:textId="77777777" w:rsidR="00170FA1" w:rsidRPr="00D64682" w:rsidRDefault="00F8113A" w:rsidP="00170FA1">
      <w:r w:rsidRPr="00D64682">
        <w:t xml:space="preserve">CIPD (2025b) </w:t>
      </w:r>
      <w:r w:rsidR="002B466E" w:rsidRPr="00D64682">
        <w:rPr>
          <w:i/>
          <w:iCs/>
        </w:rPr>
        <w:t>Reward management: Pay structures and grading</w:t>
      </w:r>
      <w:r w:rsidR="002B466E" w:rsidRPr="00D64682">
        <w:t xml:space="preserve">. </w:t>
      </w:r>
      <w:r w:rsidR="002B466E" w:rsidRPr="00D64682">
        <w:t>Available at:</w:t>
      </w:r>
      <w:r w:rsidR="002B466E" w:rsidRPr="00D64682">
        <w:t xml:space="preserve"> </w:t>
      </w:r>
      <w:hyperlink r:id="rId8" w:history="1">
        <w:r w:rsidR="00170FA1" w:rsidRPr="00D64682">
          <w:rPr>
            <w:rStyle w:val="Hyperlink"/>
          </w:rPr>
          <w:t>https://www.cipd.org/uk/knowledge/factsheets/pay-structures-factsheet/#what-is-pay-structure</w:t>
        </w:r>
      </w:hyperlink>
      <w:r w:rsidR="00170FA1" w:rsidRPr="00D64682">
        <w:t xml:space="preserve">. </w:t>
      </w:r>
      <w:r w:rsidR="00170FA1" w:rsidRPr="00D64682">
        <w:t>(Accessed: December 2025)</w:t>
      </w:r>
    </w:p>
    <w:p w14:paraId="13726DCC" w14:textId="71866582" w:rsidR="00BB37E3" w:rsidRPr="00D64682" w:rsidRDefault="00BB37E3" w:rsidP="00170FA1">
      <w:r w:rsidRPr="00D64682">
        <w:t xml:space="preserve">CIPD (2025c). </w:t>
      </w:r>
      <w:r w:rsidRPr="00D64682">
        <w:rPr>
          <w:i/>
          <w:iCs/>
        </w:rPr>
        <w:t>Pay structures and pay progression</w:t>
      </w:r>
      <w:r w:rsidRPr="00D64682">
        <w:t xml:space="preserve">. London: Chartered Institute of Personnel and Development. Available at: https://www.cipd.org/en/knowledge/factsheets/pay-structures-factsheet/ </w:t>
      </w:r>
      <w:r w:rsidR="0032274F" w:rsidRPr="00D64682">
        <w:t>(</w:t>
      </w:r>
      <w:r w:rsidRPr="00D64682">
        <w:t xml:space="preserve">Accessed </w:t>
      </w:r>
      <w:r w:rsidRPr="00D64682">
        <w:t>December</w:t>
      </w:r>
      <w:r w:rsidRPr="00D64682">
        <w:t xml:space="preserve"> 202</w:t>
      </w:r>
      <w:r w:rsidRPr="00D64682">
        <w:t>5</w:t>
      </w:r>
      <w:r w:rsidR="0032274F" w:rsidRPr="00D64682">
        <w:t>)</w:t>
      </w:r>
      <w:r w:rsidRPr="00D64682">
        <w:t>.</w:t>
      </w:r>
    </w:p>
    <w:p w14:paraId="1A61CF5F" w14:textId="2A2A8E6D" w:rsidR="000264B1" w:rsidRPr="00D64682" w:rsidRDefault="000264B1" w:rsidP="000264B1">
      <w:r w:rsidRPr="00D64682">
        <w:lastRenderedPageBreak/>
        <w:t>CIPD (2025</w:t>
      </w:r>
      <w:r w:rsidR="00CC4A09" w:rsidRPr="00D64682">
        <w:t>d</w:t>
      </w:r>
      <w:r w:rsidRPr="00D64682">
        <w:t xml:space="preserve">) </w:t>
      </w:r>
      <w:r w:rsidRPr="00D64682">
        <w:rPr>
          <w:i/>
          <w:iCs/>
        </w:rPr>
        <w:t>Job evaluation and market pricing</w:t>
      </w:r>
      <w:r w:rsidRPr="00D64682">
        <w:t xml:space="preserve">. Available at: </w:t>
      </w:r>
      <w:hyperlink r:id="rId9" w:history="1">
        <w:r w:rsidRPr="00D64682">
          <w:rPr>
            <w:rStyle w:val="Hyperlink"/>
          </w:rPr>
          <w:t>https://www.cipd.org/uk/knowledge/factsheets/market-pricing-factsheet/#jobevaluationmarket</w:t>
        </w:r>
      </w:hyperlink>
      <w:r w:rsidRPr="00D64682">
        <w:t xml:space="preserve">. </w:t>
      </w:r>
      <w:r w:rsidRPr="00D64682">
        <w:t>(Accessed: December 2025)</w:t>
      </w:r>
    </w:p>
    <w:p w14:paraId="624B6F84" w14:textId="4BE620CB" w:rsidR="0032274F" w:rsidRPr="00D64682" w:rsidRDefault="0032274F" w:rsidP="0032274F">
      <w:r w:rsidRPr="00D64682">
        <w:t>CIPD (2025</w:t>
      </w:r>
      <w:r w:rsidRPr="00D64682">
        <w:t>e</w:t>
      </w:r>
      <w:r w:rsidRPr="00D64682">
        <w:t xml:space="preserve">) </w:t>
      </w:r>
      <w:r w:rsidRPr="00D64682">
        <w:rPr>
          <w:i/>
          <w:iCs/>
        </w:rPr>
        <w:t>Pay and performance: Incentives and recognition evidence review</w:t>
      </w:r>
      <w:r w:rsidRPr="00D64682">
        <w:t xml:space="preserve">. Available at: </w:t>
      </w:r>
      <w:hyperlink r:id="rId10" w:history="1">
        <w:r w:rsidRPr="00D64682">
          <w:rPr>
            <w:rStyle w:val="Hyperlink"/>
          </w:rPr>
          <w:t>https://www.cipd.org/uk/knowledge/factsheets/pay-performance-factsheet/?utm_source=chatgpt.com</w:t>
        </w:r>
      </w:hyperlink>
      <w:r w:rsidRPr="00D64682">
        <w:t xml:space="preserve">. </w:t>
      </w:r>
      <w:r w:rsidRPr="00D64682">
        <w:t xml:space="preserve">(Accessed: </w:t>
      </w:r>
      <w:r w:rsidRPr="00D64682">
        <w:t>January</w:t>
      </w:r>
      <w:r w:rsidRPr="00D64682">
        <w:t xml:space="preserve"> 202</w:t>
      </w:r>
      <w:r w:rsidRPr="00D64682">
        <w:t>6</w:t>
      </w:r>
      <w:r w:rsidRPr="00D64682">
        <w:t>)</w:t>
      </w:r>
    </w:p>
    <w:p w14:paraId="478B4D49" w14:textId="77777777" w:rsidR="003B1BEB" w:rsidRPr="00D64682" w:rsidRDefault="003B1BEB" w:rsidP="003B1BEB">
      <w:r w:rsidRPr="00D64682">
        <w:t xml:space="preserve">CIPD (2025f) </w:t>
      </w:r>
      <w:r w:rsidRPr="00D64682">
        <w:rPr>
          <w:i/>
          <w:iCs/>
        </w:rPr>
        <w:t>How to harness the benefits of health and wellbeing at work</w:t>
      </w:r>
      <w:r w:rsidRPr="00D64682">
        <w:t>. Available at: https://www.cipd.org/uk/knowledge/tools/health-wellbeing-infographic/. (Accessed: January 2026)</w:t>
      </w:r>
    </w:p>
    <w:p w14:paraId="4620C8E7" w14:textId="77777777" w:rsidR="003B1BEB" w:rsidRPr="00D64682" w:rsidRDefault="003B1BEB" w:rsidP="003B1BEB">
      <w:r w:rsidRPr="00D64682">
        <w:t xml:space="preserve">CIPD (2025g) </w:t>
      </w:r>
      <w:r w:rsidRPr="00D64682">
        <w:rPr>
          <w:i/>
          <w:iCs/>
        </w:rPr>
        <w:t>Flexible working practices</w:t>
      </w:r>
      <w:r w:rsidRPr="00D64682">
        <w:t>. Available at: . https://www.cipd.org/uk/knowledge/factsheets/flexible-working-factsheet/. (Accessed: January 2026)</w:t>
      </w:r>
    </w:p>
    <w:p w14:paraId="41760FB8" w14:textId="72C82885" w:rsidR="0072202C" w:rsidRPr="00D64682" w:rsidRDefault="003B1BEB" w:rsidP="003B1BEB">
      <w:r w:rsidRPr="00D64682">
        <w:t xml:space="preserve">CIPD (2025h) </w:t>
      </w:r>
      <w:r w:rsidRPr="00D64682">
        <w:rPr>
          <w:i/>
          <w:iCs/>
        </w:rPr>
        <w:t>Health and wellbeing at work</w:t>
      </w:r>
      <w:r w:rsidRPr="00D64682">
        <w:t>. Available at: https://www.cipd.org/uk/knowledge/factsheets/health-well-being-factsheet/. (Accessed: January 2026</w:t>
      </w:r>
    </w:p>
    <w:p w14:paraId="6F349929" w14:textId="20CCA08F" w:rsidR="000325AF" w:rsidRPr="00D64682" w:rsidRDefault="000325AF" w:rsidP="0076388A">
      <w:r w:rsidRPr="00D64682">
        <w:t>Clemo</w:t>
      </w:r>
      <w:r w:rsidR="00212F6F" w:rsidRPr="00D64682">
        <w:t xml:space="preserve">, F. (2025) </w:t>
      </w:r>
      <w:r w:rsidR="00212F6F" w:rsidRPr="00D64682">
        <w:rPr>
          <w:i/>
          <w:iCs/>
        </w:rPr>
        <w:t>How Perfetti Van Melle is bolstering its family-friendly benefits</w:t>
      </w:r>
      <w:r w:rsidR="00212F6F" w:rsidRPr="00D64682">
        <w:t>. People Management</w:t>
      </w:r>
      <w:r w:rsidR="00211C0B" w:rsidRPr="00D64682">
        <w:t xml:space="preserve">. </w:t>
      </w:r>
      <w:r w:rsidR="00212F6F" w:rsidRPr="00D64682">
        <w:t xml:space="preserve">Available at: </w:t>
      </w:r>
      <w:hyperlink r:id="rId11" w:history="1">
        <w:r w:rsidR="004231D0" w:rsidRPr="00D64682">
          <w:rPr>
            <w:rStyle w:val="Hyperlink"/>
          </w:rPr>
          <w:t>https://www.peoplemanagement.co.uk/article/1929054/perfetti-van-melle-bolstering-its-family-friendly-benefits</w:t>
        </w:r>
      </w:hyperlink>
      <w:r w:rsidR="004231D0" w:rsidRPr="00D64682">
        <w:t>. (Accessed: January 2026)</w:t>
      </w:r>
    </w:p>
    <w:p w14:paraId="3F45C66F" w14:textId="5A67CFE9" w:rsidR="0076388A" w:rsidRPr="00D64682" w:rsidRDefault="0076388A" w:rsidP="0076388A">
      <w:r w:rsidRPr="00D64682">
        <w:t>Cotton, C., Gifford, J.</w:t>
      </w:r>
      <w:r w:rsidR="00897B13" w:rsidRPr="00D64682">
        <w:t>,</w:t>
      </w:r>
      <w:r w:rsidRPr="00D64682">
        <w:t xml:space="preserve"> and Young, J. (2022) </w:t>
      </w:r>
      <w:r w:rsidRPr="00D64682">
        <w:rPr>
          <w:i/>
          <w:iCs/>
        </w:rPr>
        <w:t>Incentives and</w:t>
      </w:r>
      <w:r w:rsidRPr="00D64682">
        <w:rPr>
          <w:i/>
          <w:iCs/>
        </w:rPr>
        <w:t xml:space="preserve"> </w:t>
      </w:r>
      <w:r w:rsidRPr="00D64682">
        <w:rPr>
          <w:i/>
          <w:iCs/>
        </w:rPr>
        <w:t>recognition: an evidence review. Practice summary and recommendations</w:t>
      </w:r>
      <w:r w:rsidRPr="00D64682">
        <w:t>. London:</w:t>
      </w:r>
      <w:r w:rsidRPr="00D64682">
        <w:t xml:space="preserve"> </w:t>
      </w:r>
      <w:r w:rsidRPr="00D64682">
        <w:t>Chartered Institute of Personnel and Development.</w:t>
      </w:r>
    </w:p>
    <w:p w14:paraId="4316F85E" w14:textId="5C807D80" w:rsidR="00A97C97" w:rsidRPr="00D64682" w:rsidRDefault="00A97C97" w:rsidP="00690993">
      <w:r w:rsidRPr="00D64682">
        <w:t xml:space="preserve">Dawson, A. (2025) </w:t>
      </w:r>
      <w:r w:rsidR="003B633C" w:rsidRPr="00D64682">
        <w:rPr>
          <w:i/>
          <w:iCs/>
        </w:rPr>
        <w:t>Are family friendly benefits really worth the investment</w:t>
      </w:r>
      <w:r w:rsidR="003B633C" w:rsidRPr="00D64682">
        <w:t xml:space="preserve">? </w:t>
      </w:r>
      <w:r w:rsidR="00D32FFD" w:rsidRPr="00D64682">
        <w:t>People</w:t>
      </w:r>
      <w:r w:rsidR="009C025C" w:rsidRPr="00D64682">
        <w:t xml:space="preserve"> Management</w:t>
      </w:r>
      <w:r w:rsidR="00135C1F" w:rsidRPr="00D64682">
        <w:t xml:space="preserve">. </w:t>
      </w:r>
      <w:r w:rsidR="00F3044A" w:rsidRPr="00D64682">
        <w:t xml:space="preserve">February – April 2025. </w:t>
      </w:r>
      <w:r w:rsidR="00360D0A" w:rsidRPr="00D64682">
        <w:t xml:space="preserve">Available at: </w:t>
      </w:r>
      <w:hyperlink r:id="rId12" w:history="1">
        <w:r w:rsidR="00360D0A" w:rsidRPr="00D64682">
          <w:rPr>
            <w:rStyle w:val="Hyperlink"/>
          </w:rPr>
          <w:t>https://cloud.3dissue.com/2349/3077/242987/PM</w:t>
        </w:r>
        <w:r w:rsidR="00360D0A" w:rsidRPr="00D64682">
          <w:rPr>
            <w:rStyle w:val="Hyperlink"/>
          </w:rPr>
          <w:t>S</w:t>
        </w:r>
        <w:r w:rsidR="00360D0A" w:rsidRPr="00D64682">
          <w:rPr>
            <w:rStyle w:val="Hyperlink"/>
          </w:rPr>
          <w:t>pring25/index.html</w:t>
        </w:r>
      </w:hyperlink>
      <w:r w:rsidR="00360D0A" w:rsidRPr="00D64682">
        <w:t>.</w:t>
      </w:r>
    </w:p>
    <w:p w14:paraId="0897312E" w14:textId="5A09BFFB" w:rsidR="00C05F9A" w:rsidRPr="00D64682" w:rsidRDefault="00C05F9A" w:rsidP="00690993">
      <w:r w:rsidRPr="00D64682">
        <w:t xml:space="preserve">Dessler, G. (2020) </w:t>
      </w:r>
      <w:r w:rsidRPr="00D64682">
        <w:rPr>
          <w:i/>
          <w:iCs/>
        </w:rPr>
        <w:t>Human Resource Management</w:t>
      </w:r>
      <w:r w:rsidRPr="00D64682">
        <w:t>. 16th edn. Harlow: Pearson Education.</w:t>
      </w:r>
    </w:p>
    <w:p w14:paraId="2EF238A2" w14:textId="2EC0D3B1" w:rsidR="0085170F" w:rsidRPr="00D64682" w:rsidRDefault="0085170F" w:rsidP="00690993">
      <w:r w:rsidRPr="00D64682">
        <w:t>Gallup</w:t>
      </w:r>
      <w:r w:rsidR="009E47FB" w:rsidRPr="00D64682">
        <w:t xml:space="preserve"> (2024) </w:t>
      </w:r>
      <w:r w:rsidR="009E47FB" w:rsidRPr="00D64682">
        <w:rPr>
          <w:i/>
          <w:iCs/>
        </w:rPr>
        <w:t>The Importance of Employee Recognition: Low Cost, High Impact</w:t>
      </w:r>
      <w:r w:rsidR="009E47FB" w:rsidRPr="00D64682">
        <w:t xml:space="preserve">. Available at: </w:t>
      </w:r>
      <w:hyperlink r:id="rId13" w:history="1">
        <w:r w:rsidR="006B1692" w:rsidRPr="00D64682">
          <w:rPr>
            <w:rStyle w:val="Hyperlink"/>
          </w:rPr>
          <w:t>https://www.gallup.com/workplace/236441/employee-recognition-low-cost-high-impact.aspx</w:t>
        </w:r>
      </w:hyperlink>
      <w:r w:rsidR="006B1692" w:rsidRPr="00D64682">
        <w:t>. (Accessed: January 2026)</w:t>
      </w:r>
    </w:p>
    <w:p w14:paraId="6498FE62" w14:textId="31BFFA83" w:rsidR="005240CF" w:rsidRDefault="005240CF" w:rsidP="005240CF">
      <w:r>
        <w:t xml:space="preserve">Gov.uk (2025a) </w:t>
      </w:r>
      <w:r w:rsidRPr="005240CF">
        <w:rPr>
          <w:i/>
          <w:iCs/>
        </w:rPr>
        <w:t>National Minimum Wage and National Living Wage rates</w:t>
      </w:r>
      <w:r>
        <w:t>. Available at: https://www.gov.uk/national-minimum-wage-rates (Accessed: February 2026).</w:t>
      </w:r>
    </w:p>
    <w:p w14:paraId="55D942F7" w14:textId="49546B63" w:rsidR="005240CF" w:rsidRDefault="005240CF" w:rsidP="005240CF">
      <w:r>
        <w:t xml:space="preserve">Gov.uk (2025b) </w:t>
      </w:r>
      <w:r w:rsidRPr="005240CF">
        <w:rPr>
          <w:i/>
          <w:iCs/>
        </w:rPr>
        <w:t>Working Time Regulations</w:t>
      </w:r>
      <w:r>
        <w:t>. Available at: https://www.gov.uk/maximum-weekly-working-hours (Accessed: February 2026).</w:t>
      </w:r>
    </w:p>
    <w:p w14:paraId="533E7732" w14:textId="13AC58D9" w:rsidR="00470579" w:rsidRPr="00470579" w:rsidRDefault="00470579" w:rsidP="00470579">
      <w:r w:rsidRPr="00470579">
        <w:t>Lin, C.</w:t>
      </w:r>
      <w:r w:rsidR="0062241B" w:rsidRPr="00D64682">
        <w:t>, Shipton</w:t>
      </w:r>
      <w:r w:rsidR="00710ABE" w:rsidRPr="00D64682">
        <w:t>, H., Teng, W.,</w:t>
      </w:r>
      <w:r w:rsidR="00B93E9C" w:rsidRPr="00D64682">
        <w:t xml:space="preserve"> Kitt, A., </w:t>
      </w:r>
      <w:r w:rsidR="00710ABE" w:rsidRPr="00D64682">
        <w:t>Do</w:t>
      </w:r>
      <w:r w:rsidR="00B93E9C" w:rsidRPr="00D64682">
        <w:t xml:space="preserve">, </w:t>
      </w:r>
      <w:r w:rsidR="00710ABE" w:rsidRPr="00D64682">
        <w:t>H.,</w:t>
      </w:r>
      <w:r w:rsidR="009F7D98" w:rsidRPr="00D64682">
        <w:t xml:space="preserve"> and Chadwick, C</w:t>
      </w:r>
      <w:r w:rsidR="009F7D98" w:rsidRPr="00D64682">
        <w:rPr>
          <w:i/>
          <w:iCs/>
        </w:rPr>
        <w:t>.</w:t>
      </w:r>
      <w:r w:rsidRPr="00470579">
        <w:t xml:space="preserve"> (2022) “</w:t>
      </w:r>
      <w:r w:rsidRPr="00470579">
        <w:rPr>
          <w:i/>
          <w:iCs/>
        </w:rPr>
        <w:t>Sparking creativity using extrinsic rewards: A self</w:t>
      </w:r>
      <w:r w:rsidRPr="00470579">
        <w:rPr>
          <w:rFonts w:ascii="Cambria Math" w:hAnsi="Cambria Math" w:cs="Cambria Math"/>
          <w:i/>
          <w:iCs/>
        </w:rPr>
        <w:t>‐</w:t>
      </w:r>
      <w:r w:rsidRPr="00470579">
        <w:rPr>
          <w:i/>
          <w:iCs/>
        </w:rPr>
        <w:t>determination theory perspective,</w:t>
      </w:r>
      <w:r w:rsidRPr="00470579">
        <w:t>” Human resource management, 61(6), pp. 723–735. Available at: https://doi.org/10.1002/hrm.22128.</w:t>
      </w:r>
    </w:p>
    <w:p w14:paraId="48EC39DB" w14:textId="50D6F4A7" w:rsidR="00C05F9A" w:rsidRPr="00D64682" w:rsidRDefault="00C05F9A" w:rsidP="00690993">
      <w:r w:rsidRPr="00D64682">
        <w:t xml:space="preserve">Marchington, M., Wilkinson, A., Donnelly, R., &amp; Kynighou, A. (2021) </w:t>
      </w:r>
      <w:r w:rsidRPr="00D64682">
        <w:rPr>
          <w:i/>
          <w:iCs/>
        </w:rPr>
        <w:t>Human Resource Management at Work: The Definitive Guide</w:t>
      </w:r>
      <w:r w:rsidRPr="00D64682">
        <w:t>. 7th edn. London: Kogan Page.</w:t>
      </w:r>
    </w:p>
    <w:p w14:paraId="7EF1A0B2" w14:textId="77777777" w:rsidR="00A026B7" w:rsidRPr="00D64682" w:rsidRDefault="00C00734" w:rsidP="00A026B7">
      <w:r w:rsidRPr="00D64682">
        <w:lastRenderedPageBreak/>
        <w:t>Mdhlalose, D. (2023) “</w:t>
      </w:r>
      <w:r w:rsidRPr="00D64682">
        <w:rPr>
          <w:i/>
          <w:iCs/>
        </w:rPr>
        <w:t>A Comprehensive Analysis of the Effect of Employee Rewards on Employee Performance,</w:t>
      </w:r>
      <w:r w:rsidRPr="00D64682">
        <w:t xml:space="preserve">” </w:t>
      </w:r>
      <w:r w:rsidRPr="00D64682">
        <w:t>Journal</w:t>
      </w:r>
      <w:r w:rsidRPr="00D64682">
        <w:t xml:space="preserve"> Manajemen Stratejik dan Simulasi Bisnis, 4(2), pp. 12–34. Available at: </w:t>
      </w:r>
      <w:hyperlink r:id="rId14" w:history="1">
        <w:r w:rsidR="00A026B7" w:rsidRPr="00D64682">
          <w:rPr>
            <w:rStyle w:val="Hyperlink"/>
          </w:rPr>
          <w:t>https://doi.org/10.25077/mssb.4.2.12-34.2023</w:t>
        </w:r>
      </w:hyperlink>
      <w:r w:rsidRPr="00D64682">
        <w:t>.</w:t>
      </w:r>
    </w:p>
    <w:p w14:paraId="2EA43D1E" w14:textId="14864AD6" w:rsidR="00A026B7" w:rsidRPr="00A026B7" w:rsidRDefault="00A026B7" w:rsidP="00A026B7">
      <w:r w:rsidRPr="00A026B7">
        <w:t>Mohrenweiser, J. and Pfeifer, C. (2023) “</w:t>
      </w:r>
      <w:r w:rsidRPr="00A026B7">
        <w:rPr>
          <w:i/>
          <w:iCs/>
        </w:rPr>
        <w:t>Wage Structures, Fairness Perceptions, and Job Satisfaction: Evidence from Linked Employer-Employee Data</w:t>
      </w:r>
      <w:r w:rsidRPr="00A026B7">
        <w:t xml:space="preserve">,” </w:t>
      </w:r>
      <w:r w:rsidRPr="00A026B7">
        <w:rPr>
          <w:i/>
          <w:iCs/>
        </w:rPr>
        <w:t>Journal of happiness studies</w:t>
      </w:r>
      <w:r w:rsidRPr="00A026B7">
        <w:t>, 24(7), pp. 2291–2308. Available at: https://doi.org/10.1007/s10902-023-00680-0.</w:t>
      </w:r>
    </w:p>
    <w:p w14:paraId="1B14F77B" w14:textId="6391FC71" w:rsidR="00F822F7" w:rsidRPr="00D64682" w:rsidRDefault="00F822F7" w:rsidP="00690993">
      <w:r w:rsidRPr="00D64682">
        <w:t xml:space="preserve">Ones, D. S., Anderson, N., Sinangil, H. K. and Viswesvaran, C. </w:t>
      </w:r>
      <w:r w:rsidRPr="00D64682">
        <w:t>(</w:t>
      </w:r>
      <w:r w:rsidRPr="00D64682">
        <w:t>2018</w:t>
      </w:r>
      <w:r w:rsidRPr="00D64682">
        <w:t>)</w:t>
      </w:r>
      <w:r w:rsidRPr="00D64682">
        <w:t xml:space="preserve">. </w:t>
      </w:r>
      <w:r w:rsidRPr="00D64682">
        <w:rPr>
          <w:i/>
          <w:iCs/>
        </w:rPr>
        <w:t>The SAGE Handbook of Industrial, Work and Organizational Psychology</w:t>
      </w:r>
      <w:r w:rsidR="00D64682">
        <w:t>.</w:t>
      </w:r>
      <w:r w:rsidRPr="00D64682">
        <w:t xml:space="preserve"> London: SAGE Publications Ltd. Available at: &lt;https://doi.org/10.4135/9781473914964&gt; </w:t>
      </w:r>
      <w:r w:rsidR="003B1BEB" w:rsidRPr="00D64682">
        <w:t>(</w:t>
      </w:r>
      <w:r w:rsidRPr="00D64682">
        <w:t xml:space="preserve">Accessed </w:t>
      </w:r>
      <w:r w:rsidRPr="00D64682">
        <w:t>January</w:t>
      </w:r>
      <w:r w:rsidRPr="00D64682">
        <w:t xml:space="preserve"> 2026</w:t>
      </w:r>
      <w:r w:rsidR="003B1BEB" w:rsidRPr="00D64682">
        <w:t>)</w:t>
      </w:r>
      <w:r w:rsidRPr="00D64682">
        <w:t>.</w:t>
      </w:r>
    </w:p>
    <w:p w14:paraId="0A86E98C" w14:textId="594B6CCD" w:rsidR="0033702F" w:rsidRPr="00D64682" w:rsidRDefault="0033702F" w:rsidP="00690993">
      <w:r w:rsidRPr="00D64682">
        <w:t xml:space="preserve">Office for National Statistics (ONS) (2022) </w:t>
      </w:r>
      <w:r w:rsidRPr="00D64682">
        <w:rPr>
          <w:i/>
          <w:iCs/>
        </w:rPr>
        <w:t>Comparison of labour market data sources</w:t>
      </w:r>
      <w:r w:rsidRPr="00D64682">
        <w:t xml:space="preserve">. Available at: </w:t>
      </w:r>
      <w:hyperlink r:id="rId15" w:tgtFrame="_new" w:history="1">
        <w:r w:rsidRPr="00D64682">
          <w:rPr>
            <w:rStyle w:val="Hyperlink"/>
          </w:rPr>
          <w:t>https://www.ons.gov.uk/employmentandlabourmarket/peopleinwork/employmentandemployeetypes/methodologies/comparisonoflabourmarketdatasources</w:t>
        </w:r>
      </w:hyperlink>
      <w:r w:rsidRPr="00D64682">
        <w:t xml:space="preserve"> (Accessed </w:t>
      </w:r>
      <w:r w:rsidRPr="00D64682">
        <w:t>January</w:t>
      </w:r>
      <w:r w:rsidRPr="00D64682">
        <w:t xml:space="preserve"> 2026).</w:t>
      </w:r>
    </w:p>
    <w:p w14:paraId="56EBF89D" w14:textId="0303C2E3" w:rsidR="00894544" w:rsidRPr="00D64682" w:rsidRDefault="00894544" w:rsidP="00894544">
      <w:r w:rsidRPr="00D64682">
        <w:t>Pacelli, A. (</w:t>
      </w:r>
      <w:r w:rsidRPr="00D64682">
        <w:t>2024</w:t>
      </w:r>
      <w:r w:rsidRPr="00D64682">
        <w:t>)</w:t>
      </w:r>
      <w:r w:rsidRPr="00D64682">
        <w:t xml:space="preserve">. UK employers ‘missing out’ on competitive benefits through lack of benchmarking. Available at: </w:t>
      </w:r>
      <w:hyperlink r:id="rId16" w:tgtFrame="_new" w:history="1">
        <w:r w:rsidRPr="00D64682">
          <w:rPr>
            <w:rStyle w:val="Hyperlink"/>
          </w:rPr>
          <w:t>https://hrreview.co.uk/hr-news/strategy-news/uk-employers-missing-out-on-competitive-benefits-through-lack-of-benchmarking/377862</w:t>
        </w:r>
      </w:hyperlink>
      <w:r w:rsidRPr="00D64682">
        <w:t xml:space="preserve"> [Accessed February 2026]</w:t>
      </w:r>
    </w:p>
    <w:p w14:paraId="05BD4C67" w14:textId="154733B0" w:rsidR="003B1BEB" w:rsidRPr="00D64682" w:rsidRDefault="003B1BEB" w:rsidP="003B1BEB">
      <w:r w:rsidRPr="00D64682">
        <w:t xml:space="preserve">Paton, N. (2023) More than half of UK employees want private healthcare benefit. Personnel Today. Available at: </w:t>
      </w:r>
      <w:hyperlink r:id="rId17" w:history="1">
        <w:r w:rsidRPr="00D64682">
          <w:rPr>
            <w:rStyle w:val="Hyperlink"/>
          </w:rPr>
          <w:t>https://www.personneltoday.com/hr/employees-want-access-to-work-private-healthcare-benefit/</w:t>
        </w:r>
      </w:hyperlink>
      <w:r w:rsidRPr="00D64682">
        <w:t xml:space="preserve">. (Accessed: </w:t>
      </w:r>
      <w:r w:rsidR="00A8776E" w:rsidRPr="00D64682">
        <w:t>January</w:t>
      </w:r>
      <w:r w:rsidRPr="00D64682">
        <w:t xml:space="preserve"> 2026)</w:t>
      </w:r>
    </w:p>
    <w:p w14:paraId="17BDB50D" w14:textId="6E76F97A" w:rsidR="007E1186" w:rsidRPr="00D64682" w:rsidRDefault="007E1186" w:rsidP="00690993">
      <w:r w:rsidRPr="00D64682">
        <w:t xml:space="preserve">HRreview, 2024. UK employers ‘missing out’ on competitive benefits through lack of benchmarking. Available at: </w:t>
      </w:r>
      <w:hyperlink r:id="rId18" w:tgtFrame="_new" w:history="1">
        <w:r w:rsidRPr="00D64682">
          <w:rPr>
            <w:rStyle w:val="Hyperlink"/>
          </w:rPr>
          <w:t>https://hrreview.co.uk/hr-news/strategy-news/uk-employers-missing-out-on-competitive-benefits-through-lack-of-benchmarking/377862</w:t>
        </w:r>
      </w:hyperlink>
      <w:r w:rsidRPr="00D64682">
        <w:t xml:space="preserve"> [Accessed February 2026]</w:t>
      </w:r>
    </w:p>
    <w:p w14:paraId="3BE28C19" w14:textId="53EF2079" w:rsidR="00C05F9A" w:rsidRPr="00D64682" w:rsidRDefault="00C05F9A" w:rsidP="00690993">
      <w:r w:rsidRPr="00D64682">
        <w:t xml:space="preserve">Robbins, S.P. and Judge, T. (2024) </w:t>
      </w:r>
      <w:r w:rsidRPr="00D64682">
        <w:rPr>
          <w:i/>
          <w:iCs/>
        </w:rPr>
        <w:t>Organizational Behavior</w:t>
      </w:r>
      <w:r w:rsidRPr="00D64682">
        <w:t>. 19th edn. Harlow: Pearson Education Limited.</w:t>
      </w:r>
    </w:p>
    <w:p w14:paraId="7D256465" w14:textId="77777777" w:rsidR="00C05F9A" w:rsidRPr="00D64682" w:rsidRDefault="00C05F9A" w:rsidP="00690993">
      <w:r w:rsidRPr="00D64682">
        <w:t xml:space="preserve">Sam-Mensah, R. et al. (2025) ‘Safety first, retention forever: enhancing commitment and reducing turnover through safety practices’, </w:t>
      </w:r>
      <w:r w:rsidRPr="00D64682">
        <w:rPr>
          <w:i/>
          <w:iCs/>
        </w:rPr>
        <w:t>Future Business Journal</w:t>
      </w:r>
      <w:r w:rsidRPr="00D64682">
        <w:t xml:space="preserve">, 11(1). Available at: </w:t>
      </w:r>
      <w:hyperlink r:id="rId19" w:tgtFrame="_new" w:history="1">
        <w:r w:rsidRPr="00D64682">
          <w:rPr>
            <w:rStyle w:val="Hyperlink"/>
          </w:rPr>
          <w:t>https://doi.org/10.1</w:t>
        </w:r>
        <w:r w:rsidRPr="00D64682">
          <w:rPr>
            <w:rStyle w:val="Hyperlink"/>
          </w:rPr>
          <w:t>1</w:t>
        </w:r>
        <w:r w:rsidRPr="00D64682">
          <w:rPr>
            <w:rStyle w:val="Hyperlink"/>
          </w:rPr>
          <w:t>86/s43093-025-00475-0</w:t>
        </w:r>
      </w:hyperlink>
    </w:p>
    <w:p w14:paraId="7618E513" w14:textId="77777777" w:rsidR="003B1BEB" w:rsidRPr="00D64682" w:rsidRDefault="003B1BEB" w:rsidP="003B1BEB">
      <w:r w:rsidRPr="00D64682">
        <w:t xml:space="preserve">Suff, R. (2025) Wellbeing at work. CIPD. Available at: </w:t>
      </w:r>
      <w:hyperlink r:id="rId20" w:history="1">
        <w:r w:rsidRPr="00D64682">
          <w:rPr>
            <w:rStyle w:val="Hyperlink"/>
          </w:rPr>
          <w:t>https://www.cipd.org/uk/knowledge/factsheets/well-being-factsheet/#what-is-wellbeing-at-work</w:t>
        </w:r>
      </w:hyperlink>
      <w:r w:rsidRPr="00D64682">
        <w:t>. (Accessed January 2026)</w:t>
      </w:r>
    </w:p>
    <w:p w14:paraId="570117C1" w14:textId="2A2739FB" w:rsidR="003B1BEB" w:rsidRPr="00D64682" w:rsidRDefault="004E6B86" w:rsidP="004E6B86">
      <w:r w:rsidRPr="00D64682">
        <w:t>Vulpen</w:t>
      </w:r>
      <w:r w:rsidRPr="00D64682">
        <w:t>,</w:t>
      </w:r>
      <w:r w:rsidR="0067113F" w:rsidRPr="00D64682">
        <w:t xml:space="preserve"> E.</w:t>
      </w:r>
      <w:r w:rsidRPr="00D64682">
        <w:t xml:space="preserve"> </w:t>
      </w:r>
      <w:r w:rsidR="0067113F" w:rsidRPr="00D64682">
        <w:t>(</w:t>
      </w:r>
      <w:r w:rsidRPr="00D64682">
        <w:t>2021</w:t>
      </w:r>
      <w:r w:rsidR="0067113F" w:rsidRPr="00D64682">
        <w:t>)</w:t>
      </w:r>
      <w:r w:rsidRPr="00D64682">
        <w:t>. HR Benchmarking: All You Need to Know to Get Started. Available at: https://www.aihr.com/blog/hr-benchmarking/</w:t>
      </w:r>
      <w:r w:rsidR="0067113F" w:rsidRPr="00D64682">
        <w:t>.</w:t>
      </w:r>
      <w:r w:rsidRPr="00D64682">
        <w:t xml:space="preserve"> [Accessed</w:t>
      </w:r>
      <w:r w:rsidR="0067113F" w:rsidRPr="00D64682">
        <w:t>:</w:t>
      </w:r>
      <w:r w:rsidRPr="00D64682">
        <w:t xml:space="preserve"> February 2026]</w:t>
      </w:r>
    </w:p>
    <w:p w14:paraId="5FF92718" w14:textId="77777777" w:rsidR="003B1BEB" w:rsidRPr="00D64682" w:rsidRDefault="003B1BEB" w:rsidP="003B1BEB"/>
    <w:p w14:paraId="6CE755FE" w14:textId="77777777" w:rsidR="00347CB5" w:rsidRPr="00D64682" w:rsidRDefault="00347CB5" w:rsidP="00690993"/>
    <w:p w14:paraId="46D36E0D" w14:textId="77777777" w:rsidR="00347CB5" w:rsidRPr="00D64682" w:rsidRDefault="00347CB5" w:rsidP="00690993"/>
    <w:p w14:paraId="75F1C34D" w14:textId="77777777" w:rsidR="00B73F64" w:rsidRPr="00D64682" w:rsidRDefault="00B73F64" w:rsidP="00690993"/>
    <w:sectPr w:rsidR="00B73F64" w:rsidRPr="00D64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512"/>
    <w:rsid w:val="00021208"/>
    <w:rsid w:val="000264B1"/>
    <w:rsid w:val="000325AF"/>
    <w:rsid w:val="0003671F"/>
    <w:rsid w:val="000A34C9"/>
    <w:rsid w:val="000B3712"/>
    <w:rsid w:val="000E49F9"/>
    <w:rsid w:val="00135C1F"/>
    <w:rsid w:val="001447A9"/>
    <w:rsid w:val="00167715"/>
    <w:rsid w:val="00170C56"/>
    <w:rsid w:val="00170FA1"/>
    <w:rsid w:val="001735AB"/>
    <w:rsid w:val="001767DE"/>
    <w:rsid w:val="001A071A"/>
    <w:rsid w:val="001D16A6"/>
    <w:rsid w:val="001F467A"/>
    <w:rsid w:val="00211C0B"/>
    <w:rsid w:val="00212F6F"/>
    <w:rsid w:val="0022579D"/>
    <w:rsid w:val="00277F59"/>
    <w:rsid w:val="00292376"/>
    <w:rsid w:val="002B466E"/>
    <w:rsid w:val="002B69EC"/>
    <w:rsid w:val="002F6CAF"/>
    <w:rsid w:val="0032274F"/>
    <w:rsid w:val="00322FE2"/>
    <w:rsid w:val="00333193"/>
    <w:rsid w:val="0033702F"/>
    <w:rsid w:val="00347CB5"/>
    <w:rsid w:val="00360D0A"/>
    <w:rsid w:val="00365440"/>
    <w:rsid w:val="00371DAE"/>
    <w:rsid w:val="003749B3"/>
    <w:rsid w:val="00386243"/>
    <w:rsid w:val="003B0B1B"/>
    <w:rsid w:val="003B1BEB"/>
    <w:rsid w:val="003B633C"/>
    <w:rsid w:val="003C011D"/>
    <w:rsid w:val="003C23A0"/>
    <w:rsid w:val="003D2B0B"/>
    <w:rsid w:val="003E1274"/>
    <w:rsid w:val="004231D0"/>
    <w:rsid w:val="00433770"/>
    <w:rsid w:val="00454731"/>
    <w:rsid w:val="00470579"/>
    <w:rsid w:val="00483D66"/>
    <w:rsid w:val="0048438F"/>
    <w:rsid w:val="00485170"/>
    <w:rsid w:val="004E6B86"/>
    <w:rsid w:val="00515501"/>
    <w:rsid w:val="0052296C"/>
    <w:rsid w:val="005240CF"/>
    <w:rsid w:val="00537FEE"/>
    <w:rsid w:val="00596DAB"/>
    <w:rsid w:val="005A7D46"/>
    <w:rsid w:val="005D6C8A"/>
    <w:rsid w:val="0062241B"/>
    <w:rsid w:val="0066087B"/>
    <w:rsid w:val="00670180"/>
    <w:rsid w:val="0067113F"/>
    <w:rsid w:val="006872E7"/>
    <w:rsid w:val="00690993"/>
    <w:rsid w:val="006953EF"/>
    <w:rsid w:val="006A5119"/>
    <w:rsid w:val="006B1692"/>
    <w:rsid w:val="00710ABE"/>
    <w:rsid w:val="00712722"/>
    <w:rsid w:val="0072202C"/>
    <w:rsid w:val="00733DC2"/>
    <w:rsid w:val="00751D5E"/>
    <w:rsid w:val="0076388A"/>
    <w:rsid w:val="0076579B"/>
    <w:rsid w:val="007A1D77"/>
    <w:rsid w:val="007C3F28"/>
    <w:rsid w:val="007C7342"/>
    <w:rsid w:val="007E1186"/>
    <w:rsid w:val="0082307E"/>
    <w:rsid w:val="00831D09"/>
    <w:rsid w:val="008416A4"/>
    <w:rsid w:val="0085170F"/>
    <w:rsid w:val="008639A4"/>
    <w:rsid w:val="00892913"/>
    <w:rsid w:val="00894544"/>
    <w:rsid w:val="00897B13"/>
    <w:rsid w:val="008C38BD"/>
    <w:rsid w:val="00913278"/>
    <w:rsid w:val="0092283C"/>
    <w:rsid w:val="009558DD"/>
    <w:rsid w:val="00960A3A"/>
    <w:rsid w:val="0097506C"/>
    <w:rsid w:val="00997433"/>
    <w:rsid w:val="009A249A"/>
    <w:rsid w:val="009C025C"/>
    <w:rsid w:val="009E47FB"/>
    <w:rsid w:val="009F7D98"/>
    <w:rsid w:val="00A026B7"/>
    <w:rsid w:val="00A31398"/>
    <w:rsid w:val="00A43F35"/>
    <w:rsid w:val="00A56EE2"/>
    <w:rsid w:val="00A65D3F"/>
    <w:rsid w:val="00A73B61"/>
    <w:rsid w:val="00A8776E"/>
    <w:rsid w:val="00A97C97"/>
    <w:rsid w:val="00AC1E06"/>
    <w:rsid w:val="00AD71B3"/>
    <w:rsid w:val="00AF168E"/>
    <w:rsid w:val="00AF49A2"/>
    <w:rsid w:val="00B24FE6"/>
    <w:rsid w:val="00B33D88"/>
    <w:rsid w:val="00B73F64"/>
    <w:rsid w:val="00B93E9C"/>
    <w:rsid w:val="00B95C3E"/>
    <w:rsid w:val="00B97A1F"/>
    <w:rsid w:val="00BA2A3F"/>
    <w:rsid w:val="00BA64E1"/>
    <w:rsid w:val="00BB37E3"/>
    <w:rsid w:val="00BB6D95"/>
    <w:rsid w:val="00BC1499"/>
    <w:rsid w:val="00BE2ACB"/>
    <w:rsid w:val="00BE2C49"/>
    <w:rsid w:val="00BF5854"/>
    <w:rsid w:val="00C00734"/>
    <w:rsid w:val="00C05F9A"/>
    <w:rsid w:val="00C10258"/>
    <w:rsid w:val="00C128B1"/>
    <w:rsid w:val="00C14127"/>
    <w:rsid w:val="00C209B1"/>
    <w:rsid w:val="00C45AC8"/>
    <w:rsid w:val="00C61D9F"/>
    <w:rsid w:val="00C92101"/>
    <w:rsid w:val="00CA3579"/>
    <w:rsid w:val="00CC4A09"/>
    <w:rsid w:val="00CD0441"/>
    <w:rsid w:val="00CF0ACC"/>
    <w:rsid w:val="00CF64CB"/>
    <w:rsid w:val="00D121B8"/>
    <w:rsid w:val="00D32FFD"/>
    <w:rsid w:val="00D530DB"/>
    <w:rsid w:val="00D64682"/>
    <w:rsid w:val="00D65E88"/>
    <w:rsid w:val="00D92681"/>
    <w:rsid w:val="00D9535E"/>
    <w:rsid w:val="00DA0A95"/>
    <w:rsid w:val="00DD5508"/>
    <w:rsid w:val="00DD7C41"/>
    <w:rsid w:val="00E44462"/>
    <w:rsid w:val="00E60D9C"/>
    <w:rsid w:val="00E623D5"/>
    <w:rsid w:val="00E910E0"/>
    <w:rsid w:val="00E928F9"/>
    <w:rsid w:val="00EA0092"/>
    <w:rsid w:val="00EA5A23"/>
    <w:rsid w:val="00ED62CC"/>
    <w:rsid w:val="00EE4974"/>
    <w:rsid w:val="00EF6512"/>
    <w:rsid w:val="00F1019F"/>
    <w:rsid w:val="00F255A1"/>
    <w:rsid w:val="00F260F5"/>
    <w:rsid w:val="00F3044A"/>
    <w:rsid w:val="00F500D5"/>
    <w:rsid w:val="00F53523"/>
    <w:rsid w:val="00F54FDE"/>
    <w:rsid w:val="00F62349"/>
    <w:rsid w:val="00F6504A"/>
    <w:rsid w:val="00F72A42"/>
    <w:rsid w:val="00F72F3E"/>
    <w:rsid w:val="00F8113A"/>
    <w:rsid w:val="00F822F7"/>
    <w:rsid w:val="00FB32AB"/>
    <w:rsid w:val="00FB40B9"/>
    <w:rsid w:val="00FE2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5299A"/>
  <w15:chartTrackingRefBased/>
  <w15:docId w15:val="{F7494A11-8F2F-4AAD-BC91-BBAC3073F1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993"/>
    <w:pPr>
      <w:spacing w:before="240" w:line="276" w:lineRule="auto"/>
    </w:pPr>
    <w:rPr>
      <w:rFonts w:ascii="Arial" w:hAnsi="Arial" w:cs="Arial"/>
    </w:rPr>
  </w:style>
  <w:style w:type="paragraph" w:styleId="Heading1">
    <w:name w:val="heading 1"/>
    <w:basedOn w:val="Normal"/>
    <w:next w:val="Normal"/>
    <w:link w:val="Heading1Char"/>
    <w:uiPriority w:val="9"/>
    <w:qFormat/>
    <w:rsid w:val="00EF6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0993"/>
    <w:pPr>
      <w:keepNext/>
      <w:keepLines/>
      <w:spacing w:before="160" w:after="80"/>
      <w:outlineLvl w:val="1"/>
    </w:pPr>
    <w:rPr>
      <w:rFonts w:eastAsiaTheme="majorEastAsia"/>
      <w:color w:val="0F4761" w:themeColor="accent1" w:themeShade="BF"/>
      <w:sz w:val="24"/>
      <w:szCs w:val="24"/>
    </w:rPr>
  </w:style>
  <w:style w:type="paragraph" w:styleId="Heading3">
    <w:name w:val="heading 3"/>
    <w:basedOn w:val="Normal"/>
    <w:next w:val="Normal"/>
    <w:link w:val="Heading3Char"/>
    <w:uiPriority w:val="9"/>
    <w:semiHidden/>
    <w:unhideWhenUsed/>
    <w:qFormat/>
    <w:rsid w:val="00EF6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B40B9"/>
    <w:rPr>
      <w:szCs w:val="24"/>
    </w:rPr>
  </w:style>
  <w:style w:type="character" w:customStyle="1" w:styleId="BIBChar">
    <w:name w:val="BIB Char"/>
    <w:basedOn w:val="DefaultParagraphFont"/>
    <w:link w:val="BIB"/>
    <w:rsid w:val="00FB40B9"/>
    <w:rPr>
      <w:rFonts w:ascii="Arial" w:hAnsi="Arial" w:cs="Arial"/>
      <w:szCs w:val="24"/>
    </w:rPr>
  </w:style>
  <w:style w:type="character" w:customStyle="1" w:styleId="Heading1Char">
    <w:name w:val="Heading 1 Char"/>
    <w:basedOn w:val="DefaultParagraphFont"/>
    <w:link w:val="Heading1"/>
    <w:uiPriority w:val="9"/>
    <w:rsid w:val="00EF6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0993"/>
    <w:rPr>
      <w:rFonts w:ascii="Arial" w:eastAsiaTheme="majorEastAsia" w:hAnsi="Arial" w:cs="Arial"/>
      <w:color w:val="0F4761" w:themeColor="accent1" w:themeShade="BF"/>
      <w:sz w:val="24"/>
      <w:szCs w:val="24"/>
    </w:rPr>
  </w:style>
  <w:style w:type="character" w:customStyle="1" w:styleId="Heading3Char">
    <w:name w:val="Heading 3 Char"/>
    <w:basedOn w:val="DefaultParagraphFont"/>
    <w:link w:val="Heading3"/>
    <w:uiPriority w:val="9"/>
    <w:semiHidden/>
    <w:rsid w:val="00EF6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512"/>
    <w:rPr>
      <w:rFonts w:eastAsiaTheme="majorEastAsia" w:cstheme="majorBidi"/>
      <w:color w:val="272727" w:themeColor="text1" w:themeTint="D8"/>
    </w:rPr>
  </w:style>
  <w:style w:type="paragraph" w:styleId="Title">
    <w:name w:val="Title"/>
    <w:basedOn w:val="Normal"/>
    <w:next w:val="Normal"/>
    <w:link w:val="TitleChar"/>
    <w:uiPriority w:val="10"/>
    <w:qFormat/>
    <w:rsid w:val="00EF6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512"/>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EF6512"/>
    <w:pPr>
      <w:spacing w:before="160"/>
      <w:jc w:val="center"/>
    </w:pPr>
    <w:rPr>
      <w:i/>
      <w:iCs/>
      <w:color w:val="404040" w:themeColor="text1" w:themeTint="BF"/>
    </w:rPr>
  </w:style>
  <w:style w:type="character" w:customStyle="1" w:styleId="QuoteChar">
    <w:name w:val="Quote Char"/>
    <w:basedOn w:val="DefaultParagraphFont"/>
    <w:link w:val="Quote"/>
    <w:uiPriority w:val="29"/>
    <w:rsid w:val="00EF6512"/>
    <w:rPr>
      <w:i/>
      <w:iCs/>
      <w:color w:val="404040" w:themeColor="text1" w:themeTint="BF"/>
    </w:rPr>
  </w:style>
  <w:style w:type="paragraph" w:styleId="ListParagraph">
    <w:name w:val="List Paragraph"/>
    <w:basedOn w:val="Normal"/>
    <w:uiPriority w:val="34"/>
    <w:qFormat/>
    <w:rsid w:val="00EF6512"/>
    <w:pPr>
      <w:ind w:left="720"/>
      <w:contextualSpacing/>
    </w:pPr>
  </w:style>
  <w:style w:type="character" w:styleId="IntenseEmphasis">
    <w:name w:val="Intense Emphasis"/>
    <w:basedOn w:val="DefaultParagraphFont"/>
    <w:uiPriority w:val="21"/>
    <w:qFormat/>
    <w:rsid w:val="00EF6512"/>
    <w:rPr>
      <w:i/>
      <w:iCs/>
      <w:color w:val="0F4761" w:themeColor="accent1" w:themeShade="BF"/>
    </w:rPr>
  </w:style>
  <w:style w:type="paragraph" w:styleId="IntenseQuote">
    <w:name w:val="Intense Quote"/>
    <w:basedOn w:val="Normal"/>
    <w:next w:val="Normal"/>
    <w:link w:val="IntenseQuoteChar"/>
    <w:uiPriority w:val="30"/>
    <w:qFormat/>
    <w:rsid w:val="00EF6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512"/>
    <w:rPr>
      <w:i/>
      <w:iCs/>
      <w:color w:val="0F4761" w:themeColor="accent1" w:themeShade="BF"/>
    </w:rPr>
  </w:style>
  <w:style w:type="character" w:styleId="IntenseReference">
    <w:name w:val="Intense Reference"/>
    <w:basedOn w:val="DefaultParagraphFont"/>
    <w:uiPriority w:val="32"/>
    <w:qFormat/>
    <w:rsid w:val="00EF6512"/>
    <w:rPr>
      <w:b/>
      <w:bCs/>
      <w:smallCaps/>
      <w:color w:val="0F4761" w:themeColor="accent1" w:themeShade="BF"/>
      <w:spacing w:val="5"/>
    </w:rPr>
  </w:style>
  <w:style w:type="character" w:styleId="Hyperlink">
    <w:name w:val="Hyperlink"/>
    <w:basedOn w:val="DefaultParagraphFont"/>
    <w:uiPriority w:val="99"/>
    <w:unhideWhenUsed/>
    <w:rsid w:val="00277F59"/>
    <w:rPr>
      <w:color w:val="467886" w:themeColor="hyperlink"/>
      <w:u w:val="single"/>
    </w:rPr>
  </w:style>
  <w:style w:type="character" w:styleId="UnresolvedMention">
    <w:name w:val="Unresolved Mention"/>
    <w:basedOn w:val="DefaultParagraphFont"/>
    <w:uiPriority w:val="99"/>
    <w:semiHidden/>
    <w:unhideWhenUsed/>
    <w:rsid w:val="00277F59"/>
    <w:rPr>
      <w:color w:val="605E5C"/>
      <w:shd w:val="clear" w:color="auto" w:fill="E1DFDD"/>
    </w:rPr>
  </w:style>
  <w:style w:type="character" w:styleId="FollowedHyperlink">
    <w:name w:val="FollowedHyperlink"/>
    <w:basedOn w:val="DefaultParagraphFont"/>
    <w:uiPriority w:val="99"/>
    <w:semiHidden/>
    <w:unhideWhenUsed/>
    <w:rsid w:val="003C23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ay-structures-factsheet/#what-is-pay-structure" TargetMode="External"/><Relationship Id="rId13" Type="http://schemas.openxmlformats.org/officeDocument/2006/relationships/hyperlink" Target="https://www.gallup.com/workplace/236441/employee-recognition-low-cost-high-impact.aspx" TargetMode="External"/><Relationship Id="rId18" Type="http://schemas.openxmlformats.org/officeDocument/2006/relationships/hyperlink" Target="https://hrreview.co.uk/hr-news/strategy-news/uk-employers-missing-out-on-competitive-benefits-through-lack-of-benchmarking/377862?utm_source=chatgpt.co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ipd.org/uk/knowledge/factsheets/strategic-total-factsheet/" TargetMode="External"/><Relationship Id="rId12" Type="http://schemas.openxmlformats.org/officeDocument/2006/relationships/hyperlink" Target="https://cloud.3dissue.com/2349/3077/242987/PMSpring25/index.html" TargetMode="External"/><Relationship Id="rId17" Type="http://schemas.openxmlformats.org/officeDocument/2006/relationships/hyperlink" Target="https://www.personneltoday.com/hr/employees-want-access-to-work-private-healthcare-benefit/" TargetMode="External"/><Relationship Id="rId2" Type="http://schemas.openxmlformats.org/officeDocument/2006/relationships/settings" Target="settings.xml"/><Relationship Id="rId16" Type="http://schemas.openxmlformats.org/officeDocument/2006/relationships/hyperlink" Target="https://hrreview.co.uk/hr-news/strategy-news/uk-employers-missing-out-on-competitive-benefits-through-lack-of-benchmarking/377862?utm_source=chatgpt.com" TargetMode="External"/><Relationship Id="rId20" Type="http://schemas.openxmlformats.org/officeDocument/2006/relationships/hyperlink" Target="https://www.cipd.org/uk/knowledge/factsheets/well-being-factsheet/#what-is-wellbeing-at-work" TargetMode="External"/><Relationship Id="rId1" Type="http://schemas.openxmlformats.org/officeDocument/2006/relationships/styles" Target="styles.xml"/><Relationship Id="rId6" Type="http://schemas.openxmlformats.org/officeDocument/2006/relationships/hyperlink" Target="https://www.cipd.org/uk/knowledge/factsheets/engagement-factsheet/" TargetMode="External"/><Relationship Id="rId11" Type="http://schemas.openxmlformats.org/officeDocument/2006/relationships/hyperlink" Target="https://www.peoplemanagement.co.uk/article/1929054/perfetti-van-melle-bolstering-its-family-friendly-benefits" TargetMode="External"/><Relationship Id="rId5" Type="http://schemas.openxmlformats.org/officeDocument/2006/relationships/hyperlink" Target="https://www.library.hbs.edu/working-knowledge/four-steps-to-build-the-psychological-safety-that-high-performing-teams-need-today" TargetMode="External"/><Relationship Id="rId15" Type="http://schemas.openxmlformats.org/officeDocument/2006/relationships/hyperlink" Target="https://www.ons.gov.uk/employmentandlabourmarket/peopleinwork/employmentandemployeetypes/methodologies/comparisonoflabourmarketdatasources?utm_source=chatgpt.com" TargetMode="External"/><Relationship Id="rId10" Type="http://schemas.openxmlformats.org/officeDocument/2006/relationships/hyperlink" Target="https://www.cipd.org/uk/knowledge/factsheets/pay-performance-factsheet/?utm_source=chatgpt.com" TargetMode="External"/><Relationship Id="rId19" Type="http://schemas.openxmlformats.org/officeDocument/2006/relationships/hyperlink" Target="https://doi.org/10.1186/s43093-025-00475-0" TargetMode="External"/><Relationship Id="rId4" Type="http://schemas.openxmlformats.org/officeDocument/2006/relationships/hyperlink" Target="https://www.cipd.org/uk/the-people-profession/meet-the-people-professionals/day-in-the-life-reward-analyst/" TargetMode="External"/><Relationship Id="rId9" Type="http://schemas.openxmlformats.org/officeDocument/2006/relationships/hyperlink" Target="https://www.cipd.org/uk/knowledge/factsheets/market-pricing-factsheet/#jobevaluationmarket" TargetMode="External"/><Relationship Id="rId14" Type="http://schemas.openxmlformats.org/officeDocument/2006/relationships/hyperlink" Target="https://doi.org/10.25077/mssb.4.2.12-34.202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14</Pages>
  <Words>6120</Words>
  <Characters>34884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16</cp:revision>
  <dcterms:created xsi:type="dcterms:W3CDTF">2026-02-09T16:57:00Z</dcterms:created>
  <dcterms:modified xsi:type="dcterms:W3CDTF">2026-02-09T17:13:00Z</dcterms:modified>
</cp:coreProperties>
</file>