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pPr>
      <w:r w:rsidDel="00000000" w:rsidR="00000000" w:rsidRPr="00000000">
        <w:rPr/>
        <w:drawing>
          <wp:inline distB="0" distT="0" distL="0" distR="0">
            <wp:extent cx="3256077" cy="1452711"/>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3256077" cy="1452711"/>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jc w:val="center"/>
        <w:rPr/>
      </w:pPr>
      <w:r w:rsidDel="00000000" w:rsidR="00000000" w:rsidRPr="00000000">
        <w:rPr>
          <w:rtl w:val="0"/>
        </w:rPr>
      </w:r>
    </w:p>
    <w:p w:rsidR="00000000" w:rsidDel="00000000" w:rsidP="00000000" w:rsidRDefault="00000000" w:rsidRPr="00000000" w14:paraId="00000004">
      <w:pPr>
        <w:jc w:val="center"/>
        <w:rPr>
          <w:b w:val="1"/>
          <w:bCs w:val="1"/>
          <w:sz w:val="36"/>
          <w:szCs w:val="36"/>
        </w:rPr>
      </w:pPr>
      <w:r w:rsidDel="00000000" w:rsidR="00000000" w:rsidRPr="00000000">
        <w:rPr>
          <w:b w:val="1"/>
          <w:bCs w:val="1"/>
          <w:sz w:val="36"/>
          <w:szCs w:val="36"/>
          <w:rtl w:val="0"/>
        </w:rPr>
        <w:t xml:space="preserve">Master of Business Administration </w:t>
      </w:r>
    </w:p>
    <w:p w:rsidR="00000000" w:rsidDel="00000000" w:rsidP="00000000" w:rsidRDefault="00000000" w:rsidRPr="00000000" w14:paraId="00000005">
      <w:pPr>
        <w:jc w:val="center"/>
        <w:rPr>
          <w:b w:val="1"/>
          <w:bCs w:val="1"/>
          <w:sz w:val="36"/>
          <w:szCs w:val="36"/>
        </w:rPr>
      </w:pPr>
      <w:r w:rsidDel="00000000" w:rsidR="00000000" w:rsidRPr="00000000">
        <w:rPr>
          <w:b w:val="1"/>
          <w:bCs w:val="1"/>
          <w:sz w:val="36"/>
          <w:szCs w:val="36"/>
          <w:rtl w:val="0"/>
        </w:rPr>
        <w:t xml:space="preserve">Financial Management LCMB7002 </w:t>
      </w:r>
    </w:p>
    <w:p w:rsidR="00000000" w:rsidDel="00000000" w:rsidP="00000000" w:rsidRDefault="00000000" w:rsidRPr="00000000" w14:paraId="00000006">
      <w:pPr>
        <w:jc w:val="center"/>
        <w:rPr>
          <w:i w:val="1"/>
          <w:iCs w:val="1"/>
        </w:rPr>
      </w:pPr>
      <w:r w:rsidDel="00000000" w:rsidR="00000000" w:rsidRPr="00000000">
        <w:rPr>
          <w:b w:val="1"/>
          <w:bCs w:val="1"/>
          <w:i w:val="1"/>
          <w:iCs w:val="1"/>
          <w:sz w:val="32"/>
          <w:szCs w:val="32"/>
          <w:rtl w:val="0"/>
        </w:rPr>
        <w:t xml:space="preserve">Assessment component: Financial performance and management</w:t>
      </w:r>
      <w:r w:rsidDel="00000000" w:rsidR="00000000" w:rsidRPr="00000000">
        <w:rPr>
          <w:i w:val="1"/>
          <w:iCs w:val="1"/>
          <w:sz w:val="32"/>
          <w:szCs w:val="32"/>
          <w:rtl w:val="0"/>
        </w:rPr>
        <w:t xml:space="preserve"> </w:t>
      </w:r>
      <w:r w:rsidDel="00000000" w:rsidR="00000000" w:rsidRPr="00000000">
        <w:rPr>
          <w:rtl w:val="0"/>
        </w:rPr>
      </w:r>
    </w:p>
    <w:p w:rsidR="00000000" w:rsidDel="00000000" w:rsidP="00000000" w:rsidRDefault="00000000" w:rsidRPr="00000000" w14:paraId="00000007">
      <w:pPr>
        <w:jc w:val="center"/>
        <w:rPr>
          <w:i w:val="1"/>
          <w:iCs w:val="1"/>
        </w:rPr>
      </w:pPr>
      <w:r w:rsidDel="00000000" w:rsidR="00000000" w:rsidRPr="00000000">
        <w:rPr>
          <w:rtl w:val="0"/>
        </w:rPr>
      </w:r>
    </w:p>
    <w:p w:rsidR="00000000" w:rsidDel="00000000" w:rsidP="00000000" w:rsidRDefault="00000000" w:rsidRPr="00000000" w14:paraId="00000008">
      <w:pPr>
        <w:jc w:val="center"/>
        <w:rPr>
          <w:i w:val="1"/>
          <w:iCs w:val="1"/>
        </w:rPr>
      </w:pPr>
      <w:r w:rsidDel="00000000" w:rsidR="00000000" w:rsidRPr="00000000">
        <w:rPr>
          <w:rtl w:val="0"/>
        </w:rPr>
      </w:r>
    </w:p>
    <w:p w:rsidR="00000000" w:rsidDel="00000000" w:rsidP="00000000" w:rsidRDefault="00000000" w:rsidRPr="00000000" w14:paraId="00000009">
      <w:pPr>
        <w:jc w:val="center"/>
        <w:rPr>
          <w:i w:val="1"/>
          <w:iCs w:val="1"/>
        </w:rPr>
      </w:pPr>
      <w:r w:rsidDel="00000000" w:rsidR="00000000" w:rsidRPr="00000000">
        <w:rPr>
          <w:rtl w:val="0"/>
        </w:rPr>
      </w:r>
    </w:p>
    <w:p w:rsidR="00000000" w:rsidDel="00000000" w:rsidP="00000000" w:rsidRDefault="00000000" w:rsidRPr="00000000" w14:paraId="0000000A">
      <w:pPr>
        <w:jc w:val="center"/>
        <w:rPr>
          <w:i w:val="1"/>
          <w:iCs w:val="1"/>
        </w:rPr>
      </w:pPr>
      <w:r w:rsidDel="00000000" w:rsidR="00000000" w:rsidRPr="00000000">
        <w:rPr>
          <w:rtl w:val="0"/>
        </w:rPr>
      </w:r>
    </w:p>
    <w:p w:rsidR="00000000" w:rsidDel="00000000" w:rsidP="00000000" w:rsidRDefault="00000000" w:rsidRPr="00000000" w14:paraId="0000000B">
      <w:pPr>
        <w:jc w:val="center"/>
        <w:rPr>
          <w:b w:val="1"/>
          <w:bCs w:val="1"/>
          <w:i w:val="1"/>
          <w:iCs w:val="1"/>
          <w:u w:val="single"/>
        </w:rPr>
      </w:pPr>
      <w:r w:rsidDel="00000000" w:rsidR="00000000" w:rsidRPr="00000000">
        <w:rPr>
          <w:b w:val="1"/>
          <w:bCs w:val="1"/>
          <w:i w:val="1"/>
          <w:iCs w:val="1"/>
          <w:sz w:val="32"/>
          <w:szCs w:val="32"/>
          <w:u w:val="single"/>
          <w:rtl w:val="0"/>
        </w:rPr>
        <w:t xml:space="preserve">Strategic CFO Challenge: Saving a Failing Global Firm</w:t>
      </w:r>
      <w:r w:rsidDel="00000000" w:rsidR="00000000" w:rsidRPr="00000000">
        <w:rPr>
          <w:rtl w:val="0"/>
        </w:rPr>
      </w:r>
    </w:p>
    <w:p w:rsidR="00000000" w:rsidDel="00000000" w:rsidP="00000000" w:rsidRDefault="00000000" w:rsidRPr="00000000" w14:paraId="0000000C">
      <w:pPr>
        <w:jc w:val="center"/>
        <w:rPr>
          <w:i w:val="1"/>
          <w:iCs w:val="1"/>
        </w:rPr>
      </w:pPr>
      <w:r w:rsidDel="00000000" w:rsidR="00000000" w:rsidRPr="00000000">
        <w:rPr>
          <w:rtl w:val="0"/>
        </w:rPr>
      </w:r>
    </w:p>
    <w:p w:rsidR="00000000" w:rsidDel="00000000" w:rsidP="00000000" w:rsidRDefault="00000000" w:rsidRPr="00000000" w14:paraId="0000000D">
      <w:pPr>
        <w:jc w:val="center"/>
        <w:rPr>
          <w:i w:val="1"/>
          <w:iCs w:val="1"/>
        </w:rPr>
      </w:pPr>
      <w:r w:rsidDel="00000000" w:rsidR="00000000" w:rsidRPr="00000000">
        <w:rPr>
          <w:rtl w:val="0"/>
        </w:rPr>
      </w:r>
    </w:p>
    <w:p w:rsidR="00000000" w:rsidDel="00000000" w:rsidP="00000000" w:rsidRDefault="00000000" w:rsidRPr="00000000" w14:paraId="0000000E">
      <w:pPr>
        <w:jc w:val="center"/>
        <w:rPr>
          <w:b w:val="1"/>
          <w:bCs w:val="1"/>
          <w:i w:val="1"/>
          <w:iCs w:val="1"/>
          <w:sz w:val="28"/>
          <w:szCs w:val="28"/>
        </w:rPr>
      </w:pPr>
      <w:r w:rsidDel="00000000" w:rsidR="00000000" w:rsidRPr="00000000">
        <w:rPr>
          <w:b w:val="1"/>
          <w:bCs w:val="1"/>
          <w:i w:val="1"/>
          <w:iCs w:val="1"/>
          <w:sz w:val="28"/>
          <w:szCs w:val="28"/>
          <w:rtl w:val="0"/>
        </w:rPr>
        <w:t xml:space="preserve">Lecturer: Dr. Shengfeng Mei</w:t>
      </w:r>
    </w:p>
    <w:p w:rsidR="00000000" w:rsidDel="00000000" w:rsidP="00000000" w:rsidRDefault="00000000" w:rsidRPr="00000000" w14:paraId="0000000F">
      <w:pPr>
        <w:jc w:val="left"/>
        <w:rPr>
          <w:b w:val="1"/>
          <w:bCs w:val="1"/>
          <w:i w:val="1"/>
          <w:iCs w:val="1"/>
          <w:sz w:val="28"/>
          <w:szCs w:val="28"/>
        </w:rPr>
      </w:pPr>
      <w:r w:rsidDel="00000000" w:rsidR="00000000" w:rsidRPr="00000000">
        <w:rPr>
          <w:rtl w:val="0"/>
        </w:rPr>
      </w:r>
    </w:p>
    <w:p w:rsidR="00000000" w:rsidDel="00000000" w:rsidP="00000000" w:rsidRDefault="00000000" w:rsidRPr="00000000" w14:paraId="00000010">
      <w:pPr>
        <w:jc w:val="center"/>
        <w:rPr>
          <w:b w:val="1"/>
          <w:bCs w:val="1"/>
          <w:i w:val="1"/>
          <w:iCs w:val="1"/>
          <w:sz w:val="28"/>
          <w:szCs w:val="28"/>
        </w:rPr>
      </w:pPr>
      <w:r w:rsidDel="00000000" w:rsidR="00000000" w:rsidRPr="00000000">
        <w:rPr>
          <w:b w:val="1"/>
          <w:bCs w:val="1"/>
          <w:i w:val="1"/>
          <w:iCs w:val="1"/>
          <w:sz w:val="28"/>
          <w:szCs w:val="28"/>
          <w:rtl w:val="0"/>
        </w:rPr>
        <w:t xml:space="preserve">Student Name: Md Faysal Rahman </w:t>
      </w:r>
    </w:p>
    <w:p w:rsidR="00000000" w:rsidDel="00000000" w:rsidP="00000000" w:rsidRDefault="00000000" w:rsidRPr="00000000" w14:paraId="00000011">
      <w:pPr>
        <w:jc w:val="center"/>
        <w:rPr>
          <w:b w:val="1"/>
          <w:bCs w:val="1"/>
          <w:i w:val="1"/>
          <w:iCs w:val="1"/>
          <w:sz w:val="28"/>
          <w:szCs w:val="28"/>
        </w:rPr>
      </w:pPr>
      <w:r w:rsidDel="00000000" w:rsidR="00000000" w:rsidRPr="00000000">
        <w:rPr>
          <w:b w:val="1"/>
          <w:bCs w:val="1"/>
          <w:i w:val="1"/>
          <w:iCs w:val="1"/>
          <w:sz w:val="28"/>
          <w:szCs w:val="28"/>
          <w:rtl w:val="0"/>
        </w:rPr>
        <w:t xml:space="preserve">Student ID: 2436576</w:t>
      </w:r>
    </w:p>
    <w:p w:rsidR="00000000" w:rsidDel="00000000" w:rsidP="00000000" w:rsidRDefault="00000000" w:rsidRPr="00000000" w14:paraId="00000012">
      <w:pPr>
        <w:jc w:val="center"/>
        <w:rPr>
          <w:i w:val="1"/>
          <w:iCs w:val="1"/>
        </w:rPr>
      </w:pPr>
      <w:r w:rsidDel="00000000" w:rsidR="00000000" w:rsidRPr="00000000">
        <w:br w:type="page"/>
      </w:r>
      <w:r w:rsidDel="00000000" w:rsidR="00000000" w:rsidRPr="00000000">
        <w:rPr>
          <w:rtl w:val="0"/>
        </w:rPr>
      </w:r>
    </w:p>
    <w:p w:rsidR="00000000" w:rsidDel="00000000" w:rsidP="00000000" w:rsidRDefault="00000000" w:rsidRPr="00000000" w14:paraId="00000013">
      <w:pPr>
        <w:keepNext w:val="1"/>
        <w:keepLines w:val="1"/>
        <w:pageBreakBefore w:val="0"/>
        <w:widowControl w:val="1"/>
        <w:pBdr>
          <w:top w:space="0" w:sz="0" w:val="nil"/>
          <w:left w:space="0" w:sz="0" w:val="nil"/>
          <w:bottom w:color="000000" w:space="1" w:sz="12" w:val="single"/>
          <w:right w:space="0" w:sz="0" w:val="nil"/>
          <w:between w:space="0" w:sz="0" w:val="nil"/>
        </w:pBdr>
        <w:shd w:fill="auto" w:val="clear"/>
        <w:spacing w:after="0" w:before="240" w:line="259" w:lineRule="auto"/>
        <w:ind w:left="0" w:right="0" w:firstLine="0"/>
        <w:jc w:val="left"/>
        <w:rPr>
          <w:rFonts w:ascii="Arial" w:cs="Arial" w:eastAsia="Arial" w:hAnsi="Arial"/>
          <w:b w:val="1"/>
          <w:bCs w:val="1"/>
          <w:i w:val="0"/>
          <w:iCs w:val="0"/>
          <w:smallCaps w:val="0"/>
          <w:strike w:val="0"/>
          <w:color w:val="366091"/>
          <w:sz w:val="32"/>
          <w:szCs w:val="32"/>
          <w:u w:val="none"/>
          <w:shd w:fill="auto" w:val="clear"/>
          <w:vertAlign w:val="baseline"/>
        </w:rPr>
      </w:pPr>
      <w:r w:rsidDel="00000000" w:rsidR="00000000" w:rsidRPr="00000000">
        <w:rPr>
          <w:rFonts w:ascii="Arial" w:cs="Arial" w:eastAsia="Arial" w:hAnsi="Arial"/>
          <w:b w:val="1"/>
          <w:bCs w:val="1"/>
          <w:i w:val="0"/>
          <w:iCs w:val="0"/>
          <w:smallCaps w:val="0"/>
          <w:strike w:val="0"/>
          <w:color w:val="366091"/>
          <w:sz w:val="32"/>
          <w:szCs w:val="32"/>
          <w:u w:val="none"/>
          <w:shd w:fill="auto" w:val="clear"/>
          <w:vertAlign w:val="baseline"/>
          <w:rtl w:val="0"/>
        </w:rPr>
        <w:t xml:space="preserve">Table of Contents</w:t>
      </w:r>
    </w:p>
    <w:sdt>
      <w:sdtPr>
        <w:id w:val="1963058580"/>
        <w:docPartObj>
          <w:docPartGallery w:val="Table of Contents"/>
          <w:docPartUnique w:val="1"/>
        </w:docPartObj>
      </w:sdtPr>
      <w:sdtContent>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744p1em2aa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1.0 Introduction</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5gizl6rqzwq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2.0 Financial Health Check</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f16al5a9wtz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2.1 Analyse the Firm’s Financial Statements</w:t>
              <w:tab/>
              <w:t xml:space="preserve">5</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hdbvjeltirz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 Perform Ratio Analysis</w:t>
              <w:tab/>
              <w:t xml:space="preserve">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mxchsby3qfo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2.2.1 Profitability Ratios</w:t>
              <w:tab/>
              <w:t xml:space="preserve">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ijchva4xty9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2.2.2 Liquidity Ratios</w:t>
              <w:tab/>
              <w:t xml:space="preserve">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bxxfc133ka8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2.2.3 Efficiency Ratios</w:t>
              <w:tab/>
              <w:t xml:space="preserve">7</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3qmh2nadm1c7">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2.2.4 Leverage Ratios</w:t>
              <w:tab/>
              <w:t xml:space="preserve">8</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4xem3k54t8k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2.2.5 Operating Ratios</w:t>
              <w:tab/>
              <w:t xml:space="preserve">8</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ihcokzauyogw">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2.3 Discover Trends, Strengths and Threats.</w:t>
              <w:tab/>
              <w:t xml:space="preserve">9</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zbw5at1v9xmp">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2.4 Apply Corporate Failure Prediction Models (e.g. Altman Z-score)</w:t>
              <w:tab/>
              <w:t xml:space="preserve">10</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8hevo035tnnd">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3.0 Working Capital Management Analysis</w:t>
              <w:tab/>
              <w:t xml:space="preserve">12</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ashoqigbc40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3.1 Cash Operating Cycle Measurement.</w:t>
              <w:tab/>
              <w:t xml:space="preserve">12</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lhydl22iahl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 Recommend Strategies to Improve Liquidity</w:t>
              <w:tab/>
              <w:t xml:space="preserve">12</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59dupt30l4u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3.3 Short-Term vs Long-Term Financing Options</w:t>
              <w:tab/>
              <w:t xml:space="preserve">13</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9iz1aqoa7kc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4.0 Strategic Financial Restructuring Plan</w:t>
              <w:tab/>
              <w:t xml:space="preserve">16</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ihrvu78aqz8p">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4.1 Recommend Financial Restructuring Options</w:t>
              <w:tab/>
              <w:t xml:space="preserve">16</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1e9p0fz0h1g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4.1.1 Divestiture</w:t>
              <w:tab/>
              <w:t xml:space="preserve">16</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q7h8ai8f293a">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4.1.2 Merger or Acquisition</w:t>
              <w:tab/>
              <w:t xml:space="preserve">16</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qgv5wzyox2l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4.1.3 Equity Injection</w:t>
              <w:tab/>
              <w:t xml:space="preserve">17</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z6clfmyckfl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4.2 Evaluate Impact on Shareholder Value, Debt Structure, and Operational Flexibility</w:t>
              <w:tab/>
              <w:t xml:space="preserve">17</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jkoxk4ncxuv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4.2 Ethics and International Considerations</w:t>
              <w:tab/>
              <w:t xml:space="preserve">18</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agp65qe7t6b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4.2.1 International Considerations</w:t>
              <w:tab/>
              <w:t xml:space="preserve">18</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6esm7jphcuu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4.2.2 Ethical Considerations</w:t>
              <w:tab/>
              <w:t xml:space="preserve">19</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xf6nwathqlr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5.0 Investment Appraisal and Capital Budgeting</w:t>
              <w:tab/>
              <w:t xml:space="preserve">21</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fg8oz9veb68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5.1 Comments on Project Evaluation</w:t>
              <w:tab/>
              <w:t xml:space="preserve">21</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w77si9ighjp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5.2 Investment Recommendation.</w:t>
              <w:tab/>
              <w:t xml:space="preserve">22</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f4i811ylt24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5.3 Justification of Recommendation</w:t>
              <w:tab/>
              <w:t xml:space="preserve">23</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l5ce4q58jtu7">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6.0 Conclusion</w:t>
              <w:tab/>
              <w:t xml:space="preserve">25</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z7rmacyxzit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7.0 Reference</w:t>
              <w:tab/>
              <w:t xml:space="preserve">26</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fb3l5cyh6j7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 1 Analysis of Ratios</w:t>
              <w:tab/>
              <w:t xml:space="preserve">29</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re8vd1s0ssk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 1.1 Profitability Ratios</w:t>
              <w:tab/>
              <w:t xml:space="preserve">29</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66zz49kp7r8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 1.2 Liquidity Ratios</w:t>
              <w:tab/>
              <w:t xml:space="preserve">31</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ns6z5ctftc3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 1.3 Efficiency Ratios</w:t>
              <w:tab/>
              <w:t xml:space="preserve">32</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bilmcc53f03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 1.4 Leverage Ratios</w:t>
              <w:tab/>
              <w:t xml:space="preserve">34</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e9ja7m73ef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 1.5 Operating Ratios</w:t>
              <w:tab/>
              <w:t xml:space="preserve">34</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m6hgnyprmuy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 1.6 The Altman Z-Score</w:t>
              <w:tab/>
              <w:t xml:space="preserve">35</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w10mmsdjxv6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 2 Working Capital Analysis</w:t>
              <w:tab/>
              <w:t xml:space="preserve">39</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l8e10pg1m6q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 2.1 Inventory Days (DIO)</w:t>
              <w:tab/>
              <w:t xml:space="preserve">39</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5aan1nq4soa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 3 Capital Budgeting</w:t>
              <w:tab/>
              <w:t xml:space="preserve">41</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u6b7hu2izpc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 3.1 ARR calculation</w:t>
              <w:tab/>
              <w:t xml:space="preserve">41</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2vow7a6b7tgd">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 3.2 NPV Calculation</w:t>
              <w:tab/>
              <w:t xml:space="preserve">42</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wiq36slcjux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 3.3 Profitability Index</w:t>
              <w:tab/>
              <w:t xml:space="preserve">43</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6j6o7ffiuei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 3.4 PBP</w:t>
              <w:tab/>
              <w:t xml:space="preserve">45</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8n0uws3itk20">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 3.5 IRR</w:t>
              <w:tab/>
              <w:t xml:space="preserve">46</w:t>
            </w:r>
          </w:hyperlink>
          <w:r w:rsidDel="00000000" w:rsidR="00000000" w:rsidRPr="00000000">
            <w:rPr>
              <w:rtl w:val="0"/>
            </w:rPr>
          </w:r>
        </w:p>
        <w:p w:rsidR="00000000" w:rsidDel="00000000" w:rsidP="00000000" w:rsidRDefault="00000000" w:rsidRPr="00000000" w14:paraId="00000041">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2">
      <w:pPr>
        <w:rPr/>
      </w:pPr>
      <w:r w:rsidDel="00000000" w:rsidR="00000000" w:rsidRPr="00000000">
        <w:br w:type="page"/>
      </w:r>
      <w:r w:rsidDel="00000000" w:rsidR="00000000" w:rsidRPr="00000000">
        <w:rPr>
          <w:rtl w:val="0"/>
        </w:rPr>
      </w:r>
    </w:p>
    <w:p w:rsidR="00000000" w:rsidDel="00000000" w:rsidP="00000000" w:rsidRDefault="00000000" w:rsidRPr="00000000" w14:paraId="00000043">
      <w:pPr>
        <w:pStyle w:val="Heading1"/>
        <w:rPr/>
      </w:pPr>
      <w:bookmarkStart w:colFirst="0" w:colLast="0" w:name="_heading=h.dsx3ktcbprnl" w:id="0"/>
      <w:bookmarkEnd w:id="0"/>
      <w:r w:rsidDel="00000000" w:rsidR="00000000" w:rsidRPr="00000000">
        <w:rPr>
          <w:rtl w:val="0"/>
        </w:rPr>
        <w:t xml:space="preserve">1.0 Introduction</w:t>
      </w:r>
    </w:p>
    <w:p w:rsidR="00000000" w:rsidDel="00000000" w:rsidP="00000000" w:rsidRDefault="00000000" w:rsidRPr="00000000" w14:paraId="00000044">
      <w:pPr>
        <w:rPr/>
      </w:pPr>
      <w:r w:rsidDel="00000000" w:rsidR="00000000" w:rsidRPr="00000000">
        <w:rPr>
          <w:rtl w:val="0"/>
        </w:rPr>
        <w:t xml:space="preserve">The report includes the discussion of the financial health of General Electric, its financial strategy restructuring, as well as an option of investing amid capital rationing limitations in detail. It commences with an acute analysis of the financial reports of General electronics then liquidity and profitability ratios and efficiency ratios have been analysed sequentially. The analysis will give a glimpse of the financial performance, the state of the company and the most evident trends, benefits, and threats. In addition, we also use the Altman Z-Score model during the process of determining the level at which the firms are at risk of a financial meltdown. The Working Capital Management section evaluates the operations of the cash operating cycle of General Electronics and suggests certain measures that can help to improve the liquidity, like sources of liquidity, be it short-term or long-term. Finally, Investment Appraisal suggests the consideration of three projected projects, the measure of ARR, NPV, PI and direction of decision making relying on the financial performance and risk of the company.</w:t>
      </w:r>
      <w:r w:rsidDel="00000000" w:rsidR="00000000" w:rsidRPr="00000000">
        <w:br w:type="page"/>
      </w:r>
      <w:r w:rsidDel="00000000" w:rsidR="00000000" w:rsidRPr="00000000">
        <w:rPr>
          <w:rtl w:val="0"/>
        </w:rPr>
      </w:r>
    </w:p>
    <w:p w:rsidR="00000000" w:rsidDel="00000000" w:rsidP="00000000" w:rsidRDefault="00000000" w:rsidRPr="00000000" w14:paraId="00000045">
      <w:pPr>
        <w:pStyle w:val="Heading1"/>
        <w:rPr/>
      </w:pPr>
      <w:bookmarkStart w:colFirst="0" w:colLast="0" w:name="_heading=h.lzdsa4twzjm1" w:id="1"/>
      <w:bookmarkEnd w:id="1"/>
      <w:r w:rsidDel="00000000" w:rsidR="00000000" w:rsidRPr="00000000">
        <w:rPr>
          <w:rtl w:val="0"/>
        </w:rPr>
        <w:t xml:space="preserve">2.0 Financial Health Check</w:t>
      </w:r>
    </w:p>
    <w:p w:rsidR="00000000" w:rsidDel="00000000" w:rsidP="00000000" w:rsidRDefault="00000000" w:rsidRPr="00000000" w14:paraId="00000046">
      <w:pPr>
        <w:pStyle w:val="Heading2"/>
        <w:rPr/>
      </w:pPr>
      <w:bookmarkStart w:colFirst="0" w:colLast="0" w:name="_heading=h.1z13z8f138dc" w:id="2"/>
      <w:bookmarkEnd w:id="2"/>
      <w:r w:rsidDel="00000000" w:rsidR="00000000" w:rsidRPr="00000000">
        <w:rPr>
          <w:rtl w:val="0"/>
        </w:rPr>
        <w:t xml:space="preserve">2.1 Analyse the Firm’s Financial Statements</w:t>
      </w:r>
    </w:p>
    <w:p w:rsidR="00000000" w:rsidDel="00000000" w:rsidP="00000000" w:rsidRDefault="00000000" w:rsidRPr="00000000" w14:paraId="00000047">
      <w:pPr>
        <w:rPr/>
      </w:pPr>
      <w:r w:rsidDel="00000000" w:rsidR="00000000" w:rsidRPr="00000000">
        <w:rPr>
          <w:rtl w:val="0"/>
        </w:rPr>
        <w:t xml:space="preserve">In order to consider the financial status of General Electric, one will have to perform the detailed analysis of the financial statements. The reports include specifications of the effectiveness, liquidity, profitability and solvency of the corporation. The revenue of the firms, gross profit, operating income and the net income are reviewed under the Income statement (Blessing and Sakouvogui, 2023). The Balance Sheet makes make to realise what the assets, liabilities and of the shareholders of the company are since it gives us the picture of the financial stability of the company. Cash Flow Statement shows the capability of the company to raise cash, to finance and to invest in company activities. The company under consideration has a high revenue base and a gross margin, but uncertain by the growing liabilities and unstable operating revenue. The additional ratio analysis will be implemented to identify the areas, which require improvement with profitability, liquidity, efficiency and leverage as the point of focus.</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pStyle w:val="Heading2"/>
        <w:rPr/>
      </w:pPr>
      <w:bookmarkStart w:colFirst="0" w:colLast="0" w:name="_heading=h.chlusuntjygk" w:id="3"/>
      <w:bookmarkEnd w:id="3"/>
      <w:r w:rsidDel="00000000" w:rsidR="00000000" w:rsidRPr="00000000">
        <w:rPr>
          <w:rtl w:val="0"/>
        </w:rPr>
        <w:t xml:space="preserve">2.2 Perform Ratio Analysis</w:t>
      </w:r>
    </w:p>
    <w:p w:rsidR="00000000" w:rsidDel="00000000" w:rsidP="00000000" w:rsidRDefault="00000000" w:rsidRPr="00000000" w14:paraId="0000004B">
      <w:pPr>
        <w:pStyle w:val="Heading3"/>
        <w:rPr/>
      </w:pPr>
      <w:bookmarkStart w:colFirst="0" w:colLast="0" w:name="_heading=h.mkfuw1f13jm1" w:id="4"/>
      <w:bookmarkEnd w:id="4"/>
      <w:r w:rsidDel="00000000" w:rsidR="00000000" w:rsidRPr="00000000">
        <w:rPr>
          <w:rtl w:val="0"/>
        </w:rPr>
        <w:t xml:space="preserve">2.2.1 Profitability Ratios</w:t>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Arial" w:cs="Arial" w:eastAsia="Arial" w:hAnsi="Arial"/>
          <w:b w:val="1"/>
          <w:bCs w:val="1"/>
          <w:i w:val="1"/>
          <w:iCs w:val="1"/>
          <w:smallCaps w:val="0"/>
          <w:strike w:val="0"/>
          <w:color w:val="1f497d"/>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1f497d"/>
          <w:sz w:val="24"/>
          <w:szCs w:val="24"/>
          <w:u w:val="none"/>
          <w:shd w:fill="auto" w:val="clear"/>
          <w:vertAlign w:val="baseline"/>
          <w:rtl w:val="0"/>
        </w:rPr>
        <w:t xml:space="preserve">Table 1 Profitability Ratios.</w:t>
      </w:r>
    </w:p>
    <w:tbl>
      <w:tblPr>
        <w:tblStyle w:val="Table1"/>
        <w:tblW w:w="958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780"/>
        <w:gridCol w:w="1410"/>
        <w:gridCol w:w="1815"/>
        <w:gridCol w:w="1470"/>
        <w:gridCol w:w="1650"/>
        <w:gridCol w:w="2460"/>
        <w:tblGridChange w:id="0">
          <w:tblGrid>
            <w:gridCol w:w="780"/>
            <w:gridCol w:w="1410"/>
            <w:gridCol w:w="1815"/>
            <w:gridCol w:w="1470"/>
            <w:gridCol w:w="1650"/>
            <w:gridCol w:w="2460"/>
          </w:tblGrid>
        </w:tblGridChange>
      </w:tblGrid>
      <w:tr>
        <w:trPr>
          <w:cantSplit w:val="0"/>
          <w:trHeight w:val="975" w:hRule="atLeast"/>
          <w:tblHeader w:val="0"/>
        </w:trPr>
        <w:tc>
          <w:tcPr>
            <w:tcBorders>
              <w:top w:color="000000" w:space="0" w:sz="0" w:val="nil"/>
              <w:left w:color="000000" w:space="0" w:sz="0" w:val="nil"/>
              <w:bottom w:color="8eaadb" w:space="0" w:sz="6"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04D">
            <w:pPr>
              <w:spacing w:after="160" w:before="240" w:lineRule="auto"/>
              <w:rPr>
                <w:b w:val="1"/>
                <w:bCs w:val="1"/>
                <w:i w:val="1"/>
                <w:iCs w:val="1"/>
              </w:rPr>
            </w:pPr>
            <w:r w:rsidDel="00000000" w:rsidR="00000000" w:rsidRPr="00000000">
              <w:rPr>
                <w:b w:val="1"/>
                <w:bCs w:val="1"/>
                <w:i w:val="1"/>
                <w:iCs w:val="1"/>
                <w:rtl w:val="0"/>
              </w:rPr>
              <w:t xml:space="preserve">Year</w:t>
            </w:r>
          </w:p>
        </w:tc>
        <w:tc>
          <w:tcPr>
            <w:tcBorders>
              <w:top w:color="000000" w:space="0" w:sz="0" w:val="nil"/>
              <w:left w:color="000000" w:space="0" w:sz="0" w:val="nil"/>
              <w:bottom w:color="8eaadb" w:space="0" w:sz="6"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04E">
            <w:pPr>
              <w:spacing w:after="160" w:before="240" w:lineRule="auto"/>
              <w:rPr>
                <w:b w:val="1"/>
                <w:bCs w:val="1"/>
              </w:rPr>
            </w:pPr>
            <w:r w:rsidDel="00000000" w:rsidR="00000000" w:rsidRPr="00000000">
              <w:rPr>
                <w:b w:val="1"/>
                <w:bCs w:val="1"/>
                <w:rtl w:val="0"/>
              </w:rPr>
              <w:t xml:space="preserve">Gross Profit Margin (%)</w:t>
            </w:r>
          </w:p>
        </w:tc>
        <w:tc>
          <w:tcPr>
            <w:tcBorders>
              <w:top w:color="000000" w:space="0" w:sz="0" w:val="nil"/>
              <w:left w:color="000000" w:space="0" w:sz="0" w:val="nil"/>
              <w:bottom w:color="8eaadb" w:space="0" w:sz="6"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04F">
            <w:pPr>
              <w:spacing w:after="160" w:before="240" w:lineRule="auto"/>
              <w:rPr>
                <w:b w:val="1"/>
                <w:bCs w:val="1"/>
              </w:rPr>
            </w:pPr>
            <w:r w:rsidDel="00000000" w:rsidR="00000000" w:rsidRPr="00000000">
              <w:rPr>
                <w:b w:val="1"/>
                <w:bCs w:val="1"/>
                <w:rtl w:val="0"/>
              </w:rPr>
              <w:t xml:space="preserve">Operating Profit Margin (%)</w:t>
            </w:r>
          </w:p>
        </w:tc>
        <w:tc>
          <w:tcPr>
            <w:tcBorders>
              <w:top w:color="000000" w:space="0" w:sz="0" w:val="nil"/>
              <w:left w:color="000000" w:space="0" w:sz="0" w:val="nil"/>
              <w:bottom w:color="8eaadb" w:space="0" w:sz="6"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050">
            <w:pPr>
              <w:spacing w:after="160" w:before="240" w:lineRule="auto"/>
              <w:rPr>
                <w:b w:val="1"/>
                <w:bCs w:val="1"/>
              </w:rPr>
            </w:pPr>
            <w:r w:rsidDel="00000000" w:rsidR="00000000" w:rsidRPr="00000000">
              <w:rPr>
                <w:b w:val="1"/>
                <w:bCs w:val="1"/>
                <w:rtl w:val="0"/>
              </w:rPr>
              <w:t xml:space="preserve">Net Profit Margin (%)</w:t>
            </w:r>
          </w:p>
        </w:tc>
        <w:tc>
          <w:tcPr>
            <w:tcBorders>
              <w:top w:color="000000" w:space="0" w:sz="0" w:val="nil"/>
              <w:left w:color="000000" w:space="0" w:sz="0" w:val="nil"/>
              <w:bottom w:color="8eaadb" w:space="0" w:sz="6"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051">
            <w:pPr>
              <w:spacing w:after="160" w:before="240" w:lineRule="auto"/>
              <w:rPr>
                <w:b w:val="1"/>
                <w:bCs w:val="1"/>
              </w:rPr>
            </w:pPr>
            <w:r w:rsidDel="00000000" w:rsidR="00000000" w:rsidRPr="00000000">
              <w:rPr>
                <w:b w:val="1"/>
                <w:bCs w:val="1"/>
                <w:rtl w:val="0"/>
              </w:rPr>
              <w:t xml:space="preserve">Return on Assets (ROA) (%)</w:t>
            </w:r>
          </w:p>
        </w:tc>
        <w:tc>
          <w:tcPr>
            <w:tcBorders>
              <w:top w:color="000000" w:space="0" w:sz="0" w:val="nil"/>
              <w:left w:color="000000" w:space="0" w:sz="0" w:val="nil"/>
              <w:bottom w:color="8eaadb" w:space="0" w:sz="6"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052">
            <w:pPr>
              <w:spacing w:after="160" w:before="240" w:lineRule="auto"/>
              <w:rPr>
                <w:b w:val="1"/>
                <w:bCs w:val="1"/>
              </w:rPr>
            </w:pPr>
            <w:r w:rsidDel="00000000" w:rsidR="00000000" w:rsidRPr="00000000">
              <w:rPr>
                <w:b w:val="1"/>
                <w:bCs w:val="1"/>
                <w:rtl w:val="0"/>
              </w:rPr>
              <w:t xml:space="preserve">Return on Equity (ROE) (%)</w:t>
            </w:r>
          </w:p>
        </w:tc>
      </w:tr>
      <w:tr>
        <w:trPr>
          <w:cantSplit w:val="0"/>
          <w:trHeight w:val="45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053">
            <w:pPr>
              <w:spacing w:after="160" w:before="240" w:lineRule="auto"/>
              <w:rPr>
                <w:i w:val="1"/>
                <w:iCs w:val="1"/>
              </w:rPr>
            </w:pPr>
            <w:r w:rsidDel="00000000" w:rsidR="00000000" w:rsidRPr="00000000">
              <w:rPr>
                <w:i w:val="1"/>
                <w:iCs w:val="1"/>
                <w:rtl w:val="0"/>
              </w:rPr>
              <w:t xml:space="preserve">2024</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54">
            <w:pPr>
              <w:spacing w:after="160" w:before="240" w:lineRule="auto"/>
              <w:rPr/>
            </w:pPr>
            <w:r w:rsidDel="00000000" w:rsidR="00000000" w:rsidRPr="00000000">
              <w:rPr>
                <w:rtl w:val="0"/>
              </w:rPr>
              <w:t xml:space="preserve">28.87%</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55">
            <w:pPr>
              <w:spacing w:after="160" w:before="240" w:lineRule="auto"/>
              <w:rPr/>
            </w:pPr>
            <w:r w:rsidDel="00000000" w:rsidR="00000000" w:rsidRPr="00000000">
              <w:rPr>
                <w:rtl w:val="0"/>
              </w:rPr>
              <w:t xml:space="preserve">-3.88%</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56">
            <w:pPr>
              <w:spacing w:after="160" w:before="240" w:lineRule="auto"/>
              <w:rPr/>
            </w:pPr>
            <w:r w:rsidDel="00000000" w:rsidR="00000000" w:rsidRPr="00000000">
              <w:rPr>
                <w:rtl w:val="0"/>
              </w:rPr>
              <w:t xml:space="preserve">-6.09%</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57">
            <w:pPr>
              <w:spacing w:after="160" w:before="240" w:lineRule="auto"/>
              <w:rPr/>
            </w:pPr>
            <w:r w:rsidDel="00000000" w:rsidR="00000000" w:rsidRPr="00000000">
              <w:rPr>
                <w:rtl w:val="0"/>
              </w:rPr>
              <w:t xml:space="preserve">-7.43%</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58">
            <w:pPr>
              <w:spacing w:after="160" w:before="240" w:lineRule="auto"/>
              <w:rPr/>
            </w:pPr>
            <w:r w:rsidDel="00000000" w:rsidR="00000000" w:rsidRPr="00000000">
              <w:rPr>
                <w:rtl w:val="0"/>
              </w:rPr>
              <w:t xml:space="preserve">-15.70%</w:t>
            </w:r>
          </w:p>
        </w:tc>
      </w:tr>
      <w:tr>
        <w:trPr>
          <w:cantSplit w:val="0"/>
          <w:trHeight w:val="45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059">
            <w:pPr>
              <w:spacing w:after="160" w:before="240" w:lineRule="auto"/>
              <w:rPr>
                <w:i w:val="1"/>
                <w:iCs w:val="1"/>
              </w:rPr>
            </w:pPr>
            <w:r w:rsidDel="00000000" w:rsidR="00000000" w:rsidRPr="00000000">
              <w:rPr>
                <w:i w:val="1"/>
                <w:iCs w:val="1"/>
                <w:rtl w:val="0"/>
              </w:rPr>
              <w:t xml:space="preserve">2023</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05A">
            <w:pPr>
              <w:spacing w:after="160" w:before="240" w:lineRule="auto"/>
              <w:rPr/>
            </w:pPr>
            <w:r w:rsidDel="00000000" w:rsidR="00000000" w:rsidRPr="00000000">
              <w:rPr>
                <w:rtl w:val="0"/>
              </w:rPr>
              <w:t xml:space="preserve">23.23%</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05B">
            <w:pPr>
              <w:spacing w:after="160" w:before="240" w:lineRule="auto"/>
              <w:rPr/>
            </w:pPr>
            <w:r w:rsidDel="00000000" w:rsidR="00000000" w:rsidRPr="00000000">
              <w:rPr>
                <w:rtl w:val="0"/>
              </w:rPr>
              <w:t xml:space="preserve">-20.29%</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05C">
            <w:pPr>
              <w:spacing w:after="160" w:before="240" w:lineRule="auto"/>
              <w:rPr/>
            </w:pPr>
            <w:r w:rsidDel="00000000" w:rsidR="00000000" w:rsidRPr="00000000">
              <w:rPr>
                <w:rtl w:val="0"/>
              </w:rPr>
              <w:t xml:space="preserve">-23.39%</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05D">
            <w:pPr>
              <w:spacing w:after="160" w:before="240" w:lineRule="auto"/>
              <w:rPr/>
            </w:pPr>
            <w:r w:rsidDel="00000000" w:rsidR="00000000" w:rsidRPr="00000000">
              <w:rPr>
                <w:rtl w:val="0"/>
              </w:rPr>
              <w:t xml:space="preserve">-27.63%</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05E">
            <w:pPr>
              <w:spacing w:after="160" w:before="240" w:lineRule="auto"/>
              <w:rPr/>
            </w:pPr>
            <w:r w:rsidDel="00000000" w:rsidR="00000000" w:rsidRPr="00000000">
              <w:rPr>
                <w:rtl w:val="0"/>
              </w:rPr>
              <w:t xml:space="preserve">-54.90%</w:t>
            </w:r>
          </w:p>
        </w:tc>
      </w:tr>
      <w:tr>
        <w:trPr>
          <w:cantSplit w:val="0"/>
          <w:trHeight w:val="45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05F">
            <w:pPr>
              <w:spacing w:after="160" w:before="240" w:lineRule="auto"/>
              <w:rPr>
                <w:i w:val="1"/>
                <w:iCs w:val="1"/>
              </w:rPr>
            </w:pPr>
            <w:r w:rsidDel="00000000" w:rsidR="00000000" w:rsidRPr="00000000">
              <w:rPr>
                <w:i w:val="1"/>
                <w:iCs w:val="1"/>
                <w:rtl w:val="0"/>
              </w:rPr>
              <w:t xml:space="preserve">2022</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60">
            <w:pPr>
              <w:spacing w:after="160" w:before="240" w:lineRule="auto"/>
              <w:rPr/>
            </w:pPr>
            <w:r w:rsidDel="00000000" w:rsidR="00000000" w:rsidRPr="00000000">
              <w:rPr>
                <w:rtl w:val="0"/>
              </w:rPr>
              <w:t xml:space="preserve">28.06%</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61">
            <w:pPr>
              <w:spacing w:after="160" w:before="240" w:lineRule="auto"/>
              <w:rPr/>
            </w:pPr>
            <w:r w:rsidDel="00000000" w:rsidR="00000000" w:rsidRPr="00000000">
              <w:rPr>
                <w:rtl w:val="0"/>
              </w:rPr>
              <w:t xml:space="preserve">2.68%</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62">
            <w:pPr>
              <w:spacing w:after="160" w:before="240" w:lineRule="auto"/>
              <w:rPr/>
            </w:pPr>
            <w:r w:rsidDel="00000000" w:rsidR="00000000" w:rsidRPr="00000000">
              <w:rPr>
                <w:rtl w:val="0"/>
              </w:rPr>
              <w:t xml:space="preserve">0.08%</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63">
            <w:pPr>
              <w:spacing w:after="160" w:before="240" w:lineRule="auto"/>
              <w:rPr/>
            </w:pPr>
            <w:r w:rsidDel="00000000" w:rsidR="00000000" w:rsidRPr="00000000">
              <w:rPr>
                <w:rtl w:val="0"/>
              </w:rPr>
              <w:t xml:space="preserve">0.08%</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64">
            <w:pPr>
              <w:spacing w:after="160" w:before="240" w:lineRule="auto"/>
              <w:rPr/>
            </w:pPr>
            <w:r w:rsidDel="00000000" w:rsidR="00000000" w:rsidRPr="00000000">
              <w:rPr>
                <w:rtl w:val="0"/>
              </w:rPr>
              <w:t xml:space="preserve">0.15%</w:t>
            </w:r>
          </w:p>
        </w:tc>
      </w:tr>
      <w:tr>
        <w:trPr>
          <w:cantSplit w:val="0"/>
          <w:trHeight w:val="45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065">
            <w:pPr>
              <w:spacing w:after="160" w:before="240" w:lineRule="auto"/>
              <w:rPr>
                <w:i w:val="1"/>
                <w:iCs w:val="1"/>
              </w:rPr>
            </w:pPr>
            <w:r w:rsidDel="00000000" w:rsidR="00000000" w:rsidRPr="00000000">
              <w:rPr>
                <w:i w:val="1"/>
                <w:iCs w:val="1"/>
                <w:rtl w:val="0"/>
              </w:rPr>
              <w:t xml:space="preserve">2021</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066">
            <w:pPr>
              <w:spacing w:after="160" w:before="240" w:lineRule="auto"/>
              <w:rPr/>
            </w:pPr>
            <w:r w:rsidDel="00000000" w:rsidR="00000000" w:rsidRPr="00000000">
              <w:rPr>
                <w:rtl w:val="0"/>
              </w:rPr>
              <w:t xml:space="preserve">28.74%</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067">
            <w:pPr>
              <w:spacing w:after="160" w:before="240" w:lineRule="auto"/>
              <w:rPr/>
            </w:pPr>
            <w:r w:rsidDel="00000000" w:rsidR="00000000" w:rsidRPr="00000000">
              <w:rPr>
                <w:rtl w:val="0"/>
              </w:rPr>
              <w:t xml:space="preserve">3.87%</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068">
            <w:pPr>
              <w:spacing w:after="160" w:before="240" w:lineRule="auto"/>
              <w:rPr/>
            </w:pPr>
            <w:r w:rsidDel="00000000" w:rsidR="00000000" w:rsidRPr="00000000">
              <w:rPr>
                <w:rtl w:val="0"/>
              </w:rPr>
              <w:t xml:space="preserve">0.88%</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069">
            <w:pPr>
              <w:spacing w:after="160" w:before="240" w:lineRule="auto"/>
              <w:rPr/>
            </w:pPr>
            <w:r w:rsidDel="00000000" w:rsidR="00000000" w:rsidRPr="00000000">
              <w:rPr>
                <w:rtl w:val="0"/>
              </w:rPr>
              <w:t xml:space="preserve">1.04%</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06A">
            <w:pPr>
              <w:spacing w:after="160" w:before="240" w:lineRule="auto"/>
              <w:rPr/>
            </w:pPr>
            <w:r w:rsidDel="00000000" w:rsidR="00000000" w:rsidRPr="00000000">
              <w:rPr>
                <w:rtl w:val="0"/>
              </w:rPr>
              <w:t xml:space="preserve">1.92%</w:t>
            </w:r>
          </w:p>
        </w:tc>
      </w:tr>
      <w:tr>
        <w:trPr>
          <w:cantSplit w:val="0"/>
          <w:trHeight w:val="45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06B">
            <w:pPr>
              <w:spacing w:after="160" w:before="240" w:lineRule="auto"/>
              <w:rPr>
                <w:i w:val="1"/>
                <w:iCs w:val="1"/>
              </w:rPr>
            </w:pPr>
            <w:r w:rsidDel="00000000" w:rsidR="00000000" w:rsidRPr="00000000">
              <w:rPr>
                <w:i w:val="1"/>
                <w:iCs w:val="1"/>
                <w:rtl w:val="0"/>
              </w:rPr>
              <w:t xml:space="preserve">2020</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6C">
            <w:pPr>
              <w:spacing w:after="160" w:before="240" w:lineRule="auto"/>
              <w:rPr/>
            </w:pPr>
            <w:r w:rsidDel="00000000" w:rsidR="00000000" w:rsidRPr="00000000">
              <w:rPr>
                <w:rtl w:val="0"/>
              </w:rPr>
              <w:t xml:space="preserve">28.62%</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6D">
            <w:pPr>
              <w:spacing w:after="160" w:before="240" w:lineRule="auto"/>
              <w:rPr/>
            </w:pPr>
            <w:r w:rsidDel="00000000" w:rsidR="00000000" w:rsidRPr="00000000">
              <w:rPr>
                <w:rtl w:val="0"/>
              </w:rPr>
              <w:t xml:space="preserve">6.05%</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6E">
            <w:pPr>
              <w:spacing w:after="160" w:before="240" w:lineRule="auto"/>
              <w:rPr/>
            </w:pPr>
            <w:r w:rsidDel="00000000" w:rsidR="00000000" w:rsidRPr="00000000">
              <w:rPr>
                <w:rtl w:val="0"/>
              </w:rPr>
              <w:t xml:space="preserve">6.28%</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6F">
            <w:pPr>
              <w:spacing w:after="160" w:before="240" w:lineRule="auto"/>
              <w:rPr/>
            </w:pPr>
            <w:r w:rsidDel="00000000" w:rsidR="00000000" w:rsidRPr="00000000">
              <w:rPr>
                <w:rtl w:val="0"/>
              </w:rPr>
              <w:t xml:space="preserve">7.57%</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70">
            <w:pPr>
              <w:spacing w:after="160" w:before="240" w:lineRule="auto"/>
              <w:rPr/>
            </w:pPr>
            <w:r w:rsidDel="00000000" w:rsidR="00000000" w:rsidRPr="00000000">
              <w:rPr>
                <w:rtl w:val="0"/>
              </w:rPr>
              <w:t xml:space="preserve">12.30%</w:t>
            </w:r>
          </w:p>
        </w:tc>
      </w:tr>
    </w:tbl>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The profitability measures are used in evaluating the profit-making capacity of a firm in terms of its sales, assets or equity. The consistent 28.6% Gross Profit Margin of General Electric 2020-2024 suggests that the company is not having problems to maintain its cost of goods sold. It has been experiencing a fluctuating Operating Profit Margin in 2020, 2021 and 2022 in which it has the lowest point recorded in 2020 where it had recorded a decline in its operating income which has since regained its status to a positive margin in 2021 and 2022. On an equal measure, the Net Profit Margin shows that the organisation was at a stage of holding the cost until it started to decline substantially in 2023, which shows a narrow close in the profit margins. </w:t>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pStyle w:val="Heading3"/>
        <w:rPr/>
      </w:pPr>
      <w:bookmarkStart w:colFirst="0" w:colLast="0" w:name="_heading=h.17qqyynz1pko" w:id="5"/>
      <w:bookmarkEnd w:id="5"/>
      <w:r w:rsidDel="00000000" w:rsidR="00000000" w:rsidRPr="00000000">
        <w:rPr>
          <w:rtl w:val="0"/>
        </w:rPr>
        <w:t xml:space="preserve">2.2.2 Liquidity Ratios</w:t>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Arial" w:cs="Arial" w:eastAsia="Arial" w:hAnsi="Arial"/>
          <w:b w:val="1"/>
          <w:bCs w:val="1"/>
          <w:i w:val="1"/>
          <w:iCs w:val="1"/>
          <w:smallCaps w:val="0"/>
          <w:strike w:val="0"/>
          <w:color w:val="1f497d"/>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1f497d"/>
          <w:sz w:val="24"/>
          <w:szCs w:val="24"/>
          <w:u w:val="none"/>
          <w:shd w:fill="auto" w:val="clear"/>
          <w:vertAlign w:val="baseline"/>
          <w:rtl w:val="0"/>
        </w:rPr>
        <w:t xml:space="preserve">Table 2 Liquidity Ratios.</w:t>
      </w:r>
    </w:p>
    <w:tbl>
      <w:tblPr>
        <w:tblStyle w:val="Table2"/>
        <w:tblW w:w="907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200"/>
        <w:gridCol w:w="2220"/>
        <w:gridCol w:w="2715"/>
        <w:gridCol w:w="2940"/>
        <w:tblGridChange w:id="0">
          <w:tblGrid>
            <w:gridCol w:w="1200"/>
            <w:gridCol w:w="2220"/>
            <w:gridCol w:w="2715"/>
            <w:gridCol w:w="2940"/>
          </w:tblGrid>
        </w:tblGridChange>
      </w:tblGrid>
      <w:tr>
        <w:trPr>
          <w:cantSplit w:val="0"/>
          <w:trHeight w:val="435" w:hRule="atLeast"/>
          <w:tblHeader w:val="0"/>
        </w:trPr>
        <w:tc>
          <w:tcPr>
            <w:tcBorders>
              <w:top w:color="000000" w:space="0" w:sz="0" w:val="nil"/>
              <w:left w:color="000000" w:space="0" w:sz="0" w:val="nil"/>
              <w:bottom w:color="8eaadb" w:space="0" w:sz="6"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077">
            <w:pPr>
              <w:spacing w:after="160" w:before="240" w:lineRule="auto"/>
              <w:rPr>
                <w:b w:val="1"/>
                <w:bCs w:val="1"/>
                <w:i w:val="1"/>
                <w:iCs w:val="1"/>
              </w:rPr>
            </w:pPr>
            <w:r w:rsidDel="00000000" w:rsidR="00000000" w:rsidRPr="00000000">
              <w:rPr>
                <w:b w:val="1"/>
                <w:bCs w:val="1"/>
                <w:i w:val="1"/>
                <w:iCs w:val="1"/>
                <w:rtl w:val="0"/>
              </w:rPr>
              <w:t xml:space="preserve">Year</w:t>
            </w:r>
          </w:p>
        </w:tc>
        <w:tc>
          <w:tcPr>
            <w:tcBorders>
              <w:top w:color="000000" w:space="0" w:sz="0" w:val="nil"/>
              <w:left w:color="000000" w:space="0" w:sz="0" w:val="nil"/>
              <w:bottom w:color="8eaadb" w:space="0" w:sz="6"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078">
            <w:pPr>
              <w:spacing w:after="160" w:before="240" w:lineRule="auto"/>
              <w:rPr>
                <w:b w:val="1"/>
                <w:bCs w:val="1"/>
              </w:rPr>
            </w:pPr>
            <w:r w:rsidDel="00000000" w:rsidR="00000000" w:rsidRPr="00000000">
              <w:rPr>
                <w:b w:val="1"/>
                <w:bCs w:val="1"/>
                <w:rtl w:val="0"/>
              </w:rPr>
              <w:t xml:space="preserve">Current Ratio</w:t>
            </w:r>
          </w:p>
        </w:tc>
        <w:tc>
          <w:tcPr>
            <w:tcBorders>
              <w:top w:color="000000" w:space="0" w:sz="0" w:val="nil"/>
              <w:left w:color="000000" w:space="0" w:sz="0" w:val="nil"/>
              <w:bottom w:color="8eaadb" w:space="0" w:sz="6"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079">
            <w:pPr>
              <w:spacing w:after="160" w:before="240" w:lineRule="auto"/>
              <w:rPr>
                <w:b w:val="1"/>
                <w:bCs w:val="1"/>
              </w:rPr>
            </w:pPr>
            <w:r w:rsidDel="00000000" w:rsidR="00000000" w:rsidRPr="00000000">
              <w:rPr>
                <w:b w:val="1"/>
                <w:bCs w:val="1"/>
                <w:rtl w:val="0"/>
              </w:rPr>
              <w:t xml:space="preserve">Quick Ratio</w:t>
            </w:r>
          </w:p>
        </w:tc>
        <w:tc>
          <w:tcPr>
            <w:tcBorders>
              <w:top w:color="000000" w:space="0" w:sz="0" w:val="nil"/>
              <w:left w:color="000000" w:space="0" w:sz="0" w:val="nil"/>
              <w:bottom w:color="8eaadb" w:space="0" w:sz="6"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07A">
            <w:pPr>
              <w:spacing w:after="160" w:before="240" w:lineRule="auto"/>
              <w:rPr>
                <w:b w:val="1"/>
                <w:bCs w:val="1"/>
              </w:rPr>
            </w:pPr>
            <w:r w:rsidDel="00000000" w:rsidR="00000000" w:rsidRPr="00000000">
              <w:rPr>
                <w:b w:val="1"/>
                <w:bCs w:val="1"/>
                <w:rtl w:val="0"/>
              </w:rPr>
              <w:t xml:space="preserve">Cash Ratio</w:t>
            </w:r>
          </w:p>
        </w:tc>
      </w:tr>
      <w:tr>
        <w:trPr>
          <w:cantSplit w:val="0"/>
          <w:trHeight w:val="45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07B">
            <w:pPr>
              <w:spacing w:after="160" w:before="240" w:lineRule="auto"/>
              <w:rPr>
                <w:i w:val="1"/>
                <w:iCs w:val="1"/>
              </w:rPr>
            </w:pPr>
            <w:r w:rsidDel="00000000" w:rsidR="00000000" w:rsidRPr="00000000">
              <w:rPr>
                <w:i w:val="1"/>
                <w:iCs w:val="1"/>
                <w:rtl w:val="0"/>
              </w:rPr>
              <w:t xml:space="preserve">2024</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7C">
            <w:pPr>
              <w:spacing w:after="160" w:before="240" w:lineRule="auto"/>
              <w:rPr>
                <w:b w:val="1"/>
                <w:bCs w:val="1"/>
              </w:rPr>
            </w:pPr>
            <w:r w:rsidDel="00000000" w:rsidR="00000000" w:rsidRPr="00000000">
              <w:rPr>
                <w:b w:val="1"/>
                <w:bCs w:val="1"/>
                <w:rtl w:val="0"/>
              </w:rPr>
              <w:t xml:space="preserve">1.53</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7D">
            <w:pPr>
              <w:spacing w:after="160" w:before="240" w:lineRule="auto"/>
              <w:rPr>
                <w:b w:val="1"/>
                <w:bCs w:val="1"/>
              </w:rPr>
            </w:pPr>
            <w:r w:rsidDel="00000000" w:rsidR="00000000" w:rsidRPr="00000000">
              <w:rPr>
                <w:b w:val="1"/>
                <w:bCs w:val="1"/>
                <w:rtl w:val="0"/>
              </w:rPr>
              <w:t xml:space="preserve">1.03</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7E">
            <w:pPr>
              <w:spacing w:after="160" w:before="240" w:lineRule="auto"/>
              <w:rPr>
                <w:b w:val="1"/>
                <w:bCs w:val="1"/>
              </w:rPr>
            </w:pPr>
            <w:r w:rsidDel="00000000" w:rsidR="00000000" w:rsidRPr="00000000">
              <w:rPr>
                <w:b w:val="1"/>
                <w:bCs w:val="1"/>
                <w:rtl w:val="0"/>
              </w:rPr>
              <w:t xml:space="preserve">0.17</w:t>
            </w:r>
          </w:p>
        </w:tc>
      </w:tr>
      <w:tr>
        <w:trPr>
          <w:cantSplit w:val="0"/>
          <w:trHeight w:val="45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07F">
            <w:pPr>
              <w:spacing w:after="160" w:before="240" w:lineRule="auto"/>
              <w:rPr>
                <w:i w:val="1"/>
                <w:iCs w:val="1"/>
              </w:rPr>
            </w:pPr>
            <w:r w:rsidDel="00000000" w:rsidR="00000000" w:rsidRPr="00000000">
              <w:rPr>
                <w:i w:val="1"/>
                <w:iCs w:val="1"/>
                <w:rtl w:val="0"/>
              </w:rPr>
              <w:t xml:space="preserve">2023</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080">
            <w:pPr>
              <w:spacing w:after="160" w:before="240" w:lineRule="auto"/>
              <w:rPr>
                <w:b w:val="1"/>
                <w:bCs w:val="1"/>
              </w:rPr>
            </w:pPr>
            <w:r w:rsidDel="00000000" w:rsidR="00000000" w:rsidRPr="00000000">
              <w:rPr>
                <w:b w:val="1"/>
                <w:bCs w:val="1"/>
                <w:rtl w:val="0"/>
              </w:rPr>
              <w:t xml:space="preserve">1.60</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081">
            <w:pPr>
              <w:spacing w:after="160" w:before="240" w:lineRule="auto"/>
              <w:rPr>
                <w:b w:val="1"/>
                <w:bCs w:val="1"/>
              </w:rPr>
            </w:pPr>
            <w:r w:rsidDel="00000000" w:rsidR="00000000" w:rsidRPr="00000000">
              <w:rPr>
                <w:b w:val="1"/>
                <w:bCs w:val="1"/>
                <w:rtl w:val="0"/>
              </w:rPr>
              <w:t xml:space="preserve">1.06</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082">
            <w:pPr>
              <w:spacing w:after="160" w:before="240" w:lineRule="auto"/>
              <w:rPr>
                <w:b w:val="1"/>
                <w:bCs w:val="1"/>
              </w:rPr>
            </w:pPr>
            <w:r w:rsidDel="00000000" w:rsidR="00000000" w:rsidRPr="00000000">
              <w:rPr>
                <w:b w:val="1"/>
                <w:bCs w:val="1"/>
                <w:rtl w:val="0"/>
              </w:rPr>
              <w:t xml:space="preserve">0.27</w:t>
            </w:r>
          </w:p>
        </w:tc>
      </w:tr>
      <w:tr>
        <w:trPr>
          <w:cantSplit w:val="0"/>
          <w:trHeight w:val="45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083">
            <w:pPr>
              <w:spacing w:after="160" w:before="240" w:lineRule="auto"/>
              <w:rPr>
                <w:i w:val="1"/>
                <w:iCs w:val="1"/>
              </w:rPr>
            </w:pPr>
            <w:r w:rsidDel="00000000" w:rsidR="00000000" w:rsidRPr="00000000">
              <w:rPr>
                <w:i w:val="1"/>
                <w:iCs w:val="1"/>
                <w:rtl w:val="0"/>
              </w:rPr>
              <w:t xml:space="preserve">2022</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84">
            <w:pPr>
              <w:spacing w:after="160" w:before="240" w:lineRule="auto"/>
              <w:rPr>
                <w:b w:val="1"/>
                <w:bCs w:val="1"/>
              </w:rPr>
            </w:pPr>
            <w:r w:rsidDel="00000000" w:rsidR="00000000" w:rsidRPr="00000000">
              <w:rPr>
                <w:b w:val="1"/>
                <w:bCs w:val="1"/>
                <w:rtl w:val="0"/>
              </w:rPr>
              <w:t xml:space="preserve">1.56</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85">
            <w:pPr>
              <w:spacing w:after="160" w:before="240" w:lineRule="auto"/>
              <w:rPr>
                <w:b w:val="1"/>
                <w:bCs w:val="1"/>
              </w:rPr>
            </w:pPr>
            <w:r w:rsidDel="00000000" w:rsidR="00000000" w:rsidRPr="00000000">
              <w:rPr>
                <w:b w:val="1"/>
                <w:bCs w:val="1"/>
                <w:rtl w:val="0"/>
              </w:rPr>
              <w:t xml:space="preserve">0.92</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86">
            <w:pPr>
              <w:spacing w:after="160" w:before="240" w:lineRule="auto"/>
              <w:rPr>
                <w:b w:val="1"/>
                <w:bCs w:val="1"/>
              </w:rPr>
            </w:pPr>
            <w:r w:rsidDel="00000000" w:rsidR="00000000" w:rsidRPr="00000000">
              <w:rPr>
                <w:b w:val="1"/>
                <w:bCs w:val="1"/>
                <w:rtl w:val="0"/>
              </w:rPr>
              <w:t xml:space="preserve">0.31</w:t>
            </w:r>
          </w:p>
        </w:tc>
      </w:tr>
      <w:tr>
        <w:trPr>
          <w:cantSplit w:val="0"/>
          <w:trHeight w:val="45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087">
            <w:pPr>
              <w:spacing w:after="160" w:before="240" w:lineRule="auto"/>
              <w:rPr>
                <w:i w:val="1"/>
                <w:iCs w:val="1"/>
              </w:rPr>
            </w:pPr>
            <w:r w:rsidDel="00000000" w:rsidR="00000000" w:rsidRPr="00000000">
              <w:rPr>
                <w:i w:val="1"/>
                <w:iCs w:val="1"/>
                <w:rtl w:val="0"/>
              </w:rPr>
              <w:t xml:space="preserve">2021</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088">
            <w:pPr>
              <w:spacing w:after="160" w:before="240" w:lineRule="auto"/>
              <w:rPr>
                <w:b w:val="1"/>
                <w:bCs w:val="1"/>
              </w:rPr>
            </w:pPr>
            <w:r w:rsidDel="00000000" w:rsidR="00000000" w:rsidRPr="00000000">
              <w:rPr>
                <w:b w:val="1"/>
                <w:bCs w:val="1"/>
                <w:rtl w:val="0"/>
              </w:rPr>
              <w:t xml:space="preserve">1.56</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089">
            <w:pPr>
              <w:spacing w:after="160" w:before="240" w:lineRule="auto"/>
              <w:rPr>
                <w:b w:val="1"/>
                <w:bCs w:val="1"/>
              </w:rPr>
            </w:pPr>
            <w:r w:rsidDel="00000000" w:rsidR="00000000" w:rsidRPr="00000000">
              <w:rPr>
                <w:b w:val="1"/>
                <w:bCs w:val="1"/>
                <w:rtl w:val="0"/>
              </w:rPr>
              <w:t xml:space="preserve">0.94</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08A">
            <w:pPr>
              <w:spacing w:after="160" w:before="240" w:lineRule="auto"/>
              <w:rPr>
                <w:b w:val="1"/>
                <w:bCs w:val="1"/>
              </w:rPr>
            </w:pPr>
            <w:r w:rsidDel="00000000" w:rsidR="00000000" w:rsidRPr="00000000">
              <w:rPr>
                <w:b w:val="1"/>
                <w:bCs w:val="1"/>
                <w:rtl w:val="0"/>
              </w:rPr>
              <w:t xml:space="preserve">0.28</w:t>
            </w:r>
          </w:p>
        </w:tc>
      </w:tr>
      <w:tr>
        <w:trPr>
          <w:cantSplit w:val="0"/>
          <w:trHeight w:val="45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08B">
            <w:pPr>
              <w:spacing w:after="160" w:before="240" w:lineRule="auto"/>
              <w:rPr>
                <w:i w:val="1"/>
                <w:iCs w:val="1"/>
              </w:rPr>
            </w:pPr>
            <w:r w:rsidDel="00000000" w:rsidR="00000000" w:rsidRPr="00000000">
              <w:rPr>
                <w:i w:val="1"/>
                <w:iCs w:val="1"/>
                <w:rtl w:val="0"/>
              </w:rPr>
              <w:t xml:space="preserve">2020</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8C">
            <w:pPr>
              <w:spacing w:after="160" w:before="240" w:lineRule="auto"/>
              <w:rPr>
                <w:b w:val="1"/>
                <w:bCs w:val="1"/>
              </w:rPr>
            </w:pPr>
            <w:r w:rsidDel="00000000" w:rsidR="00000000" w:rsidRPr="00000000">
              <w:rPr>
                <w:b w:val="1"/>
                <w:bCs w:val="1"/>
                <w:rtl w:val="0"/>
              </w:rPr>
              <w:t xml:space="preserve">1.82</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8D">
            <w:pPr>
              <w:spacing w:after="160" w:before="240" w:lineRule="auto"/>
              <w:rPr>
                <w:b w:val="1"/>
                <w:bCs w:val="1"/>
              </w:rPr>
            </w:pPr>
            <w:r w:rsidDel="00000000" w:rsidR="00000000" w:rsidRPr="00000000">
              <w:rPr>
                <w:b w:val="1"/>
                <w:bCs w:val="1"/>
                <w:rtl w:val="0"/>
              </w:rPr>
              <w:t xml:space="preserve">1.15</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8E">
            <w:pPr>
              <w:spacing w:after="160" w:before="240" w:lineRule="auto"/>
              <w:rPr>
                <w:b w:val="1"/>
                <w:bCs w:val="1"/>
              </w:rPr>
            </w:pPr>
            <w:r w:rsidDel="00000000" w:rsidR="00000000" w:rsidRPr="00000000">
              <w:rPr>
                <w:b w:val="1"/>
                <w:bCs w:val="1"/>
                <w:rtl w:val="0"/>
              </w:rPr>
              <w:t xml:space="preserve">0.32</w:t>
            </w:r>
          </w:p>
        </w:tc>
      </w:tr>
    </w:tbl>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t xml:space="preserve">The liquidity ratios determine the capability of General Electric to finance its short-term liabilities using its short-term assets. Current Ratio is more than 1 in 2020-2024, i.e. it means that the company is able to use the short-term assets it has to pay the short-term liabilities. There has, however, been a tendency of deterioration of its liquidity position, where the company has been increasingly resorting to its inventory to settle its short-term liabilities, in both the Quick Ratio and Cash Ratio. This is among the signifier indications of the liquidity challenges by 2023, with a Quick Ratio of less than 1. The Cash Ratio is also low, and in 2024, specifically, the Cash Ratio will indicate that there are issues at stake in the situation.</w:t>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pStyle w:val="Heading3"/>
        <w:rPr/>
      </w:pPr>
      <w:bookmarkStart w:colFirst="0" w:colLast="0" w:name="_heading=h.b84foklmlpwr" w:id="6"/>
      <w:bookmarkEnd w:id="6"/>
      <w:r w:rsidDel="00000000" w:rsidR="00000000" w:rsidRPr="00000000">
        <w:rPr>
          <w:rtl w:val="0"/>
        </w:rPr>
        <w:t xml:space="preserve">2.2.3 Efficiency Ratios</w:t>
      </w:r>
    </w:p>
    <w:p w:rsidR="00000000" w:rsidDel="00000000" w:rsidP="00000000" w:rsidRDefault="00000000" w:rsidRPr="00000000" w14:paraId="0000009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Arial" w:cs="Arial" w:eastAsia="Arial" w:hAnsi="Arial"/>
          <w:b w:val="1"/>
          <w:bCs w:val="1"/>
          <w:i w:val="1"/>
          <w:iCs w:val="1"/>
          <w:smallCaps w:val="0"/>
          <w:strike w:val="0"/>
          <w:color w:val="1f497d"/>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1f497d"/>
          <w:sz w:val="24"/>
          <w:szCs w:val="24"/>
          <w:u w:val="none"/>
          <w:shd w:fill="auto" w:val="clear"/>
          <w:vertAlign w:val="baseline"/>
          <w:rtl w:val="0"/>
        </w:rPr>
        <w:t xml:space="preserve">Table 3 Efficiency Ratios.</w:t>
      </w:r>
    </w:p>
    <w:tbl>
      <w:tblPr>
        <w:tblStyle w:val="Table3"/>
        <w:tblW w:w="879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080"/>
        <w:gridCol w:w="2925"/>
        <w:gridCol w:w="3015"/>
        <w:gridCol w:w="1770"/>
        <w:tblGridChange w:id="0">
          <w:tblGrid>
            <w:gridCol w:w="1080"/>
            <w:gridCol w:w="2925"/>
            <w:gridCol w:w="3015"/>
            <w:gridCol w:w="1770"/>
          </w:tblGrid>
        </w:tblGridChange>
      </w:tblGrid>
      <w:tr>
        <w:trPr>
          <w:cantSplit w:val="0"/>
          <w:trHeight w:val="705" w:hRule="atLeast"/>
          <w:tblHeader w:val="0"/>
        </w:trPr>
        <w:tc>
          <w:tcPr>
            <w:tcBorders>
              <w:top w:color="000000" w:space="0" w:sz="0" w:val="nil"/>
              <w:left w:color="000000" w:space="0" w:sz="0" w:val="nil"/>
              <w:bottom w:color="8eaadb" w:space="0" w:sz="6"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094">
            <w:pPr>
              <w:spacing w:after="160" w:before="240" w:lineRule="auto"/>
              <w:rPr>
                <w:b w:val="1"/>
                <w:bCs w:val="1"/>
                <w:i w:val="1"/>
                <w:iCs w:val="1"/>
              </w:rPr>
            </w:pPr>
            <w:r w:rsidDel="00000000" w:rsidR="00000000" w:rsidRPr="00000000">
              <w:rPr>
                <w:b w:val="1"/>
                <w:bCs w:val="1"/>
                <w:i w:val="1"/>
                <w:iCs w:val="1"/>
                <w:rtl w:val="0"/>
              </w:rPr>
              <w:t xml:space="preserve">Year</w:t>
            </w:r>
          </w:p>
        </w:tc>
        <w:tc>
          <w:tcPr>
            <w:tcBorders>
              <w:top w:color="000000" w:space="0" w:sz="0" w:val="nil"/>
              <w:left w:color="000000" w:space="0" w:sz="0" w:val="nil"/>
              <w:bottom w:color="8eaadb" w:space="0" w:sz="6"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095">
            <w:pPr>
              <w:spacing w:after="160" w:before="240" w:lineRule="auto"/>
              <w:rPr>
                <w:b w:val="1"/>
                <w:bCs w:val="1"/>
              </w:rPr>
            </w:pPr>
            <w:r w:rsidDel="00000000" w:rsidR="00000000" w:rsidRPr="00000000">
              <w:rPr>
                <w:b w:val="1"/>
                <w:bCs w:val="1"/>
                <w:rtl w:val="0"/>
              </w:rPr>
              <w:t xml:space="preserve">Accounts Receivable Turnover</w:t>
            </w:r>
          </w:p>
        </w:tc>
        <w:tc>
          <w:tcPr>
            <w:tcBorders>
              <w:top w:color="000000" w:space="0" w:sz="0" w:val="nil"/>
              <w:left w:color="000000" w:space="0" w:sz="0" w:val="nil"/>
              <w:bottom w:color="8eaadb" w:space="0" w:sz="6"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096">
            <w:pPr>
              <w:spacing w:after="160" w:before="240" w:lineRule="auto"/>
              <w:rPr>
                <w:b w:val="1"/>
                <w:bCs w:val="1"/>
              </w:rPr>
            </w:pPr>
            <w:r w:rsidDel="00000000" w:rsidR="00000000" w:rsidRPr="00000000">
              <w:rPr>
                <w:b w:val="1"/>
                <w:bCs w:val="1"/>
                <w:rtl w:val="0"/>
              </w:rPr>
              <w:t xml:space="preserve">Accounts Payable Turnover</w:t>
            </w:r>
          </w:p>
        </w:tc>
        <w:tc>
          <w:tcPr>
            <w:tcBorders>
              <w:top w:color="000000" w:space="0" w:sz="0" w:val="nil"/>
              <w:left w:color="000000" w:space="0" w:sz="0" w:val="nil"/>
              <w:bottom w:color="8eaadb" w:space="0" w:sz="6"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097">
            <w:pPr>
              <w:spacing w:after="160" w:before="240" w:lineRule="auto"/>
              <w:rPr>
                <w:b w:val="1"/>
                <w:bCs w:val="1"/>
              </w:rPr>
            </w:pPr>
            <w:r w:rsidDel="00000000" w:rsidR="00000000" w:rsidRPr="00000000">
              <w:rPr>
                <w:b w:val="1"/>
                <w:bCs w:val="1"/>
                <w:rtl w:val="0"/>
              </w:rPr>
              <w:t xml:space="preserve">Asset Turnover</w:t>
            </w:r>
          </w:p>
        </w:tc>
      </w:tr>
      <w:tr>
        <w:trPr>
          <w:cantSplit w:val="0"/>
          <w:trHeight w:val="45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098">
            <w:pPr>
              <w:spacing w:after="160" w:before="240" w:lineRule="auto"/>
              <w:rPr>
                <w:i w:val="1"/>
                <w:iCs w:val="1"/>
              </w:rPr>
            </w:pPr>
            <w:r w:rsidDel="00000000" w:rsidR="00000000" w:rsidRPr="00000000">
              <w:rPr>
                <w:i w:val="1"/>
                <w:iCs w:val="1"/>
                <w:rtl w:val="0"/>
              </w:rPr>
              <w:t xml:space="preserve">2024</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99">
            <w:pPr>
              <w:spacing w:after="160" w:before="240" w:lineRule="auto"/>
              <w:rPr>
                <w:b w:val="1"/>
                <w:bCs w:val="1"/>
              </w:rPr>
            </w:pPr>
            <w:r w:rsidDel="00000000" w:rsidR="00000000" w:rsidRPr="00000000">
              <w:rPr>
                <w:b w:val="1"/>
                <w:bCs w:val="1"/>
                <w:rtl w:val="0"/>
              </w:rPr>
              <w:t xml:space="preserve">3.48</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9A">
            <w:pPr>
              <w:spacing w:after="160" w:before="240" w:lineRule="auto"/>
              <w:rPr>
                <w:b w:val="1"/>
                <w:bCs w:val="1"/>
              </w:rPr>
            </w:pPr>
            <w:r w:rsidDel="00000000" w:rsidR="00000000" w:rsidRPr="00000000">
              <w:rPr>
                <w:b w:val="1"/>
                <w:bCs w:val="1"/>
                <w:rtl w:val="0"/>
              </w:rPr>
              <w:t xml:space="preserve">4.36</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9B">
            <w:pPr>
              <w:spacing w:after="160" w:before="240" w:lineRule="auto"/>
              <w:rPr>
                <w:b w:val="1"/>
                <w:bCs w:val="1"/>
              </w:rPr>
            </w:pPr>
            <w:r w:rsidDel="00000000" w:rsidR="00000000" w:rsidRPr="00000000">
              <w:rPr>
                <w:b w:val="1"/>
                <w:bCs w:val="1"/>
                <w:rtl w:val="0"/>
              </w:rPr>
              <w:t xml:space="preserve">1.22</w:t>
            </w:r>
          </w:p>
        </w:tc>
      </w:tr>
      <w:tr>
        <w:trPr>
          <w:cantSplit w:val="0"/>
          <w:trHeight w:val="45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09C">
            <w:pPr>
              <w:spacing w:after="160" w:before="240" w:lineRule="auto"/>
              <w:rPr>
                <w:i w:val="1"/>
                <w:iCs w:val="1"/>
              </w:rPr>
            </w:pPr>
            <w:r w:rsidDel="00000000" w:rsidR="00000000" w:rsidRPr="00000000">
              <w:rPr>
                <w:i w:val="1"/>
                <w:iCs w:val="1"/>
                <w:rtl w:val="0"/>
              </w:rPr>
              <w:t xml:space="preserve">2023</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09D">
            <w:pPr>
              <w:spacing w:after="160" w:before="240" w:lineRule="auto"/>
              <w:rPr>
                <w:b w:val="1"/>
                <w:bCs w:val="1"/>
              </w:rPr>
            </w:pPr>
            <w:r w:rsidDel="00000000" w:rsidR="00000000" w:rsidRPr="00000000">
              <w:rPr>
                <w:b w:val="1"/>
                <w:bCs w:val="1"/>
                <w:rtl w:val="0"/>
              </w:rPr>
              <w:t xml:space="preserve">3.74</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09E">
            <w:pPr>
              <w:spacing w:after="160" w:before="240" w:lineRule="auto"/>
              <w:rPr>
                <w:b w:val="1"/>
                <w:bCs w:val="1"/>
              </w:rPr>
            </w:pPr>
            <w:r w:rsidDel="00000000" w:rsidR="00000000" w:rsidRPr="00000000">
              <w:rPr>
                <w:b w:val="1"/>
                <w:bCs w:val="1"/>
                <w:rtl w:val="0"/>
              </w:rPr>
              <w:t xml:space="preserve">5.03</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09F">
            <w:pPr>
              <w:spacing w:after="160" w:before="240" w:lineRule="auto"/>
              <w:rPr>
                <w:b w:val="1"/>
                <w:bCs w:val="1"/>
              </w:rPr>
            </w:pPr>
            <w:r w:rsidDel="00000000" w:rsidR="00000000" w:rsidRPr="00000000">
              <w:rPr>
                <w:b w:val="1"/>
                <w:bCs w:val="1"/>
                <w:rtl w:val="0"/>
              </w:rPr>
              <w:t xml:space="preserve">1.18</w:t>
            </w:r>
          </w:p>
        </w:tc>
      </w:tr>
      <w:tr>
        <w:trPr>
          <w:cantSplit w:val="0"/>
          <w:trHeight w:val="45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0A0">
            <w:pPr>
              <w:spacing w:after="160" w:before="240" w:lineRule="auto"/>
              <w:rPr>
                <w:i w:val="1"/>
                <w:iCs w:val="1"/>
              </w:rPr>
            </w:pPr>
            <w:r w:rsidDel="00000000" w:rsidR="00000000" w:rsidRPr="00000000">
              <w:rPr>
                <w:i w:val="1"/>
                <w:iCs w:val="1"/>
                <w:rtl w:val="0"/>
              </w:rPr>
              <w:t xml:space="preserve">2022</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A1">
            <w:pPr>
              <w:spacing w:after="160" w:before="240" w:lineRule="auto"/>
              <w:rPr>
                <w:b w:val="1"/>
                <w:bCs w:val="1"/>
              </w:rPr>
            </w:pPr>
            <w:r w:rsidDel="00000000" w:rsidR="00000000" w:rsidRPr="00000000">
              <w:rPr>
                <w:b w:val="1"/>
                <w:bCs w:val="1"/>
                <w:rtl w:val="0"/>
              </w:rPr>
              <w:t xml:space="preserve">4.51</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A2">
            <w:pPr>
              <w:spacing w:after="160" w:before="240" w:lineRule="auto"/>
              <w:rPr>
                <w:b w:val="1"/>
                <w:bCs w:val="1"/>
              </w:rPr>
            </w:pPr>
            <w:r w:rsidDel="00000000" w:rsidR="00000000" w:rsidRPr="00000000">
              <w:rPr>
                <w:b w:val="1"/>
                <w:bCs w:val="1"/>
                <w:rtl w:val="0"/>
              </w:rPr>
              <w:t xml:space="preserve">4.76</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A3">
            <w:pPr>
              <w:spacing w:after="160" w:before="240" w:lineRule="auto"/>
              <w:rPr>
                <w:b w:val="1"/>
                <w:bCs w:val="1"/>
              </w:rPr>
            </w:pPr>
            <w:r w:rsidDel="00000000" w:rsidR="00000000" w:rsidRPr="00000000">
              <w:rPr>
                <w:b w:val="1"/>
                <w:bCs w:val="1"/>
                <w:rtl w:val="0"/>
              </w:rPr>
              <w:t xml:space="preserve">1.08</w:t>
            </w:r>
          </w:p>
        </w:tc>
      </w:tr>
      <w:tr>
        <w:trPr>
          <w:cantSplit w:val="0"/>
          <w:trHeight w:val="45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0A4">
            <w:pPr>
              <w:spacing w:after="160" w:before="240" w:lineRule="auto"/>
              <w:rPr>
                <w:i w:val="1"/>
                <w:iCs w:val="1"/>
              </w:rPr>
            </w:pPr>
            <w:r w:rsidDel="00000000" w:rsidR="00000000" w:rsidRPr="00000000">
              <w:rPr>
                <w:i w:val="1"/>
                <w:iCs w:val="1"/>
                <w:rtl w:val="0"/>
              </w:rPr>
              <w:t xml:space="preserve">2021</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0A5">
            <w:pPr>
              <w:spacing w:after="160" w:before="240" w:lineRule="auto"/>
              <w:rPr>
                <w:b w:val="1"/>
                <w:bCs w:val="1"/>
              </w:rPr>
            </w:pPr>
            <w:r w:rsidDel="00000000" w:rsidR="00000000" w:rsidRPr="00000000">
              <w:rPr>
                <w:b w:val="1"/>
                <w:bCs w:val="1"/>
                <w:rtl w:val="0"/>
              </w:rPr>
              <w:t xml:space="preserve">4.65</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0A6">
            <w:pPr>
              <w:spacing w:after="160" w:before="240" w:lineRule="auto"/>
              <w:rPr>
                <w:b w:val="1"/>
                <w:bCs w:val="1"/>
              </w:rPr>
            </w:pPr>
            <w:r w:rsidDel="00000000" w:rsidR="00000000" w:rsidRPr="00000000">
              <w:rPr>
                <w:b w:val="1"/>
                <w:bCs w:val="1"/>
                <w:rtl w:val="0"/>
              </w:rPr>
              <w:t xml:space="preserve">4.87</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0A7">
            <w:pPr>
              <w:spacing w:after="160" w:before="240" w:lineRule="auto"/>
              <w:rPr>
                <w:b w:val="1"/>
                <w:bCs w:val="1"/>
              </w:rPr>
            </w:pPr>
            <w:r w:rsidDel="00000000" w:rsidR="00000000" w:rsidRPr="00000000">
              <w:rPr>
                <w:b w:val="1"/>
                <w:bCs w:val="1"/>
                <w:rtl w:val="0"/>
              </w:rPr>
              <w:t xml:space="preserve">1.18</w:t>
            </w:r>
          </w:p>
        </w:tc>
      </w:tr>
      <w:tr>
        <w:trPr>
          <w:cantSplit w:val="0"/>
          <w:trHeight w:val="45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0A8">
            <w:pPr>
              <w:spacing w:after="160" w:before="240" w:lineRule="auto"/>
              <w:rPr>
                <w:i w:val="1"/>
                <w:iCs w:val="1"/>
              </w:rPr>
            </w:pPr>
            <w:r w:rsidDel="00000000" w:rsidR="00000000" w:rsidRPr="00000000">
              <w:rPr>
                <w:i w:val="1"/>
                <w:iCs w:val="1"/>
                <w:rtl w:val="0"/>
              </w:rPr>
              <w:t xml:space="preserve">2020</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A9">
            <w:pPr>
              <w:spacing w:after="160" w:before="240" w:lineRule="auto"/>
              <w:rPr>
                <w:b w:val="1"/>
                <w:bCs w:val="1"/>
              </w:rPr>
            </w:pPr>
            <w:r w:rsidDel="00000000" w:rsidR="00000000" w:rsidRPr="00000000">
              <w:rPr>
                <w:b w:val="1"/>
                <w:bCs w:val="1"/>
                <w:rtl w:val="0"/>
              </w:rPr>
              <w:t xml:space="preserve">4.75</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AA">
            <w:pPr>
              <w:spacing w:after="160" w:before="240" w:lineRule="auto"/>
              <w:rPr>
                <w:b w:val="1"/>
                <w:bCs w:val="1"/>
              </w:rPr>
            </w:pPr>
            <w:r w:rsidDel="00000000" w:rsidR="00000000" w:rsidRPr="00000000">
              <w:rPr>
                <w:b w:val="1"/>
                <w:bCs w:val="1"/>
                <w:rtl w:val="0"/>
              </w:rPr>
              <w:t xml:space="preserve">5.26</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AB">
            <w:pPr>
              <w:spacing w:after="160" w:before="240" w:lineRule="auto"/>
              <w:rPr>
                <w:b w:val="1"/>
                <w:bCs w:val="1"/>
              </w:rPr>
            </w:pPr>
            <w:r w:rsidDel="00000000" w:rsidR="00000000" w:rsidRPr="00000000">
              <w:rPr>
                <w:b w:val="1"/>
                <w:bCs w:val="1"/>
                <w:rtl w:val="0"/>
              </w:rPr>
              <w:t xml:space="preserve">1.20</w:t>
            </w:r>
          </w:p>
        </w:tc>
      </w:tr>
    </w:tbl>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t xml:space="preserve">The efficiency ratios are used to define the capacity of the business to utilise its assets and liabilities in the most effective way to get sales and achieve the maximum profits. The Accounts Receivable Turnover has also fared well, and the average turnover within the five years has been 3.5, which is reflective of the performance of the firms in regard to the ability to collect the accounts receivable. Nevertheless, it can be seen that the Inventory Turnover ratio is steadily declining through the years, and it means that the company is not using its inventory and disposing it correctly. </w:t>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pStyle w:val="Heading3"/>
        <w:rPr/>
      </w:pPr>
      <w:bookmarkStart w:colFirst="0" w:colLast="0" w:name="_heading=h.wlsmpa872e6a" w:id="7"/>
      <w:bookmarkEnd w:id="7"/>
      <w:r w:rsidDel="00000000" w:rsidR="00000000" w:rsidRPr="00000000">
        <w:rPr>
          <w:rtl w:val="0"/>
        </w:rPr>
        <w:t xml:space="preserve">2.2.4 Leverage Ratios</w:t>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Arial" w:cs="Arial" w:eastAsia="Arial" w:hAnsi="Arial"/>
          <w:b w:val="1"/>
          <w:bCs w:val="1"/>
          <w:i w:val="1"/>
          <w:iCs w:val="1"/>
          <w:smallCaps w:val="0"/>
          <w:strike w:val="0"/>
          <w:color w:val="1f497d"/>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1f497d"/>
          <w:sz w:val="24"/>
          <w:szCs w:val="24"/>
          <w:u w:val="none"/>
          <w:shd w:fill="auto" w:val="clear"/>
          <w:vertAlign w:val="baseline"/>
          <w:rtl w:val="0"/>
        </w:rPr>
        <w:t xml:space="preserve">Table 4 Leverage Ratios.</w:t>
      </w:r>
    </w:p>
    <w:tbl>
      <w:tblPr>
        <w:tblStyle w:val="Table4"/>
        <w:tblW w:w="922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380"/>
        <w:gridCol w:w="3930"/>
        <w:gridCol w:w="3915"/>
        <w:tblGridChange w:id="0">
          <w:tblGrid>
            <w:gridCol w:w="1380"/>
            <w:gridCol w:w="3930"/>
            <w:gridCol w:w="3915"/>
          </w:tblGrid>
        </w:tblGridChange>
      </w:tblGrid>
      <w:tr>
        <w:trPr>
          <w:cantSplit w:val="0"/>
          <w:trHeight w:val="435" w:hRule="atLeast"/>
          <w:tblHeader w:val="0"/>
        </w:trPr>
        <w:tc>
          <w:tcPr>
            <w:tcBorders>
              <w:top w:color="000000" w:space="0" w:sz="0" w:val="nil"/>
              <w:left w:color="000000" w:space="0" w:sz="0" w:val="nil"/>
              <w:bottom w:color="8eaadb" w:space="0" w:sz="6"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0B2">
            <w:pPr>
              <w:spacing w:after="160" w:before="240" w:lineRule="auto"/>
              <w:rPr>
                <w:b w:val="1"/>
                <w:bCs w:val="1"/>
                <w:i w:val="1"/>
                <w:iCs w:val="1"/>
              </w:rPr>
            </w:pPr>
            <w:r w:rsidDel="00000000" w:rsidR="00000000" w:rsidRPr="00000000">
              <w:rPr>
                <w:b w:val="1"/>
                <w:bCs w:val="1"/>
                <w:i w:val="1"/>
                <w:iCs w:val="1"/>
                <w:rtl w:val="0"/>
              </w:rPr>
              <w:t xml:space="preserve">Year</w:t>
            </w:r>
          </w:p>
        </w:tc>
        <w:tc>
          <w:tcPr>
            <w:tcBorders>
              <w:top w:color="000000" w:space="0" w:sz="0" w:val="nil"/>
              <w:left w:color="000000" w:space="0" w:sz="0" w:val="nil"/>
              <w:bottom w:color="8eaadb" w:space="0" w:sz="6"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0B3">
            <w:pPr>
              <w:spacing w:after="160" w:before="240" w:lineRule="auto"/>
              <w:rPr>
                <w:b w:val="1"/>
                <w:bCs w:val="1"/>
              </w:rPr>
            </w:pPr>
            <w:r w:rsidDel="00000000" w:rsidR="00000000" w:rsidRPr="00000000">
              <w:rPr>
                <w:b w:val="1"/>
                <w:bCs w:val="1"/>
                <w:rtl w:val="0"/>
              </w:rPr>
              <w:t xml:space="preserve">Debt-to-Equity Ratio</w:t>
            </w:r>
          </w:p>
        </w:tc>
        <w:tc>
          <w:tcPr>
            <w:tcBorders>
              <w:top w:color="000000" w:space="0" w:sz="0" w:val="nil"/>
              <w:left w:color="000000" w:space="0" w:sz="0" w:val="nil"/>
              <w:bottom w:color="8eaadb" w:space="0" w:sz="6"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0B4">
            <w:pPr>
              <w:spacing w:after="160" w:before="240" w:lineRule="auto"/>
              <w:rPr>
                <w:b w:val="1"/>
                <w:bCs w:val="1"/>
              </w:rPr>
            </w:pPr>
            <w:r w:rsidDel="00000000" w:rsidR="00000000" w:rsidRPr="00000000">
              <w:rPr>
                <w:b w:val="1"/>
                <w:bCs w:val="1"/>
                <w:rtl w:val="0"/>
              </w:rPr>
              <w:t xml:space="preserve">Debt Ratio</w:t>
            </w:r>
          </w:p>
        </w:tc>
      </w:tr>
      <w:tr>
        <w:trPr>
          <w:cantSplit w:val="0"/>
          <w:trHeight w:val="45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0B5">
            <w:pPr>
              <w:spacing w:after="160" w:before="240" w:lineRule="auto"/>
              <w:rPr>
                <w:i w:val="1"/>
                <w:iCs w:val="1"/>
              </w:rPr>
            </w:pPr>
            <w:r w:rsidDel="00000000" w:rsidR="00000000" w:rsidRPr="00000000">
              <w:rPr>
                <w:i w:val="1"/>
                <w:iCs w:val="1"/>
                <w:rtl w:val="0"/>
              </w:rPr>
              <w:t xml:space="preserve">2024</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B6">
            <w:pPr>
              <w:spacing w:after="160" w:before="240" w:lineRule="auto"/>
              <w:rPr>
                <w:b w:val="1"/>
                <w:bCs w:val="1"/>
              </w:rPr>
            </w:pPr>
            <w:r w:rsidDel="00000000" w:rsidR="00000000" w:rsidRPr="00000000">
              <w:rPr>
                <w:b w:val="1"/>
                <w:bCs w:val="1"/>
                <w:rtl w:val="0"/>
              </w:rPr>
              <w:t xml:space="preserve">1.11</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B7">
            <w:pPr>
              <w:spacing w:after="160" w:before="240" w:lineRule="auto"/>
              <w:rPr>
                <w:b w:val="1"/>
                <w:bCs w:val="1"/>
              </w:rPr>
            </w:pPr>
            <w:r w:rsidDel="00000000" w:rsidR="00000000" w:rsidRPr="00000000">
              <w:rPr>
                <w:b w:val="1"/>
                <w:bCs w:val="1"/>
                <w:rtl w:val="0"/>
              </w:rPr>
              <w:t xml:space="preserve">0.53</w:t>
            </w:r>
          </w:p>
        </w:tc>
      </w:tr>
      <w:tr>
        <w:trPr>
          <w:cantSplit w:val="0"/>
          <w:trHeight w:val="45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0B8">
            <w:pPr>
              <w:spacing w:after="160" w:before="240" w:lineRule="auto"/>
              <w:rPr>
                <w:i w:val="1"/>
                <w:iCs w:val="1"/>
              </w:rPr>
            </w:pPr>
            <w:r w:rsidDel="00000000" w:rsidR="00000000" w:rsidRPr="00000000">
              <w:rPr>
                <w:i w:val="1"/>
                <w:iCs w:val="1"/>
                <w:rtl w:val="0"/>
              </w:rPr>
              <w:t xml:space="preserve">2023</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0B9">
            <w:pPr>
              <w:spacing w:after="160" w:before="240" w:lineRule="auto"/>
              <w:rPr>
                <w:b w:val="1"/>
                <w:bCs w:val="1"/>
              </w:rPr>
            </w:pPr>
            <w:r w:rsidDel="00000000" w:rsidR="00000000" w:rsidRPr="00000000">
              <w:rPr>
                <w:b w:val="1"/>
                <w:bCs w:val="1"/>
                <w:rtl w:val="0"/>
              </w:rPr>
              <w:t xml:space="preserve">0.99</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0BA">
            <w:pPr>
              <w:spacing w:after="160" w:before="240" w:lineRule="auto"/>
              <w:rPr>
                <w:b w:val="1"/>
                <w:bCs w:val="1"/>
              </w:rPr>
            </w:pPr>
            <w:r w:rsidDel="00000000" w:rsidR="00000000" w:rsidRPr="00000000">
              <w:rPr>
                <w:b w:val="1"/>
                <w:bCs w:val="1"/>
                <w:rtl w:val="0"/>
              </w:rPr>
              <w:t xml:space="preserve">0.50</w:t>
            </w:r>
          </w:p>
        </w:tc>
      </w:tr>
      <w:tr>
        <w:trPr>
          <w:cantSplit w:val="0"/>
          <w:trHeight w:val="45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0BB">
            <w:pPr>
              <w:spacing w:after="160" w:before="240" w:lineRule="auto"/>
              <w:rPr>
                <w:i w:val="1"/>
                <w:iCs w:val="1"/>
              </w:rPr>
            </w:pPr>
            <w:r w:rsidDel="00000000" w:rsidR="00000000" w:rsidRPr="00000000">
              <w:rPr>
                <w:i w:val="1"/>
                <w:iCs w:val="1"/>
                <w:rtl w:val="0"/>
              </w:rPr>
              <w:t xml:space="preserve">2022</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BC">
            <w:pPr>
              <w:spacing w:after="160" w:before="240" w:lineRule="auto"/>
              <w:rPr>
                <w:b w:val="1"/>
                <w:bCs w:val="1"/>
              </w:rPr>
            </w:pPr>
            <w:r w:rsidDel="00000000" w:rsidR="00000000" w:rsidRPr="00000000">
              <w:rPr>
                <w:b w:val="1"/>
                <w:bCs w:val="1"/>
                <w:rtl w:val="0"/>
              </w:rPr>
              <w:t xml:space="preserve">0.88</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BD">
            <w:pPr>
              <w:spacing w:after="160" w:before="240" w:lineRule="auto"/>
              <w:rPr>
                <w:b w:val="1"/>
                <w:bCs w:val="1"/>
              </w:rPr>
            </w:pPr>
            <w:r w:rsidDel="00000000" w:rsidR="00000000" w:rsidRPr="00000000">
              <w:rPr>
                <w:b w:val="1"/>
                <w:bCs w:val="1"/>
                <w:rtl w:val="0"/>
              </w:rPr>
              <w:t xml:space="preserve">0.47</w:t>
            </w:r>
          </w:p>
        </w:tc>
      </w:tr>
      <w:tr>
        <w:trPr>
          <w:cantSplit w:val="0"/>
          <w:trHeight w:val="45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0BE">
            <w:pPr>
              <w:spacing w:after="160" w:before="240" w:lineRule="auto"/>
              <w:rPr>
                <w:i w:val="1"/>
                <w:iCs w:val="1"/>
              </w:rPr>
            </w:pPr>
            <w:r w:rsidDel="00000000" w:rsidR="00000000" w:rsidRPr="00000000">
              <w:rPr>
                <w:i w:val="1"/>
                <w:iCs w:val="1"/>
                <w:rtl w:val="0"/>
              </w:rPr>
              <w:t xml:space="preserve">2021</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0BF">
            <w:pPr>
              <w:spacing w:after="160" w:before="240" w:lineRule="auto"/>
              <w:rPr>
                <w:b w:val="1"/>
                <w:bCs w:val="1"/>
              </w:rPr>
            </w:pPr>
            <w:r w:rsidDel="00000000" w:rsidR="00000000" w:rsidRPr="00000000">
              <w:rPr>
                <w:b w:val="1"/>
                <w:bCs w:val="1"/>
                <w:rtl w:val="0"/>
              </w:rPr>
              <w:t xml:space="preserve">0.85</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0C0">
            <w:pPr>
              <w:spacing w:after="160" w:before="240" w:lineRule="auto"/>
              <w:rPr>
                <w:b w:val="1"/>
                <w:bCs w:val="1"/>
              </w:rPr>
            </w:pPr>
            <w:r w:rsidDel="00000000" w:rsidR="00000000" w:rsidRPr="00000000">
              <w:rPr>
                <w:b w:val="1"/>
                <w:bCs w:val="1"/>
                <w:rtl w:val="0"/>
              </w:rPr>
              <w:t xml:space="preserve">0.46</w:t>
            </w:r>
          </w:p>
        </w:tc>
      </w:tr>
      <w:tr>
        <w:trPr>
          <w:cantSplit w:val="0"/>
          <w:trHeight w:val="45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0C1">
            <w:pPr>
              <w:spacing w:after="160" w:before="240" w:lineRule="auto"/>
              <w:rPr>
                <w:i w:val="1"/>
                <w:iCs w:val="1"/>
              </w:rPr>
            </w:pPr>
            <w:r w:rsidDel="00000000" w:rsidR="00000000" w:rsidRPr="00000000">
              <w:rPr>
                <w:i w:val="1"/>
                <w:iCs w:val="1"/>
                <w:rtl w:val="0"/>
              </w:rPr>
              <w:t xml:space="preserve">2020</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C2">
            <w:pPr>
              <w:spacing w:after="160" w:before="240" w:lineRule="auto"/>
              <w:rPr>
                <w:b w:val="1"/>
                <w:bCs w:val="1"/>
              </w:rPr>
            </w:pPr>
            <w:r w:rsidDel="00000000" w:rsidR="00000000" w:rsidRPr="00000000">
              <w:rPr>
                <w:b w:val="1"/>
                <w:bCs w:val="1"/>
                <w:rtl w:val="0"/>
              </w:rPr>
              <w:t xml:space="preserve">0.63</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C3">
            <w:pPr>
              <w:spacing w:after="160" w:before="240" w:lineRule="auto"/>
              <w:rPr>
                <w:b w:val="1"/>
                <w:bCs w:val="1"/>
              </w:rPr>
            </w:pPr>
            <w:r w:rsidDel="00000000" w:rsidR="00000000" w:rsidRPr="00000000">
              <w:rPr>
                <w:b w:val="1"/>
                <w:bCs w:val="1"/>
                <w:rtl w:val="0"/>
              </w:rPr>
              <w:t xml:space="preserve">0.39</w:t>
            </w:r>
          </w:p>
        </w:tc>
      </w:tr>
    </w:tbl>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rPr/>
      </w:pPr>
      <w:r w:rsidDel="00000000" w:rsidR="00000000" w:rsidRPr="00000000">
        <w:rPr>
          <w:rtl w:val="0"/>
        </w:rPr>
        <w:t xml:space="preserve">The leverage ratios come in handy in the assessment of the financial risk of the firm because the ratios have debt as a means of funding assets. However, since 0.63 in 2020, the DTE ratio has increased to 1.11 in 2024, and it is an indicator that the company is using more and more debt to finance its operations, which brings it to a higher level of financial risks. Very high ratio figure would present some concern about a company in a situation of fulfilling the debt obligations during an economic recession. The trend followed by the Debt Ratio is too identical i.e., improved ratio of an asset financed with debt portion.</w:t>
      </w:r>
    </w:p>
    <w:p w:rsidR="00000000" w:rsidDel="00000000" w:rsidP="00000000" w:rsidRDefault="00000000" w:rsidRPr="00000000" w14:paraId="000000C6">
      <w:pPr>
        <w:rPr/>
      </w:pPr>
      <w:r w:rsidDel="00000000" w:rsidR="00000000" w:rsidRPr="00000000">
        <w:rPr>
          <w:rtl w:val="0"/>
        </w:rPr>
      </w:r>
    </w:p>
    <w:p w:rsidR="00000000" w:rsidDel="00000000" w:rsidP="00000000" w:rsidRDefault="00000000" w:rsidRPr="00000000" w14:paraId="000000C7">
      <w:pPr>
        <w:pStyle w:val="Heading3"/>
        <w:rPr/>
      </w:pPr>
      <w:bookmarkStart w:colFirst="0" w:colLast="0" w:name="_heading=h.6kqxv6ytrr0o" w:id="8"/>
      <w:bookmarkEnd w:id="8"/>
      <w:r w:rsidDel="00000000" w:rsidR="00000000" w:rsidRPr="00000000">
        <w:rPr>
          <w:rtl w:val="0"/>
        </w:rPr>
        <w:t xml:space="preserve">2.2.5 Operating Ratios</w:t>
      </w:r>
    </w:p>
    <w:p w:rsidR="00000000" w:rsidDel="00000000" w:rsidP="00000000" w:rsidRDefault="00000000" w:rsidRPr="00000000" w14:paraId="000000C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Arial" w:cs="Arial" w:eastAsia="Arial" w:hAnsi="Arial"/>
          <w:b w:val="1"/>
          <w:bCs w:val="1"/>
          <w:i w:val="1"/>
          <w:iCs w:val="1"/>
          <w:smallCaps w:val="0"/>
          <w:strike w:val="0"/>
          <w:color w:val="1f497d"/>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1f497d"/>
          <w:sz w:val="24"/>
          <w:szCs w:val="24"/>
          <w:u w:val="none"/>
          <w:shd w:fill="auto" w:val="clear"/>
          <w:vertAlign w:val="baseline"/>
          <w:rtl w:val="0"/>
        </w:rPr>
        <w:t xml:space="preserve">Table 5 Operating Ratios</w:t>
      </w:r>
    </w:p>
    <w:tbl>
      <w:tblPr>
        <w:tblStyle w:val="Table5"/>
        <w:tblW w:w="945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3480"/>
        <w:gridCol w:w="5970"/>
        <w:tblGridChange w:id="0">
          <w:tblGrid>
            <w:gridCol w:w="3480"/>
            <w:gridCol w:w="5970"/>
          </w:tblGrid>
        </w:tblGridChange>
      </w:tblGrid>
      <w:tr>
        <w:trPr>
          <w:cantSplit w:val="0"/>
          <w:trHeight w:val="435" w:hRule="atLeast"/>
          <w:tblHeader w:val="0"/>
        </w:trPr>
        <w:tc>
          <w:tcPr>
            <w:tcBorders>
              <w:top w:color="000000" w:space="0" w:sz="0" w:val="nil"/>
              <w:left w:color="000000" w:space="0" w:sz="0" w:val="nil"/>
              <w:bottom w:color="8eaadb" w:space="0" w:sz="6"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0C9">
            <w:pPr>
              <w:spacing w:after="160" w:before="240" w:lineRule="auto"/>
              <w:rPr>
                <w:b w:val="1"/>
                <w:bCs w:val="1"/>
                <w:i w:val="1"/>
                <w:iCs w:val="1"/>
              </w:rPr>
            </w:pPr>
            <w:r w:rsidDel="00000000" w:rsidR="00000000" w:rsidRPr="00000000">
              <w:rPr>
                <w:b w:val="1"/>
                <w:bCs w:val="1"/>
                <w:i w:val="1"/>
                <w:iCs w:val="1"/>
                <w:rtl w:val="0"/>
              </w:rPr>
              <w:t xml:space="preserve">Year</w:t>
            </w:r>
          </w:p>
        </w:tc>
        <w:tc>
          <w:tcPr>
            <w:tcBorders>
              <w:top w:color="000000" w:space="0" w:sz="0" w:val="nil"/>
              <w:left w:color="000000" w:space="0" w:sz="0" w:val="nil"/>
              <w:bottom w:color="8eaadb" w:space="0" w:sz="6"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0CA">
            <w:pPr>
              <w:spacing w:after="160" w:before="240" w:lineRule="auto"/>
              <w:rPr>
                <w:b w:val="1"/>
                <w:bCs w:val="1"/>
              </w:rPr>
            </w:pPr>
            <w:r w:rsidDel="00000000" w:rsidR="00000000" w:rsidRPr="00000000">
              <w:rPr>
                <w:b w:val="1"/>
                <w:bCs w:val="1"/>
                <w:rtl w:val="0"/>
              </w:rPr>
              <w:t xml:space="preserve">Operating Cash Flow Ratio</w:t>
            </w:r>
          </w:p>
        </w:tc>
      </w:tr>
      <w:tr>
        <w:trPr>
          <w:cantSplit w:val="0"/>
          <w:trHeight w:val="45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0CB">
            <w:pPr>
              <w:spacing w:after="160" w:before="240" w:lineRule="auto"/>
              <w:rPr>
                <w:i w:val="1"/>
                <w:iCs w:val="1"/>
              </w:rPr>
            </w:pPr>
            <w:r w:rsidDel="00000000" w:rsidR="00000000" w:rsidRPr="00000000">
              <w:rPr>
                <w:i w:val="1"/>
                <w:iCs w:val="1"/>
                <w:rtl w:val="0"/>
              </w:rPr>
              <w:t xml:space="preserve">2024</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CC">
            <w:pPr>
              <w:spacing w:after="160" w:before="240" w:lineRule="auto"/>
              <w:rPr>
                <w:b w:val="1"/>
                <w:bCs w:val="1"/>
              </w:rPr>
            </w:pPr>
            <w:r w:rsidDel="00000000" w:rsidR="00000000" w:rsidRPr="00000000">
              <w:rPr>
                <w:b w:val="1"/>
                <w:bCs w:val="1"/>
                <w:rtl w:val="0"/>
              </w:rPr>
              <w:t xml:space="preserve">0.09</w:t>
            </w:r>
          </w:p>
        </w:tc>
      </w:tr>
      <w:tr>
        <w:trPr>
          <w:cantSplit w:val="0"/>
          <w:trHeight w:val="45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0CD">
            <w:pPr>
              <w:spacing w:after="160" w:before="240" w:lineRule="auto"/>
              <w:rPr>
                <w:i w:val="1"/>
                <w:iCs w:val="1"/>
              </w:rPr>
            </w:pPr>
            <w:r w:rsidDel="00000000" w:rsidR="00000000" w:rsidRPr="00000000">
              <w:rPr>
                <w:i w:val="1"/>
                <w:iCs w:val="1"/>
                <w:rtl w:val="0"/>
              </w:rPr>
              <w:t xml:space="preserve">2023</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0CE">
            <w:pPr>
              <w:spacing w:after="160" w:before="240" w:lineRule="auto"/>
              <w:rPr>
                <w:b w:val="1"/>
                <w:bCs w:val="1"/>
              </w:rPr>
            </w:pPr>
            <w:r w:rsidDel="00000000" w:rsidR="00000000" w:rsidRPr="00000000">
              <w:rPr>
                <w:b w:val="1"/>
                <w:bCs w:val="1"/>
                <w:rtl w:val="0"/>
              </w:rPr>
              <w:t xml:space="preserve">0.16</w:t>
            </w:r>
          </w:p>
        </w:tc>
      </w:tr>
      <w:tr>
        <w:trPr>
          <w:cantSplit w:val="0"/>
          <w:trHeight w:val="45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0CF">
            <w:pPr>
              <w:spacing w:after="160" w:before="240" w:lineRule="auto"/>
              <w:rPr>
                <w:i w:val="1"/>
                <w:iCs w:val="1"/>
              </w:rPr>
            </w:pPr>
            <w:r w:rsidDel="00000000" w:rsidR="00000000" w:rsidRPr="00000000">
              <w:rPr>
                <w:i w:val="1"/>
                <w:iCs w:val="1"/>
                <w:rtl w:val="0"/>
              </w:rPr>
              <w:t xml:space="preserve">2022</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D0">
            <w:pPr>
              <w:spacing w:after="160" w:before="240" w:lineRule="auto"/>
              <w:rPr>
                <w:b w:val="1"/>
                <w:bCs w:val="1"/>
              </w:rPr>
            </w:pPr>
            <w:r w:rsidDel="00000000" w:rsidR="00000000" w:rsidRPr="00000000">
              <w:rPr>
                <w:b w:val="1"/>
                <w:bCs w:val="1"/>
                <w:rtl w:val="0"/>
              </w:rPr>
              <w:t xml:space="preserve">0.05</w:t>
            </w:r>
          </w:p>
        </w:tc>
      </w:tr>
      <w:tr>
        <w:trPr>
          <w:cantSplit w:val="0"/>
          <w:trHeight w:val="45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0D1">
            <w:pPr>
              <w:spacing w:after="160" w:before="240" w:lineRule="auto"/>
              <w:rPr>
                <w:i w:val="1"/>
                <w:iCs w:val="1"/>
              </w:rPr>
            </w:pPr>
            <w:r w:rsidDel="00000000" w:rsidR="00000000" w:rsidRPr="00000000">
              <w:rPr>
                <w:i w:val="1"/>
                <w:iCs w:val="1"/>
                <w:rtl w:val="0"/>
              </w:rPr>
              <w:t xml:space="preserve">2021</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0D2">
            <w:pPr>
              <w:spacing w:after="160" w:before="240" w:lineRule="auto"/>
              <w:rPr>
                <w:b w:val="1"/>
                <w:bCs w:val="1"/>
              </w:rPr>
            </w:pPr>
            <w:r w:rsidDel="00000000" w:rsidR="00000000" w:rsidRPr="00000000">
              <w:rPr>
                <w:rtl w:val="0"/>
              </w:rPr>
              <w:t xml:space="preserve"> </w:t>
            </w:r>
            <w:r w:rsidDel="00000000" w:rsidR="00000000" w:rsidRPr="00000000">
              <w:rPr>
                <w:b w:val="1"/>
                <w:bCs w:val="1"/>
                <w:rtl w:val="0"/>
              </w:rPr>
              <w:t xml:space="preserve">0.19</w:t>
            </w:r>
          </w:p>
        </w:tc>
      </w:tr>
      <w:tr>
        <w:trPr>
          <w:cantSplit w:val="0"/>
          <w:trHeight w:val="45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0D3">
            <w:pPr>
              <w:spacing w:after="160" w:before="240" w:lineRule="auto"/>
              <w:rPr>
                <w:i w:val="1"/>
                <w:iCs w:val="1"/>
              </w:rPr>
            </w:pPr>
            <w:r w:rsidDel="00000000" w:rsidR="00000000" w:rsidRPr="00000000">
              <w:rPr>
                <w:i w:val="1"/>
                <w:iCs w:val="1"/>
                <w:rtl w:val="0"/>
              </w:rPr>
              <w:t xml:space="preserve">2020</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D4">
            <w:pPr>
              <w:spacing w:after="160" w:before="240" w:lineRule="auto"/>
              <w:rPr>
                <w:b w:val="1"/>
                <w:bCs w:val="1"/>
              </w:rPr>
            </w:pPr>
            <w:r w:rsidDel="00000000" w:rsidR="00000000" w:rsidRPr="00000000">
              <w:rPr>
                <w:b w:val="1"/>
                <w:bCs w:val="1"/>
                <w:rtl w:val="0"/>
              </w:rPr>
              <w:t xml:space="preserve">0.41</w:t>
            </w:r>
          </w:p>
        </w:tc>
      </w:tr>
    </w:tbl>
    <w:p w:rsidR="00000000" w:rsidDel="00000000" w:rsidP="00000000" w:rsidRDefault="00000000" w:rsidRPr="00000000" w14:paraId="000000D5">
      <w:pPr>
        <w:rPr/>
      </w:pPr>
      <w:r w:rsidDel="00000000" w:rsidR="00000000" w:rsidRPr="00000000">
        <w:rPr>
          <w:rtl w:val="0"/>
        </w:rPr>
      </w:r>
    </w:p>
    <w:p w:rsidR="00000000" w:rsidDel="00000000" w:rsidP="00000000" w:rsidRDefault="00000000" w:rsidRPr="00000000" w14:paraId="000000D6">
      <w:pPr>
        <w:rPr/>
      </w:pPr>
      <w:r w:rsidDel="00000000" w:rsidR="00000000" w:rsidRPr="00000000">
        <w:rPr>
          <w:rtl w:val="0"/>
        </w:rPr>
        <w:t xml:space="preserve">Calculation of Operating ratios is done to determine the capability of a company to produce cash in running of the company in relation to short-term liabilities of the company. The Operating Cash Flow Ratio demonstrates that the liquidity of the business is also very high. It is estimated as Operating Cash Flow/Current Liabilities. The liquidity is poor with a ratio of 0.09 in 2024 compared to the ratio of 0.41 in 2020 which implies that the company is utilising its cash flow effectively. An increased ratio indicates that the company has appeared to be at a higher situation of using operating cash flow to meet its short term liability (Glaum et al., 2018).</w:t>
      </w:r>
    </w:p>
    <w:p w:rsidR="00000000" w:rsidDel="00000000" w:rsidP="00000000" w:rsidRDefault="00000000" w:rsidRPr="00000000" w14:paraId="000000D7">
      <w:pPr>
        <w:rPr/>
      </w:pPr>
      <w:r w:rsidDel="00000000" w:rsidR="00000000" w:rsidRPr="00000000">
        <w:rPr>
          <w:rtl w:val="0"/>
        </w:rPr>
      </w:r>
    </w:p>
    <w:p w:rsidR="00000000" w:rsidDel="00000000" w:rsidP="00000000" w:rsidRDefault="00000000" w:rsidRPr="00000000" w14:paraId="000000D8">
      <w:pPr>
        <w:pStyle w:val="Heading2"/>
        <w:rPr/>
      </w:pPr>
      <w:bookmarkStart w:colFirst="0" w:colLast="0" w:name="_heading=h.8uwzabcws9qe" w:id="9"/>
      <w:bookmarkEnd w:id="9"/>
      <w:r w:rsidDel="00000000" w:rsidR="00000000" w:rsidRPr="00000000">
        <w:rPr>
          <w:rtl w:val="0"/>
        </w:rPr>
        <w:t xml:space="preserve">2.3 Discover Trends, Strengths and Threats.</w:t>
      </w:r>
    </w:p>
    <w:p w:rsidR="00000000" w:rsidDel="00000000" w:rsidP="00000000" w:rsidRDefault="00000000" w:rsidRPr="00000000" w14:paraId="000000D9">
      <w:pPr>
        <w:rPr/>
      </w:pPr>
      <w:r w:rsidDel="00000000" w:rsidR="00000000" w:rsidRPr="00000000">
        <w:rPr>
          <w:rtl w:val="0"/>
        </w:rPr>
        <w:t xml:space="preserve">The trends of the firms are based on a consistent growth revenue trend during the period of 2020 to 2024 and the net sales larger, and the profitability is also higher during 2021 and 2022. Nonetheless, the year 2023 has experienced reduced profits that could be one of the factors due to the high cost of operations and decreasing operating income. One of the strengths is the effective gross profit margin, and it may be viewed as an indicator of the successful control of the expenses and relatively good liquidity situation in 2020-2022, and the organisation has enough short-term assets to cover the liabilities. </w:t>
      </w:r>
    </w:p>
    <w:p w:rsidR="00000000" w:rsidDel="00000000" w:rsidP="00000000" w:rsidRDefault="00000000" w:rsidRPr="00000000" w14:paraId="000000DA">
      <w:pPr>
        <w:rPr/>
      </w:pPr>
      <w:r w:rsidDel="00000000" w:rsidR="00000000" w:rsidRPr="00000000">
        <w:rPr>
          <w:rtl w:val="0"/>
        </w:rPr>
      </w:r>
    </w:p>
    <w:p w:rsidR="00000000" w:rsidDel="00000000" w:rsidP="00000000" w:rsidRDefault="00000000" w:rsidRPr="00000000" w14:paraId="000000DB">
      <w:pPr>
        <w:rPr/>
      </w:pPr>
      <w:r w:rsidDel="00000000" w:rsidR="00000000" w:rsidRPr="00000000">
        <w:rPr>
          <w:rtl w:val="0"/>
        </w:rPr>
        <w:t xml:space="preserve">The company also has diversified products and a vast market base that can be exploited to grow (Blessing and Sakouvogui, 2023). Along with such strengths, threats posed to the firm also have high importance. The depletion of debts, as evidenced by increasing debt-to-equity and debt ratios, are harsh in case of economic crisis or market fluctuation. The decreases in the asset turnover and inventory turnover ratios imply that the companies do not maximise its assets and inventory and consequently, introduce inefficiencies (Harris and Hampton, 2022). With cash flow, the fact that it depends on cash value to settle the liabilities and low cash ratio may be problematic. In the industry, the competitive forces could also constrain the pricing power and profit margins and take an additional toll on the firm to further grow.</w:t>
      </w:r>
    </w:p>
    <w:p w:rsidR="00000000" w:rsidDel="00000000" w:rsidP="00000000" w:rsidRDefault="00000000" w:rsidRPr="00000000" w14:paraId="000000DC">
      <w:pPr>
        <w:rPr/>
      </w:pPr>
      <w:r w:rsidDel="00000000" w:rsidR="00000000" w:rsidRPr="00000000">
        <w:rPr>
          <w:rtl w:val="0"/>
        </w:rPr>
      </w:r>
    </w:p>
    <w:p w:rsidR="00000000" w:rsidDel="00000000" w:rsidP="00000000" w:rsidRDefault="00000000" w:rsidRPr="00000000" w14:paraId="000000DD">
      <w:pPr>
        <w:pStyle w:val="Heading2"/>
        <w:rPr/>
      </w:pPr>
      <w:bookmarkStart w:colFirst="0" w:colLast="0" w:name="_heading=h.a09yknqfb2ym" w:id="10"/>
      <w:bookmarkEnd w:id="10"/>
      <w:r w:rsidDel="00000000" w:rsidR="00000000" w:rsidRPr="00000000">
        <w:rPr>
          <w:rtl w:val="0"/>
        </w:rPr>
        <w:t xml:space="preserve">2.4 Apply Corporate Failure Prediction Models (e.g. Altman Z-score) </w:t>
      </w:r>
    </w:p>
    <w:p w:rsidR="00000000" w:rsidDel="00000000" w:rsidP="00000000" w:rsidRDefault="00000000" w:rsidRPr="00000000" w14:paraId="000000DE">
      <w:pPr>
        <w:rPr/>
      </w:pPr>
      <w:r w:rsidDel="00000000" w:rsidR="00000000" w:rsidRPr="00000000">
        <w:rPr>
          <w:rtl w:val="0"/>
        </w:rPr>
        <w:t xml:space="preserve">Altman Z-score is an indivisible part of the mechanism predicting the possibility of the corporate collapse that should be valued on the principles of the following financial indicators: working capital, retained earnings, EBIT, market value of equity, sales (Veganzones and Severin, 2020). The case of the firm has calculated the Z-Scores of 2020-2024, where the Z-Score =2.23, and in the moderate risk zone. This demonstrates that the firm is at risk of becoming bankrupt compared with the safe region (Z&gt; 3), and it will have to strive to better its financial standings. Z-score of 2023 was lower at 2.06, indicating that it were more financial risks. </w:t>
      </w:r>
    </w:p>
    <w:p w:rsidR="00000000" w:rsidDel="00000000" w:rsidP="00000000" w:rsidRDefault="00000000" w:rsidRPr="00000000" w14:paraId="000000D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Arial" w:cs="Arial" w:eastAsia="Arial" w:hAnsi="Arial"/>
          <w:b w:val="1"/>
          <w:bCs w:val="1"/>
          <w:i w:val="1"/>
          <w:iCs w:val="1"/>
          <w:smallCaps w:val="0"/>
          <w:strike w:val="0"/>
          <w:color w:val="1f497d"/>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1f497d"/>
          <w:sz w:val="24"/>
          <w:szCs w:val="24"/>
          <w:u w:val="none"/>
          <w:shd w:fill="auto" w:val="clear"/>
          <w:vertAlign w:val="baseline"/>
          <w:rtl w:val="0"/>
        </w:rPr>
        <w:t xml:space="preserve">Table 6 Altman Z-score.</w:t>
      </w:r>
    </w:p>
    <w:tbl>
      <w:tblPr>
        <w:tblStyle w:val="Table6"/>
        <w:tblW w:w="900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065"/>
        <w:gridCol w:w="4935"/>
        <w:tblGridChange w:id="0">
          <w:tblGrid>
            <w:gridCol w:w="4065"/>
            <w:gridCol w:w="4935"/>
          </w:tblGrid>
        </w:tblGridChange>
      </w:tblGrid>
      <w:tr>
        <w:trPr>
          <w:cantSplit w:val="0"/>
          <w:trHeight w:val="435" w:hRule="atLeast"/>
          <w:tblHeader w:val="0"/>
        </w:trPr>
        <w:tc>
          <w:tcPr>
            <w:tcBorders>
              <w:top w:color="000000" w:space="0" w:sz="0" w:val="nil"/>
              <w:left w:color="000000" w:space="0" w:sz="0" w:val="nil"/>
              <w:bottom w:color="8eaadb" w:space="0" w:sz="6"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0E0">
            <w:pPr>
              <w:spacing w:after="160" w:before="240" w:lineRule="auto"/>
              <w:rPr>
                <w:b w:val="1"/>
                <w:bCs w:val="1"/>
                <w:i w:val="1"/>
                <w:iCs w:val="1"/>
              </w:rPr>
            </w:pPr>
            <w:r w:rsidDel="00000000" w:rsidR="00000000" w:rsidRPr="00000000">
              <w:rPr>
                <w:b w:val="1"/>
                <w:bCs w:val="1"/>
                <w:i w:val="1"/>
                <w:iCs w:val="1"/>
                <w:rtl w:val="0"/>
              </w:rPr>
              <w:t xml:space="preserve">Year</w:t>
            </w:r>
          </w:p>
        </w:tc>
        <w:tc>
          <w:tcPr>
            <w:tcBorders>
              <w:top w:color="000000" w:space="0" w:sz="0" w:val="nil"/>
              <w:left w:color="000000" w:space="0" w:sz="0" w:val="nil"/>
              <w:bottom w:color="8eaadb" w:space="0" w:sz="6"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0E1">
            <w:pPr>
              <w:spacing w:after="160" w:before="240" w:lineRule="auto"/>
              <w:rPr>
                <w:b w:val="1"/>
                <w:bCs w:val="1"/>
              </w:rPr>
            </w:pPr>
            <w:r w:rsidDel="00000000" w:rsidR="00000000" w:rsidRPr="00000000">
              <w:rPr>
                <w:b w:val="1"/>
                <w:bCs w:val="1"/>
                <w:rtl w:val="0"/>
              </w:rPr>
              <w:t xml:space="preserve">Altman Z-Score</w:t>
            </w:r>
          </w:p>
        </w:tc>
      </w:tr>
      <w:tr>
        <w:trPr>
          <w:cantSplit w:val="0"/>
          <w:trHeight w:val="45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0E2">
            <w:pPr>
              <w:spacing w:after="160" w:before="240" w:lineRule="auto"/>
              <w:rPr>
                <w:i w:val="1"/>
                <w:iCs w:val="1"/>
              </w:rPr>
            </w:pPr>
            <w:r w:rsidDel="00000000" w:rsidR="00000000" w:rsidRPr="00000000">
              <w:rPr>
                <w:i w:val="1"/>
                <w:iCs w:val="1"/>
                <w:rtl w:val="0"/>
              </w:rPr>
              <w:t xml:space="preserve">2024</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E3">
            <w:pPr>
              <w:spacing w:after="160" w:before="240" w:lineRule="auto"/>
              <w:rPr>
                <w:b w:val="1"/>
                <w:bCs w:val="1"/>
              </w:rPr>
            </w:pPr>
            <w:r w:rsidDel="00000000" w:rsidR="00000000" w:rsidRPr="00000000">
              <w:rPr>
                <w:b w:val="1"/>
                <w:bCs w:val="1"/>
                <w:rtl w:val="0"/>
              </w:rPr>
              <w:t xml:space="preserve">2.23</w:t>
            </w:r>
          </w:p>
        </w:tc>
      </w:tr>
      <w:tr>
        <w:trPr>
          <w:cantSplit w:val="0"/>
          <w:trHeight w:val="45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0E4">
            <w:pPr>
              <w:spacing w:after="160" w:before="240" w:lineRule="auto"/>
              <w:rPr>
                <w:i w:val="1"/>
                <w:iCs w:val="1"/>
              </w:rPr>
            </w:pPr>
            <w:r w:rsidDel="00000000" w:rsidR="00000000" w:rsidRPr="00000000">
              <w:rPr>
                <w:i w:val="1"/>
                <w:iCs w:val="1"/>
                <w:rtl w:val="0"/>
              </w:rPr>
              <w:t xml:space="preserve">2023</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0E5">
            <w:pPr>
              <w:spacing w:after="160" w:before="240" w:lineRule="auto"/>
              <w:rPr>
                <w:b w:val="1"/>
                <w:bCs w:val="1"/>
              </w:rPr>
            </w:pPr>
            <w:r w:rsidDel="00000000" w:rsidR="00000000" w:rsidRPr="00000000">
              <w:rPr>
                <w:b w:val="1"/>
                <w:bCs w:val="1"/>
                <w:rtl w:val="0"/>
              </w:rPr>
              <w:t xml:space="preserve">2.06</w:t>
            </w:r>
          </w:p>
        </w:tc>
      </w:tr>
      <w:tr>
        <w:trPr>
          <w:cantSplit w:val="0"/>
          <w:trHeight w:val="45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0E6">
            <w:pPr>
              <w:spacing w:after="160" w:before="240" w:lineRule="auto"/>
              <w:rPr>
                <w:i w:val="1"/>
                <w:iCs w:val="1"/>
              </w:rPr>
            </w:pPr>
            <w:r w:rsidDel="00000000" w:rsidR="00000000" w:rsidRPr="00000000">
              <w:rPr>
                <w:i w:val="1"/>
                <w:iCs w:val="1"/>
                <w:rtl w:val="0"/>
              </w:rPr>
              <w:t xml:space="preserve">2022</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E7">
            <w:pPr>
              <w:spacing w:after="160" w:before="240" w:lineRule="auto"/>
              <w:rPr>
                <w:b w:val="1"/>
                <w:bCs w:val="1"/>
              </w:rPr>
            </w:pPr>
            <w:r w:rsidDel="00000000" w:rsidR="00000000" w:rsidRPr="00000000">
              <w:rPr>
                <w:b w:val="1"/>
                <w:bCs w:val="1"/>
                <w:rtl w:val="0"/>
              </w:rPr>
              <w:t xml:space="preserve">3.19</w:t>
            </w:r>
          </w:p>
        </w:tc>
      </w:tr>
      <w:tr>
        <w:trPr>
          <w:cantSplit w:val="0"/>
          <w:trHeight w:val="45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0E8">
            <w:pPr>
              <w:spacing w:after="160" w:before="240" w:lineRule="auto"/>
              <w:rPr>
                <w:i w:val="1"/>
                <w:iCs w:val="1"/>
              </w:rPr>
            </w:pPr>
            <w:r w:rsidDel="00000000" w:rsidR="00000000" w:rsidRPr="00000000">
              <w:rPr>
                <w:i w:val="1"/>
                <w:iCs w:val="1"/>
                <w:rtl w:val="0"/>
              </w:rPr>
              <w:t xml:space="preserve">2021</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0E9">
            <w:pPr>
              <w:spacing w:after="160" w:before="240" w:lineRule="auto"/>
              <w:rPr>
                <w:b w:val="1"/>
                <w:bCs w:val="1"/>
              </w:rPr>
            </w:pPr>
            <w:r w:rsidDel="00000000" w:rsidR="00000000" w:rsidRPr="00000000">
              <w:rPr>
                <w:b w:val="1"/>
                <w:bCs w:val="1"/>
                <w:rtl w:val="0"/>
              </w:rPr>
              <w:t xml:space="preserve">3.10</w:t>
            </w:r>
          </w:p>
        </w:tc>
      </w:tr>
      <w:tr>
        <w:trPr>
          <w:cantSplit w:val="0"/>
          <w:trHeight w:val="45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0EA">
            <w:pPr>
              <w:spacing w:after="160" w:before="240" w:lineRule="auto"/>
              <w:rPr>
                <w:i w:val="1"/>
                <w:iCs w:val="1"/>
              </w:rPr>
            </w:pPr>
            <w:r w:rsidDel="00000000" w:rsidR="00000000" w:rsidRPr="00000000">
              <w:rPr>
                <w:i w:val="1"/>
                <w:iCs w:val="1"/>
                <w:rtl w:val="0"/>
              </w:rPr>
              <w:t xml:space="preserve">2020</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0EB">
            <w:pPr>
              <w:spacing w:after="160" w:before="240" w:lineRule="auto"/>
              <w:rPr>
                <w:b w:val="1"/>
                <w:bCs w:val="1"/>
              </w:rPr>
            </w:pPr>
            <w:r w:rsidDel="00000000" w:rsidR="00000000" w:rsidRPr="00000000">
              <w:rPr>
                <w:b w:val="1"/>
                <w:bCs w:val="1"/>
                <w:rtl w:val="0"/>
              </w:rPr>
              <w:t xml:space="preserve">3.60</w:t>
            </w:r>
          </w:p>
        </w:tc>
      </w:tr>
    </w:tbl>
    <w:p w:rsidR="00000000" w:rsidDel="00000000" w:rsidP="00000000" w:rsidRDefault="00000000" w:rsidRPr="00000000" w14:paraId="000000EC">
      <w:pPr>
        <w:rPr/>
      </w:pPr>
      <w:r w:rsidDel="00000000" w:rsidR="00000000" w:rsidRPr="00000000">
        <w:rPr>
          <w:rtl w:val="0"/>
        </w:rPr>
      </w:r>
    </w:p>
    <w:p w:rsidR="00000000" w:rsidDel="00000000" w:rsidP="00000000" w:rsidRDefault="00000000" w:rsidRPr="00000000" w14:paraId="000000ED">
      <w:pPr>
        <w:rPr/>
      </w:pPr>
      <w:r w:rsidDel="00000000" w:rsidR="00000000" w:rsidRPr="00000000">
        <w:rPr>
          <w:rtl w:val="0"/>
        </w:rPr>
        <w:t xml:space="preserve">This is found in the fact that it has increased the liabilities and reduced the profitability, therefore presenting that the company may struggle to cover it should the market conditions be unfavourable (Madura, 2021). The reduction in the Z-score implies that the amount to financial distress exposure is on an upward trend and therefore should amplify the control efforts in controlling the cash flow and cost in an effort to minimise the debt and maximise the profitability. This discussion suggests that an individual needs to possess a superior financial standing and minimise operational efficiency to lower financial risks. According to Altman Z-Score, the company is already experiencing moderate risks, but they will have time to adjust its financial smooth state with their remedial level.</w:t>
      </w:r>
    </w:p>
    <w:p w:rsidR="00000000" w:rsidDel="00000000" w:rsidP="00000000" w:rsidRDefault="00000000" w:rsidRPr="00000000" w14:paraId="000000EE">
      <w:pPr>
        <w:rPr/>
      </w:pPr>
      <w:r w:rsidDel="00000000" w:rsidR="00000000" w:rsidRPr="00000000">
        <w:rPr>
          <w:rtl w:val="0"/>
        </w:rPr>
      </w:r>
    </w:p>
    <w:p w:rsidR="00000000" w:rsidDel="00000000" w:rsidP="00000000" w:rsidRDefault="00000000" w:rsidRPr="00000000" w14:paraId="000000EF">
      <w:pPr>
        <w:rPr/>
      </w:pPr>
      <w:r w:rsidDel="00000000" w:rsidR="00000000" w:rsidRPr="00000000">
        <w:br w:type="page"/>
      </w:r>
      <w:r w:rsidDel="00000000" w:rsidR="00000000" w:rsidRPr="00000000">
        <w:rPr>
          <w:rtl w:val="0"/>
        </w:rPr>
      </w:r>
    </w:p>
    <w:p w:rsidR="00000000" w:rsidDel="00000000" w:rsidP="00000000" w:rsidRDefault="00000000" w:rsidRPr="00000000" w14:paraId="000000F0">
      <w:pPr>
        <w:pStyle w:val="Heading1"/>
        <w:rPr/>
      </w:pPr>
      <w:bookmarkStart w:colFirst="0" w:colLast="0" w:name="_heading=h.msiihvwksd9r" w:id="11"/>
      <w:bookmarkEnd w:id="11"/>
      <w:r w:rsidDel="00000000" w:rsidR="00000000" w:rsidRPr="00000000">
        <w:rPr>
          <w:rtl w:val="0"/>
        </w:rPr>
        <w:t xml:space="preserve">3.0 Working Capital Management Analysis</w:t>
      </w:r>
    </w:p>
    <w:p w:rsidR="00000000" w:rsidDel="00000000" w:rsidP="00000000" w:rsidRDefault="00000000" w:rsidRPr="00000000" w14:paraId="000000F1">
      <w:pPr>
        <w:pStyle w:val="Heading2"/>
        <w:rPr/>
      </w:pPr>
      <w:bookmarkStart w:colFirst="0" w:colLast="0" w:name="_heading=h.we66ni5pqegx" w:id="12"/>
      <w:bookmarkEnd w:id="12"/>
      <w:r w:rsidDel="00000000" w:rsidR="00000000" w:rsidRPr="00000000">
        <w:rPr>
          <w:rtl w:val="0"/>
        </w:rPr>
        <w:t xml:space="preserve">3.1 Cash Operating Cycle Measurement.</w:t>
      </w:r>
    </w:p>
    <w:p w:rsidR="00000000" w:rsidDel="00000000" w:rsidP="00000000" w:rsidRDefault="00000000" w:rsidRPr="00000000" w14:paraId="000000F2">
      <w:pPr>
        <w:rPr/>
      </w:pPr>
      <w:r w:rsidDel="00000000" w:rsidR="00000000" w:rsidRPr="00000000">
        <w:rPr>
          <w:rtl w:val="0"/>
        </w:rPr>
        <w:t xml:space="preserve">The Cash Operating Cycle (COC) measure entails the cash flow, and it is utilised to determine the time spent by a company before cash is received after making an investment in inventory and accounts receivable to be transformed to cash. It is mentioned that the COC has been oscillating over the period under study (2020-2024), having the highest value of 139.29 days in 2022, which means that it lost its grip on the inventory and receivables, and 2024 with the 115.06 value. Nevertheless, such large COC values within several years suggest that the inventory turnover was ineffective and companies were able to receive payments within a very short period of time.</w:t>
      </w:r>
    </w:p>
    <w:p w:rsidR="00000000" w:rsidDel="00000000" w:rsidP="00000000" w:rsidRDefault="00000000" w:rsidRPr="00000000" w14:paraId="000000F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Arial" w:cs="Arial" w:eastAsia="Arial" w:hAnsi="Arial"/>
          <w:b w:val="1"/>
          <w:bCs w:val="1"/>
          <w:i w:val="1"/>
          <w:iCs w:val="1"/>
          <w:smallCaps w:val="0"/>
          <w:strike w:val="0"/>
          <w:color w:val="1f497d"/>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1f497d"/>
          <w:sz w:val="24"/>
          <w:szCs w:val="24"/>
          <w:u w:val="none"/>
          <w:shd w:fill="auto" w:val="clear"/>
          <w:vertAlign w:val="baseline"/>
          <w:rtl w:val="0"/>
        </w:rPr>
        <w:t xml:space="preserve">Table 7 Cash Operating Cycle Measurement.</w:t>
      </w:r>
    </w:p>
    <w:tbl>
      <w:tblPr>
        <w:tblStyle w:val="Table7"/>
        <w:tblW w:w="8879.0" w:type="dxa"/>
        <w:jc w:val="left"/>
        <w:tblBorders>
          <w:top w:color="95b3d7" w:space="0" w:sz="4" w:val="single"/>
          <w:left w:color="95b3d7" w:space="0" w:sz="4" w:val="single"/>
          <w:bottom w:color="95b3d7" w:space="0" w:sz="4" w:val="single"/>
          <w:right w:color="95b3d7" w:space="0" w:sz="4" w:val="single"/>
          <w:insideH w:color="95b3d7" w:space="0" w:sz="4" w:val="single"/>
          <w:insideV w:color="95b3d7" w:space="0" w:sz="4" w:val="single"/>
        </w:tblBorders>
        <w:tblLayout w:type="fixed"/>
        <w:tblLook w:val="04A0"/>
      </w:tblPr>
      <w:tblGrid>
        <w:gridCol w:w="4124"/>
        <w:gridCol w:w="951"/>
        <w:gridCol w:w="951"/>
        <w:gridCol w:w="951"/>
        <w:gridCol w:w="951"/>
        <w:gridCol w:w="951"/>
        <w:tblGridChange w:id="0">
          <w:tblGrid>
            <w:gridCol w:w="4124"/>
            <w:gridCol w:w="951"/>
            <w:gridCol w:w="951"/>
            <w:gridCol w:w="951"/>
            <w:gridCol w:w="951"/>
            <w:gridCol w:w="951"/>
          </w:tblGrid>
        </w:tblGridChange>
      </w:tblGrid>
      <w:tr>
        <w:trPr>
          <w:cantSplit w:val="0"/>
          <w:tblHeader w:val="0"/>
        </w:trPr>
        <w:tc>
          <w:tcPr/>
          <w:p w:rsidR="00000000" w:rsidDel="00000000" w:rsidP="00000000" w:rsidRDefault="00000000" w:rsidRPr="00000000" w14:paraId="000000F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Component</w:t>
            </w:r>
          </w:p>
        </w:tc>
        <w:tc>
          <w:tcPr/>
          <w:p w:rsidR="00000000" w:rsidDel="00000000" w:rsidP="00000000" w:rsidRDefault="00000000" w:rsidRPr="00000000" w14:paraId="000000F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2020</w:t>
            </w:r>
          </w:p>
        </w:tc>
        <w:tc>
          <w:tcPr/>
          <w:p w:rsidR="00000000" w:rsidDel="00000000" w:rsidP="00000000" w:rsidRDefault="00000000" w:rsidRPr="00000000" w14:paraId="000000F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0F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0F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0F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2024</w:t>
            </w:r>
          </w:p>
        </w:tc>
      </w:tr>
      <w:tr>
        <w:trPr>
          <w:cantSplit w:val="0"/>
          <w:tblHeader w:val="0"/>
        </w:trPr>
        <w:tc>
          <w:tcPr/>
          <w:p w:rsidR="00000000" w:rsidDel="00000000" w:rsidP="00000000" w:rsidRDefault="00000000" w:rsidRPr="00000000" w14:paraId="000000FA">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Days Inventory Outstanding (DIO)</w:t>
            </w:r>
            <w:r w:rsidDel="00000000" w:rsidR="00000000" w:rsidRPr="00000000">
              <w:rPr>
                <w:rtl w:val="0"/>
              </w:rPr>
            </w:r>
          </w:p>
        </w:tc>
        <w:tc>
          <w:tcPr/>
          <w:p w:rsidR="00000000" w:rsidDel="00000000" w:rsidP="00000000" w:rsidRDefault="00000000" w:rsidRPr="00000000" w14:paraId="000000F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100.05</w:t>
            </w:r>
          </w:p>
        </w:tc>
        <w:tc>
          <w:tcPr/>
          <w:p w:rsidR="00000000" w:rsidDel="00000000" w:rsidP="00000000" w:rsidRDefault="00000000" w:rsidRPr="00000000" w14:paraId="000000F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114.53</w:t>
            </w:r>
          </w:p>
        </w:tc>
        <w:tc>
          <w:tcPr/>
          <w:p w:rsidR="00000000" w:rsidDel="00000000" w:rsidP="00000000" w:rsidRDefault="00000000" w:rsidRPr="00000000" w14:paraId="000000F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130.51</w:t>
            </w:r>
          </w:p>
        </w:tc>
        <w:tc>
          <w:tcPr/>
          <w:p w:rsidR="00000000" w:rsidDel="00000000" w:rsidP="00000000" w:rsidRDefault="00000000" w:rsidRPr="00000000" w14:paraId="000000F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99.67</w:t>
            </w:r>
          </w:p>
        </w:tc>
        <w:tc>
          <w:tcPr/>
          <w:p w:rsidR="00000000" w:rsidDel="00000000" w:rsidP="00000000" w:rsidRDefault="00000000" w:rsidRPr="00000000" w14:paraId="000000F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103.12</w:t>
            </w:r>
          </w:p>
        </w:tc>
      </w:tr>
      <w:tr>
        <w:trPr>
          <w:cantSplit w:val="0"/>
          <w:tblHeader w:val="0"/>
        </w:trPr>
        <w:tc>
          <w:tcPr/>
          <w:p w:rsidR="00000000" w:rsidDel="00000000" w:rsidP="00000000" w:rsidRDefault="00000000" w:rsidRPr="00000000" w14:paraId="00000100">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Days Sales Outstanding (DSO)</w:t>
            </w:r>
            <w:r w:rsidDel="00000000" w:rsidR="00000000" w:rsidRPr="00000000">
              <w:rPr>
                <w:rtl w:val="0"/>
              </w:rPr>
            </w:r>
          </w:p>
        </w:tc>
        <w:tc>
          <w:tcPr/>
          <w:p w:rsidR="00000000" w:rsidDel="00000000" w:rsidP="00000000" w:rsidRDefault="00000000" w:rsidRPr="00000000" w14:paraId="0000010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76.65</w:t>
            </w:r>
          </w:p>
        </w:tc>
        <w:tc>
          <w:tcPr/>
          <w:p w:rsidR="00000000" w:rsidDel="00000000" w:rsidP="00000000" w:rsidRDefault="00000000" w:rsidRPr="00000000" w14:paraId="0000010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78.50</w:t>
            </w:r>
          </w:p>
        </w:tc>
        <w:tc>
          <w:tcPr/>
          <w:p w:rsidR="00000000" w:rsidDel="00000000" w:rsidP="00000000" w:rsidRDefault="00000000" w:rsidRPr="00000000" w14:paraId="0000010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75.43</w:t>
            </w:r>
          </w:p>
        </w:tc>
        <w:tc>
          <w:tcPr/>
          <w:p w:rsidR="00000000" w:rsidDel="00000000" w:rsidP="00000000" w:rsidRDefault="00000000" w:rsidRPr="00000000" w14:paraId="0000010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97.49</w:t>
            </w:r>
          </w:p>
        </w:tc>
        <w:tc>
          <w:tcPr/>
          <w:p w:rsidR="00000000" w:rsidDel="00000000" w:rsidP="00000000" w:rsidRDefault="00000000" w:rsidRPr="00000000" w14:paraId="0000010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105.54</w:t>
            </w:r>
          </w:p>
        </w:tc>
      </w:tr>
      <w:tr>
        <w:trPr>
          <w:cantSplit w:val="0"/>
          <w:tblHeader w:val="0"/>
        </w:trPr>
        <w:tc>
          <w:tcPr/>
          <w:p w:rsidR="00000000" w:rsidDel="00000000" w:rsidP="00000000" w:rsidRDefault="00000000" w:rsidRPr="00000000" w14:paraId="00000106">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Days Payables Outstanding (DPO)</w:t>
            </w:r>
            <w:r w:rsidDel="00000000" w:rsidR="00000000" w:rsidRPr="00000000">
              <w:rPr>
                <w:rtl w:val="0"/>
              </w:rPr>
            </w:r>
          </w:p>
        </w:tc>
        <w:tc>
          <w:tcPr/>
          <w:p w:rsidR="00000000" w:rsidDel="00000000" w:rsidP="00000000" w:rsidRDefault="00000000" w:rsidRPr="00000000" w14:paraId="0000010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68.81</w:t>
            </w:r>
          </w:p>
        </w:tc>
        <w:tc>
          <w:tcPr/>
          <w:p w:rsidR="00000000" w:rsidDel="00000000" w:rsidP="00000000" w:rsidRDefault="00000000" w:rsidRPr="00000000" w14:paraId="0000010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78.80</w:t>
            </w:r>
          </w:p>
        </w:tc>
        <w:tc>
          <w:tcPr/>
          <w:p w:rsidR="00000000" w:rsidDel="00000000" w:rsidP="00000000" w:rsidRDefault="00000000" w:rsidRPr="00000000" w14:paraId="0000010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66.65</w:t>
            </w:r>
          </w:p>
        </w:tc>
        <w:tc>
          <w:tcPr/>
          <w:p w:rsidR="00000000" w:rsidDel="00000000" w:rsidP="00000000" w:rsidRDefault="00000000" w:rsidRPr="00000000" w14:paraId="0000010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64.44</w:t>
            </w:r>
          </w:p>
        </w:tc>
        <w:tc>
          <w:tcPr/>
          <w:p w:rsidR="00000000" w:rsidDel="00000000" w:rsidP="00000000" w:rsidRDefault="00000000" w:rsidRPr="00000000" w14:paraId="0000010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93.60</w:t>
            </w:r>
          </w:p>
        </w:tc>
      </w:tr>
      <w:tr>
        <w:trPr>
          <w:cantSplit w:val="0"/>
          <w:tblHeader w:val="0"/>
        </w:trPr>
        <w:tc>
          <w:tcPr/>
          <w:p w:rsidR="00000000" w:rsidDel="00000000" w:rsidP="00000000" w:rsidRDefault="00000000" w:rsidRPr="00000000" w14:paraId="0000010C">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Cash Operating Cycle (COC)</w:t>
            </w:r>
            <w:r w:rsidDel="00000000" w:rsidR="00000000" w:rsidRPr="00000000">
              <w:rPr>
                <w:rtl w:val="0"/>
              </w:rPr>
            </w:r>
          </w:p>
        </w:tc>
        <w:tc>
          <w:tcPr/>
          <w:p w:rsidR="00000000" w:rsidDel="00000000" w:rsidP="00000000" w:rsidRDefault="00000000" w:rsidRPr="00000000" w14:paraId="0000010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107.89</w:t>
            </w:r>
          </w:p>
        </w:tc>
        <w:tc>
          <w:tcPr/>
          <w:p w:rsidR="00000000" w:rsidDel="00000000" w:rsidP="00000000" w:rsidRDefault="00000000" w:rsidRPr="00000000" w14:paraId="0000010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114.23</w:t>
            </w:r>
          </w:p>
        </w:tc>
        <w:tc>
          <w:tcPr/>
          <w:p w:rsidR="00000000" w:rsidDel="00000000" w:rsidP="00000000" w:rsidRDefault="00000000" w:rsidRPr="00000000" w14:paraId="0000010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139.29</w:t>
            </w:r>
          </w:p>
        </w:tc>
        <w:tc>
          <w:tcPr/>
          <w:p w:rsidR="00000000" w:rsidDel="00000000" w:rsidP="00000000" w:rsidRDefault="00000000" w:rsidRPr="00000000" w14:paraId="0000011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132.72</w:t>
            </w:r>
          </w:p>
        </w:tc>
        <w:tc>
          <w:tcPr/>
          <w:p w:rsidR="00000000" w:rsidDel="00000000" w:rsidP="00000000" w:rsidRDefault="00000000" w:rsidRPr="00000000" w14:paraId="0000011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115.06</w:t>
            </w:r>
          </w:p>
        </w:tc>
      </w:tr>
    </w:tbl>
    <w:p w:rsidR="00000000" w:rsidDel="00000000" w:rsidP="00000000" w:rsidRDefault="00000000" w:rsidRPr="00000000" w14:paraId="00000112">
      <w:pPr>
        <w:rPr/>
      </w:pPr>
      <w:r w:rsidDel="00000000" w:rsidR="00000000" w:rsidRPr="00000000">
        <w:rPr>
          <w:rtl w:val="0"/>
        </w:rPr>
      </w:r>
    </w:p>
    <w:p w:rsidR="00000000" w:rsidDel="00000000" w:rsidP="00000000" w:rsidRDefault="00000000" w:rsidRPr="00000000" w14:paraId="00000113">
      <w:pPr>
        <w:pStyle w:val="Heading2"/>
        <w:rPr/>
      </w:pPr>
      <w:bookmarkStart w:colFirst="0" w:colLast="0" w:name="_heading=h.qx68qprvxaoo" w:id="13"/>
      <w:bookmarkEnd w:id="13"/>
      <w:r w:rsidDel="00000000" w:rsidR="00000000" w:rsidRPr="00000000">
        <w:rPr>
          <w:rtl w:val="0"/>
        </w:rPr>
        <w:t xml:space="preserve">3.2 Recommend Strategies to Improve Liquidity</w:t>
      </w:r>
    </w:p>
    <w:p w:rsidR="00000000" w:rsidDel="00000000" w:rsidP="00000000" w:rsidRDefault="00000000" w:rsidRPr="00000000" w14:paraId="00000114">
      <w:pPr>
        <w:rPr/>
      </w:pPr>
      <w:r w:rsidDel="00000000" w:rsidR="00000000" w:rsidRPr="00000000">
        <w:rPr>
          <w:rtl w:val="0"/>
        </w:rPr>
        <w:t xml:space="preserve">As a way of increasing liquidity, the firm will be compelled to focus on enhancing the Cash Operating Cycle (COC) in terms of efficiency in its inventory control, receivables collection and payables management.</w:t>
      </w:r>
    </w:p>
    <w:p w:rsidR="00000000" w:rsidDel="00000000" w:rsidP="00000000" w:rsidRDefault="00000000" w:rsidRPr="00000000" w14:paraId="00000115">
      <w:pPr>
        <w:rPr/>
      </w:pPr>
      <w:r w:rsidDel="00000000" w:rsidR="00000000" w:rsidRPr="00000000">
        <w:rPr>
          <w:rtl w:val="0"/>
        </w:rPr>
      </w:r>
    </w:p>
    <w:p w:rsidR="00000000" w:rsidDel="00000000" w:rsidP="00000000" w:rsidRDefault="00000000" w:rsidRPr="00000000" w14:paraId="00000116">
      <w:pPr>
        <w:numPr>
          <w:ilvl w:val="0"/>
          <w:numId w:val="1"/>
        </w:numPr>
        <w:ind w:left="720" w:hanging="360"/>
        <w:rPr/>
      </w:pPr>
      <w:r w:rsidDel="00000000" w:rsidR="00000000" w:rsidRPr="00000000">
        <w:rPr>
          <w:b w:val="1"/>
          <w:bCs w:val="1"/>
          <w:rtl w:val="0"/>
        </w:rPr>
        <w:t xml:space="preserve">Inventory Management: </w:t>
      </w:r>
      <w:r w:rsidDel="00000000" w:rsidR="00000000" w:rsidRPr="00000000">
        <w:rPr>
          <w:rtl w:val="0"/>
        </w:rPr>
        <w:t xml:space="preserve">By improving the ratio of the inventory turnover, the company will be in a position to reduce Inventory Days (DIO) (Perez et al., 2021). This can be done by incorporating the application of the just-in-time (JIT) type of inventory mechanisms that reduces the stocks and also cost of holding (Cezarino et al., 2022). This will enhance the liquidity by maximising the stock levels that will enable the company to maximise the cash flow and minimise the cost incurred during storage.</w:t>
      </w:r>
    </w:p>
    <w:p w:rsidR="00000000" w:rsidDel="00000000" w:rsidP="00000000" w:rsidRDefault="00000000" w:rsidRPr="00000000" w14:paraId="00000117">
      <w:pPr>
        <w:numPr>
          <w:ilvl w:val="0"/>
          <w:numId w:val="1"/>
        </w:numPr>
        <w:ind w:left="720" w:hanging="360"/>
        <w:rPr/>
      </w:pPr>
      <w:r w:rsidDel="00000000" w:rsidR="00000000" w:rsidRPr="00000000">
        <w:rPr>
          <w:b w:val="1"/>
          <w:bCs w:val="1"/>
          <w:rtl w:val="0"/>
        </w:rPr>
        <w:t xml:space="preserve">Receivables Collection: </w:t>
      </w:r>
      <w:r w:rsidDel="00000000" w:rsidR="00000000" w:rsidRPr="00000000">
        <w:rPr>
          <w:rtl w:val="0"/>
        </w:rPr>
        <w:t xml:space="preserve">Account Receivable Days is the number of days in which the company takes to collect its outstanding debts (Harris and Hampton, 2022). The company must make efforts to enhance its liquidity through attempting to minimise its by being more alert on its credit policy, including the determination of credit, making advance payment to its customers and making efforts to collect its outstanding (Maverick, 2024). The speed up can be achieved by enhancing the practice of collecting in order to enhance the cash position of the firms.</w:t>
      </w:r>
    </w:p>
    <w:p w:rsidR="00000000" w:rsidDel="00000000" w:rsidP="00000000" w:rsidRDefault="00000000" w:rsidRPr="00000000" w14:paraId="00000118">
      <w:pPr>
        <w:numPr>
          <w:ilvl w:val="0"/>
          <w:numId w:val="1"/>
        </w:numPr>
        <w:ind w:left="720" w:hanging="360"/>
        <w:rPr/>
      </w:pPr>
      <w:r w:rsidDel="00000000" w:rsidR="00000000" w:rsidRPr="00000000">
        <w:rPr>
          <w:b w:val="1"/>
          <w:bCs w:val="1"/>
          <w:rtl w:val="0"/>
        </w:rPr>
        <w:t xml:space="preserve">Payables Management: </w:t>
      </w:r>
      <w:r w:rsidDel="00000000" w:rsidR="00000000" w:rsidRPr="00000000">
        <w:rPr>
          <w:rtl w:val="0"/>
        </w:rPr>
        <w:t xml:space="preserve">This is yet another field that the firm should consider when it comes to making the decision on Accounts Payable Day, the rate on which the company is paying suppliers (Kovach et al., 2022). The company can also take advantage of supplier payment terms increase, which will not negatively affect the relationship and incur a penalty to get more money and extended terms. This must, however, be in such a way that it strikes a balance between ruining the relationships with the suppliers and even rejection of the supply chains.</w:t>
      </w:r>
    </w:p>
    <w:p w:rsidR="00000000" w:rsidDel="00000000" w:rsidP="00000000" w:rsidRDefault="00000000" w:rsidRPr="00000000" w14:paraId="00000119">
      <w:pPr>
        <w:rPr/>
      </w:pPr>
      <w:r w:rsidDel="00000000" w:rsidR="00000000" w:rsidRPr="00000000">
        <w:rPr>
          <w:rtl w:val="0"/>
        </w:rPr>
      </w:r>
    </w:p>
    <w:p w:rsidR="00000000" w:rsidDel="00000000" w:rsidP="00000000" w:rsidRDefault="00000000" w:rsidRPr="00000000" w14:paraId="0000011A">
      <w:pPr>
        <w:rPr/>
      </w:pPr>
      <w:r w:rsidDel="00000000" w:rsidR="00000000" w:rsidRPr="00000000">
        <w:rPr>
          <w:rtl w:val="0"/>
        </w:rPr>
        <w:t xml:space="preserve">In a word, the enhancement of Cash Operating Cycle, emphasis on the optimisation of inventory and receivables collection process and attentive attitude to payables will become a perfect cure to the liquidity position of this firm.</w:t>
      </w:r>
    </w:p>
    <w:p w:rsidR="00000000" w:rsidDel="00000000" w:rsidP="00000000" w:rsidRDefault="00000000" w:rsidRPr="00000000" w14:paraId="0000011B">
      <w:pPr>
        <w:rPr/>
      </w:pPr>
      <w:r w:rsidDel="00000000" w:rsidR="00000000" w:rsidRPr="00000000">
        <w:rPr>
          <w:rtl w:val="0"/>
        </w:rPr>
      </w:r>
    </w:p>
    <w:p w:rsidR="00000000" w:rsidDel="00000000" w:rsidP="00000000" w:rsidRDefault="00000000" w:rsidRPr="00000000" w14:paraId="0000011C">
      <w:pPr>
        <w:pStyle w:val="Heading2"/>
        <w:rPr/>
      </w:pPr>
      <w:bookmarkStart w:colFirst="0" w:colLast="0" w:name="_heading=h.p2kidwa6ofjt" w:id="14"/>
      <w:bookmarkEnd w:id="14"/>
      <w:r w:rsidDel="00000000" w:rsidR="00000000" w:rsidRPr="00000000">
        <w:rPr>
          <w:rtl w:val="0"/>
        </w:rPr>
        <w:t xml:space="preserve">3.3 Short-Term vs Long-Term Financing Options</w:t>
      </w:r>
    </w:p>
    <w:p w:rsidR="00000000" w:rsidDel="00000000" w:rsidP="00000000" w:rsidRDefault="00000000" w:rsidRPr="00000000" w14:paraId="0000011D">
      <w:pPr>
        <w:rPr/>
      </w:pPr>
      <w:r w:rsidDel="00000000" w:rsidR="00000000" w:rsidRPr="00000000">
        <w:rPr>
          <w:rtl w:val="0"/>
        </w:rPr>
        <w:t xml:space="preserve">Short-term financing involves financing to meet the short-term financing requirements of the company, most of the time within one year. The regular short-term means are bank overdraft and short-term loans, lines of credit (Charupat and Sarkar, 2024). These are the best alternatives that will solve a liquidity problem, service operations such as paying the suppliers and handling the ugly surprises. The benefit of short-term financing is that it can reach funds fast and is also flexible. The biggest downside, however, is that this group of tools costs more to use in the long run, as most of them impose high interest rates (Henager and Cude, 2016). Conversely, long-term financing entails the ability to raise finances on a long time (more than one year). Some of the most common major ones include bank loans, equity financing and bonds. They are normally applied in making big investments like capital expenditure (i.e. purchase of equipment or expansion of operations). </w:t>
      </w:r>
    </w:p>
    <w:p w:rsidR="00000000" w:rsidDel="00000000" w:rsidP="00000000" w:rsidRDefault="00000000" w:rsidRPr="00000000" w14:paraId="0000011E">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Arial" w:cs="Arial" w:eastAsia="Arial" w:hAnsi="Arial"/>
          <w:b w:val="1"/>
          <w:bCs w:val="1"/>
          <w:i w:val="1"/>
          <w:iCs w:val="1"/>
          <w:smallCaps w:val="0"/>
          <w:strike w:val="0"/>
          <w:color w:val="1f497d"/>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1f497d"/>
          <w:sz w:val="24"/>
          <w:szCs w:val="24"/>
          <w:u w:val="none"/>
          <w:shd w:fill="auto" w:val="clear"/>
          <w:vertAlign w:val="baseline"/>
          <w:rtl w:val="0"/>
        </w:rPr>
        <w:t xml:space="preserve">Table 8 Short-Term vs Long-Term Financing Options.</w:t>
      </w:r>
    </w:p>
    <w:tbl>
      <w:tblPr>
        <w:tblStyle w:val="Table8"/>
        <w:tblW w:w="930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860"/>
        <w:gridCol w:w="3780"/>
        <w:gridCol w:w="3660"/>
        <w:tblGridChange w:id="0">
          <w:tblGrid>
            <w:gridCol w:w="1860"/>
            <w:gridCol w:w="3780"/>
            <w:gridCol w:w="3660"/>
          </w:tblGrid>
        </w:tblGridChange>
      </w:tblGrid>
      <w:tr>
        <w:trPr>
          <w:cantSplit w:val="0"/>
          <w:trHeight w:val="435" w:hRule="atLeast"/>
          <w:tblHeader w:val="0"/>
        </w:trPr>
        <w:tc>
          <w:tcPr>
            <w:tcBorders>
              <w:top w:color="000000" w:space="0" w:sz="0" w:val="nil"/>
              <w:left w:color="000000" w:space="0" w:sz="0" w:val="nil"/>
              <w:bottom w:color="8eaadb" w:space="0" w:sz="6"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11F">
            <w:pPr>
              <w:spacing w:after="160" w:before="240" w:lineRule="auto"/>
              <w:rPr>
                <w:b w:val="1"/>
                <w:bCs w:val="1"/>
                <w:i w:val="1"/>
                <w:iCs w:val="1"/>
              </w:rPr>
            </w:pPr>
            <w:r w:rsidDel="00000000" w:rsidR="00000000" w:rsidRPr="00000000">
              <w:rPr>
                <w:b w:val="1"/>
                <w:bCs w:val="1"/>
                <w:i w:val="1"/>
                <w:iCs w:val="1"/>
                <w:rtl w:val="0"/>
              </w:rPr>
              <w:t xml:space="preserve">Aspect</w:t>
            </w:r>
          </w:p>
        </w:tc>
        <w:tc>
          <w:tcPr>
            <w:tcBorders>
              <w:top w:color="000000" w:space="0" w:sz="0" w:val="nil"/>
              <w:left w:color="000000" w:space="0" w:sz="0" w:val="nil"/>
              <w:bottom w:color="8eaadb" w:space="0" w:sz="6"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120">
            <w:pPr>
              <w:spacing w:after="160" w:before="240" w:lineRule="auto"/>
              <w:rPr>
                <w:b w:val="1"/>
                <w:bCs w:val="1"/>
              </w:rPr>
            </w:pPr>
            <w:r w:rsidDel="00000000" w:rsidR="00000000" w:rsidRPr="00000000">
              <w:rPr>
                <w:b w:val="1"/>
                <w:bCs w:val="1"/>
                <w:rtl w:val="0"/>
              </w:rPr>
              <w:t xml:space="preserve">Short-Term Financing</w:t>
            </w:r>
          </w:p>
        </w:tc>
        <w:tc>
          <w:tcPr>
            <w:tcBorders>
              <w:top w:color="000000" w:space="0" w:sz="0" w:val="nil"/>
              <w:left w:color="000000" w:space="0" w:sz="0" w:val="nil"/>
              <w:bottom w:color="8eaadb" w:space="0" w:sz="6"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121">
            <w:pPr>
              <w:spacing w:after="160" w:before="240" w:lineRule="auto"/>
              <w:rPr>
                <w:b w:val="1"/>
                <w:bCs w:val="1"/>
              </w:rPr>
            </w:pPr>
            <w:r w:rsidDel="00000000" w:rsidR="00000000" w:rsidRPr="00000000">
              <w:rPr>
                <w:b w:val="1"/>
                <w:bCs w:val="1"/>
                <w:rtl w:val="0"/>
              </w:rPr>
              <w:t xml:space="preserve">Long-Term Financing</w:t>
            </w:r>
          </w:p>
        </w:tc>
      </w:tr>
      <w:tr>
        <w:trPr>
          <w:cantSplit w:val="0"/>
          <w:trHeight w:val="45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122">
            <w:pPr>
              <w:spacing w:after="160" w:before="240" w:lineRule="auto"/>
              <w:rPr>
                <w:b w:val="1"/>
                <w:bCs w:val="1"/>
                <w:i w:val="1"/>
                <w:iCs w:val="1"/>
              </w:rPr>
            </w:pPr>
            <w:r w:rsidDel="00000000" w:rsidR="00000000" w:rsidRPr="00000000">
              <w:rPr>
                <w:b w:val="1"/>
                <w:bCs w:val="1"/>
                <w:i w:val="1"/>
                <w:iCs w:val="1"/>
                <w:rtl w:val="0"/>
              </w:rPr>
              <w:t xml:space="preserve">Duration</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123">
            <w:pPr>
              <w:spacing w:after="160" w:before="240" w:lineRule="auto"/>
              <w:rPr/>
            </w:pPr>
            <w:r w:rsidDel="00000000" w:rsidR="00000000" w:rsidRPr="00000000">
              <w:rPr>
                <w:rtl w:val="0"/>
              </w:rPr>
              <w:t xml:space="preserve">Less than 1 year</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124">
            <w:pPr>
              <w:spacing w:after="160" w:before="240" w:lineRule="auto"/>
              <w:rPr/>
            </w:pPr>
            <w:r w:rsidDel="00000000" w:rsidR="00000000" w:rsidRPr="00000000">
              <w:rPr>
                <w:rtl w:val="0"/>
              </w:rPr>
              <w:t xml:space="preserve">More than 1 year</w:t>
            </w:r>
          </w:p>
        </w:tc>
      </w:tr>
      <w:tr>
        <w:trPr>
          <w:cantSplit w:val="0"/>
          <w:trHeight w:val="72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125">
            <w:pPr>
              <w:spacing w:after="160" w:before="240" w:lineRule="auto"/>
              <w:rPr>
                <w:b w:val="1"/>
                <w:bCs w:val="1"/>
                <w:i w:val="1"/>
                <w:iCs w:val="1"/>
              </w:rPr>
            </w:pPr>
            <w:r w:rsidDel="00000000" w:rsidR="00000000" w:rsidRPr="00000000">
              <w:rPr>
                <w:b w:val="1"/>
                <w:bCs w:val="1"/>
                <w:i w:val="1"/>
                <w:iCs w:val="1"/>
                <w:rtl w:val="0"/>
              </w:rPr>
              <w:t xml:space="preserve">Examples</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126">
            <w:pPr>
              <w:spacing w:after="160" w:before="240" w:lineRule="auto"/>
              <w:rPr/>
            </w:pPr>
            <w:r w:rsidDel="00000000" w:rsidR="00000000" w:rsidRPr="00000000">
              <w:rPr>
                <w:rtl w:val="0"/>
              </w:rPr>
              <w:t xml:space="preserve">Lines of credit, Bank overdrafts, Short-term loans</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127">
            <w:pPr>
              <w:spacing w:after="160" w:before="240" w:lineRule="auto"/>
              <w:rPr/>
            </w:pPr>
            <w:r w:rsidDel="00000000" w:rsidR="00000000" w:rsidRPr="00000000">
              <w:rPr>
                <w:rtl w:val="0"/>
              </w:rPr>
              <w:t xml:space="preserve">Bank loans, Bonds, Equity financing (Madura, 2021)</w:t>
            </w:r>
          </w:p>
        </w:tc>
      </w:tr>
      <w:tr>
        <w:trPr>
          <w:cantSplit w:val="0"/>
          <w:trHeight w:val="72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128">
            <w:pPr>
              <w:spacing w:after="160" w:before="240" w:lineRule="auto"/>
              <w:rPr>
                <w:b w:val="1"/>
                <w:bCs w:val="1"/>
                <w:i w:val="1"/>
                <w:iCs w:val="1"/>
              </w:rPr>
            </w:pPr>
            <w:r w:rsidDel="00000000" w:rsidR="00000000" w:rsidRPr="00000000">
              <w:rPr>
                <w:b w:val="1"/>
                <w:bCs w:val="1"/>
                <w:i w:val="1"/>
                <w:iCs w:val="1"/>
                <w:rtl w:val="0"/>
              </w:rPr>
              <w:t xml:space="preserve">Purpose</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129">
            <w:pPr>
              <w:spacing w:after="160" w:before="240" w:lineRule="auto"/>
              <w:rPr/>
            </w:pPr>
            <w:r w:rsidDel="00000000" w:rsidR="00000000" w:rsidRPr="00000000">
              <w:rPr>
                <w:rtl w:val="0"/>
              </w:rPr>
              <w:t xml:space="preserve">Manage day-to-day operational needs, liquidity gaps</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12A">
            <w:pPr>
              <w:spacing w:after="160" w:before="240" w:lineRule="auto"/>
              <w:rPr/>
            </w:pPr>
            <w:r w:rsidDel="00000000" w:rsidR="00000000" w:rsidRPr="00000000">
              <w:rPr>
                <w:rtl w:val="0"/>
              </w:rPr>
              <w:t xml:space="preserve">Fund capital expenditures, long-term projects</w:t>
            </w:r>
          </w:p>
        </w:tc>
      </w:tr>
      <w:tr>
        <w:trPr>
          <w:cantSplit w:val="0"/>
          <w:trHeight w:val="45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12B">
            <w:pPr>
              <w:spacing w:after="160" w:before="240" w:lineRule="auto"/>
              <w:rPr>
                <w:b w:val="1"/>
                <w:bCs w:val="1"/>
                <w:i w:val="1"/>
                <w:iCs w:val="1"/>
              </w:rPr>
            </w:pPr>
            <w:r w:rsidDel="00000000" w:rsidR="00000000" w:rsidRPr="00000000">
              <w:rPr>
                <w:b w:val="1"/>
                <w:bCs w:val="1"/>
                <w:i w:val="1"/>
                <w:iCs w:val="1"/>
                <w:rtl w:val="0"/>
              </w:rPr>
              <w:t xml:space="preserve">Interest Rates</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12C">
            <w:pPr>
              <w:spacing w:after="160" w:before="240" w:lineRule="auto"/>
              <w:rPr/>
            </w:pPr>
            <w:r w:rsidDel="00000000" w:rsidR="00000000" w:rsidRPr="00000000">
              <w:rPr>
                <w:rtl w:val="0"/>
              </w:rPr>
              <w:t xml:space="preserve">Generally higher (Henager and Cude, 2016).</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12D">
            <w:pPr>
              <w:spacing w:after="160" w:before="240" w:lineRule="auto"/>
              <w:rPr/>
            </w:pPr>
            <w:r w:rsidDel="00000000" w:rsidR="00000000" w:rsidRPr="00000000">
              <w:rPr>
                <w:rtl w:val="0"/>
              </w:rPr>
              <w:t xml:space="preserve">Generally lower</w:t>
            </w:r>
          </w:p>
        </w:tc>
      </w:tr>
      <w:tr>
        <w:trPr>
          <w:cantSplit w:val="0"/>
          <w:trHeight w:val="72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12E">
            <w:pPr>
              <w:spacing w:after="160" w:before="240" w:lineRule="auto"/>
              <w:rPr>
                <w:b w:val="1"/>
                <w:bCs w:val="1"/>
                <w:i w:val="1"/>
                <w:iCs w:val="1"/>
              </w:rPr>
            </w:pPr>
            <w:r w:rsidDel="00000000" w:rsidR="00000000" w:rsidRPr="00000000">
              <w:rPr>
                <w:b w:val="1"/>
                <w:bCs w:val="1"/>
                <w:i w:val="1"/>
                <w:iCs w:val="1"/>
                <w:rtl w:val="0"/>
              </w:rPr>
              <w:t xml:space="preserve">Repayment Terms</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12F">
            <w:pPr>
              <w:spacing w:after="160" w:before="240" w:lineRule="auto"/>
              <w:rPr/>
            </w:pPr>
            <w:r w:rsidDel="00000000" w:rsidR="00000000" w:rsidRPr="00000000">
              <w:rPr>
                <w:rtl w:val="0"/>
              </w:rPr>
              <w:t xml:space="preserve">Shorter repayment periods, flexible</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130">
            <w:pPr>
              <w:spacing w:after="160" w:before="240" w:lineRule="auto"/>
              <w:rPr/>
            </w:pPr>
            <w:r w:rsidDel="00000000" w:rsidR="00000000" w:rsidRPr="00000000">
              <w:rPr>
                <w:rtl w:val="0"/>
              </w:rPr>
              <w:t xml:space="preserve">Longer repayment periods, fixed terms</w:t>
            </w:r>
          </w:p>
        </w:tc>
      </w:tr>
      <w:tr>
        <w:trPr>
          <w:cantSplit w:val="0"/>
          <w:trHeight w:val="72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131">
            <w:pPr>
              <w:spacing w:after="160" w:before="240" w:lineRule="auto"/>
              <w:rPr>
                <w:b w:val="1"/>
                <w:bCs w:val="1"/>
                <w:i w:val="1"/>
                <w:iCs w:val="1"/>
              </w:rPr>
            </w:pPr>
            <w:r w:rsidDel="00000000" w:rsidR="00000000" w:rsidRPr="00000000">
              <w:rPr>
                <w:b w:val="1"/>
                <w:bCs w:val="1"/>
                <w:i w:val="1"/>
                <w:iCs w:val="1"/>
                <w:rtl w:val="0"/>
              </w:rPr>
              <w:t xml:space="preserve">Advantages</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132">
            <w:pPr>
              <w:spacing w:after="160" w:before="240" w:lineRule="auto"/>
              <w:rPr/>
            </w:pPr>
            <w:r w:rsidDel="00000000" w:rsidR="00000000" w:rsidRPr="00000000">
              <w:rPr>
                <w:rtl w:val="0"/>
              </w:rPr>
              <w:t xml:space="preserve">Quick access to funds, flexible</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133">
            <w:pPr>
              <w:spacing w:after="160" w:before="240" w:lineRule="auto"/>
              <w:rPr/>
            </w:pPr>
            <w:r w:rsidDel="00000000" w:rsidR="00000000" w:rsidRPr="00000000">
              <w:rPr>
                <w:rtl w:val="0"/>
              </w:rPr>
              <w:t xml:space="preserve">Stable funding, lower interest rates</w:t>
            </w:r>
          </w:p>
        </w:tc>
      </w:tr>
      <w:tr>
        <w:trPr>
          <w:cantSplit w:val="0"/>
          <w:trHeight w:val="45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134">
            <w:pPr>
              <w:spacing w:after="160" w:before="240" w:lineRule="auto"/>
              <w:rPr>
                <w:b w:val="1"/>
                <w:bCs w:val="1"/>
                <w:i w:val="1"/>
                <w:iCs w:val="1"/>
              </w:rPr>
            </w:pPr>
            <w:r w:rsidDel="00000000" w:rsidR="00000000" w:rsidRPr="00000000">
              <w:rPr>
                <w:b w:val="1"/>
                <w:bCs w:val="1"/>
                <w:i w:val="1"/>
                <w:iCs w:val="1"/>
                <w:rtl w:val="0"/>
              </w:rPr>
              <w:t xml:space="preserve">Disadvantages</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135">
            <w:pPr>
              <w:spacing w:after="160" w:before="240" w:lineRule="auto"/>
              <w:rPr/>
            </w:pPr>
            <w:r w:rsidDel="00000000" w:rsidR="00000000" w:rsidRPr="00000000">
              <w:rPr>
                <w:rtl w:val="0"/>
              </w:rPr>
              <w:t xml:space="preserve">Higher costs, can strain cash flow (Zhang et al., 2017)</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136">
            <w:pPr>
              <w:spacing w:after="160" w:before="240" w:lineRule="auto"/>
              <w:rPr/>
            </w:pPr>
            <w:r w:rsidDel="00000000" w:rsidR="00000000" w:rsidRPr="00000000">
              <w:rPr>
                <w:rtl w:val="0"/>
              </w:rPr>
              <w:t xml:space="preserve">Requires collateral, rigid terms</w:t>
            </w:r>
          </w:p>
        </w:tc>
      </w:tr>
    </w:tbl>
    <w:p w:rsidR="00000000" w:rsidDel="00000000" w:rsidP="00000000" w:rsidRDefault="00000000" w:rsidRPr="00000000" w14:paraId="00000137">
      <w:pPr>
        <w:rPr/>
      </w:pPr>
      <w:r w:rsidDel="00000000" w:rsidR="00000000" w:rsidRPr="00000000">
        <w:rPr>
          <w:rtl w:val="0"/>
        </w:rPr>
      </w:r>
    </w:p>
    <w:p w:rsidR="00000000" w:rsidDel="00000000" w:rsidP="00000000" w:rsidRDefault="00000000" w:rsidRPr="00000000" w14:paraId="00000138">
      <w:pPr>
        <w:rPr/>
      </w:pPr>
      <w:r w:rsidDel="00000000" w:rsidR="00000000" w:rsidRPr="00000000">
        <w:rPr>
          <w:rtl w:val="0"/>
        </w:rPr>
        <w:t xml:space="preserve">The benefit of the long-term financing is that the interest will be lower compared to the short-term debt, and the long-term financing facility will provide the company with a more reliable financing base on which to invest the long-term investments (Maverick, 2024). The disadvantage of this is that it might be accompanied by security and repayment. In addition, it also promises to be costly in terms of administration and can be harder to plan (Charupat and Sarkar, 2024). This should be decided on whether to finance a business in the short term or long term, depending on the level of liquidity requirement and the financing policy of the business. The short-term financing is more appropriate when a company is going through a transient cash crunch or when the company requires money to finance the undertaken activities. Nevertheless, the real thing is that the companies that are the recipients of the support of the short-term finance should be able to pay their debt on time in order to prevent the negative consequences related to the credit rating.</w:t>
      </w:r>
      <w:r w:rsidDel="00000000" w:rsidR="00000000" w:rsidRPr="00000000">
        <w:br w:type="page"/>
      </w:r>
      <w:r w:rsidDel="00000000" w:rsidR="00000000" w:rsidRPr="00000000">
        <w:rPr>
          <w:rtl w:val="0"/>
        </w:rPr>
      </w:r>
    </w:p>
    <w:p w:rsidR="00000000" w:rsidDel="00000000" w:rsidP="00000000" w:rsidRDefault="00000000" w:rsidRPr="00000000" w14:paraId="00000139">
      <w:pPr>
        <w:pStyle w:val="Heading1"/>
        <w:rPr/>
      </w:pPr>
      <w:bookmarkStart w:colFirst="0" w:colLast="0" w:name="_heading=h.58mlp9xrxryp" w:id="15"/>
      <w:bookmarkEnd w:id="15"/>
      <w:r w:rsidDel="00000000" w:rsidR="00000000" w:rsidRPr="00000000">
        <w:rPr>
          <w:rtl w:val="0"/>
        </w:rPr>
        <w:t xml:space="preserve">4.0 Strategic Financial Restructuring Plan</w:t>
      </w:r>
    </w:p>
    <w:p w:rsidR="00000000" w:rsidDel="00000000" w:rsidP="00000000" w:rsidRDefault="00000000" w:rsidRPr="00000000" w14:paraId="0000013A">
      <w:pPr>
        <w:pStyle w:val="Heading2"/>
        <w:rPr/>
      </w:pPr>
      <w:bookmarkStart w:colFirst="0" w:colLast="0" w:name="_heading=h.dmqvmvkvykf9" w:id="16"/>
      <w:bookmarkEnd w:id="16"/>
      <w:r w:rsidDel="00000000" w:rsidR="00000000" w:rsidRPr="00000000">
        <w:rPr>
          <w:rtl w:val="0"/>
        </w:rPr>
        <w:t xml:space="preserve">4.1 Recommend Financial Restructuring Options</w:t>
      </w:r>
    </w:p>
    <w:p w:rsidR="00000000" w:rsidDel="00000000" w:rsidP="00000000" w:rsidRDefault="00000000" w:rsidRPr="00000000" w14:paraId="0000013B">
      <w:pPr>
        <w:rPr/>
      </w:pPr>
      <w:r w:rsidDel="00000000" w:rsidR="00000000" w:rsidRPr="00000000">
        <w:rPr>
          <w:rtl w:val="0"/>
        </w:rPr>
        <w:t xml:space="preserve">Due to the financial difficulties that the firm is experiencing, and other reasons related to the requirement to enhance the liquidity and financial health, the firm should look into a number of financial restructuring options (Iancu et al.,2017). A combination of such options will offer the most capital structure of the firm, minimise financial risks, and offer increased flexibility of operations (PwC, 2024). According to the analysis of the financial statements and the current financial situation of the company, the following alternatives of restructuring may be offered:</w:t>
      </w:r>
    </w:p>
    <w:p w:rsidR="00000000" w:rsidDel="00000000" w:rsidP="00000000" w:rsidRDefault="00000000" w:rsidRPr="00000000" w14:paraId="0000013C">
      <w:pPr>
        <w:rPr/>
      </w:pPr>
      <w:r w:rsidDel="00000000" w:rsidR="00000000" w:rsidRPr="00000000">
        <w:rPr>
          <w:rtl w:val="0"/>
        </w:rPr>
      </w:r>
    </w:p>
    <w:p w:rsidR="00000000" w:rsidDel="00000000" w:rsidP="00000000" w:rsidRDefault="00000000" w:rsidRPr="00000000" w14:paraId="0000013D">
      <w:pPr>
        <w:pStyle w:val="Heading3"/>
        <w:rPr/>
      </w:pPr>
      <w:bookmarkStart w:colFirst="0" w:colLast="0" w:name="_heading=h.7mq6i2kwflew" w:id="17"/>
      <w:bookmarkEnd w:id="17"/>
      <w:r w:rsidDel="00000000" w:rsidR="00000000" w:rsidRPr="00000000">
        <w:rPr>
          <w:rtl w:val="0"/>
        </w:rPr>
        <w:t xml:space="preserve">4.1.1 Divestiture</w:t>
      </w:r>
    </w:p>
    <w:p w:rsidR="00000000" w:rsidDel="00000000" w:rsidP="00000000" w:rsidRDefault="00000000" w:rsidRPr="00000000" w14:paraId="0000013E">
      <w:pPr>
        <w:rPr/>
      </w:pPr>
      <w:r w:rsidDel="00000000" w:rsidR="00000000" w:rsidRPr="00000000">
        <w:rPr>
          <w:rtl w:val="0"/>
        </w:rPr>
        <w:t xml:space="preserve">Divestiture is the process of selling the neglected or sluggish assets to reserve funds, take the maximum of liquidity and concentrate on spheres with greater profits. It possesses enormous resources in the inventory and receivables, which, according by the analyses, it is not optimising (Pendar et al., 2019). The company is not the sole actor who can be disposed to sell the non-performing business asset or other peripheral asset like non-performing inventory or property, which would help the company maximise the cash flow and the cost of holding on to the inventory would be reduced (Ferrell et al., 2019). Divestment strategy would assist the company to streamline its operations, concentrate its attention on the most viable business segments and debts with proceeds, which would cover the liabilities. </w:t>
      </w:r>
    </w:p>
    <w:p w:rsidR="00000000" w:rsidDel="00000000" w:rsidP="00000000" w:rsidRDefault="00000000" w:rsidRPr="00000000" w14:paraId="0000013F">
      <w:pPr>
        <w:rPr/>
      </w:pPr>
      <w:r w:rsidDel="00000000" w:rsidR="00000000" w:rsidRPr="00000000">
        <w:rPr>
          <w:rtl w:val="0"/>
        </w:rPr>
      </w:r>
    </w:p>
    <w:p w:rsidR="00000000" w:rsidDel="00000000" w:rsidP="00000000" w:rsidRDefault="00000000" w:rsidRPr="00000000" w14:paraId="00000140">
      <w:pPr>
        <w:pStyle w:val="Heading3"/>
        <w:rPr/>
      </w:pPr>
      <w:bookmarkStart w:colFirst="0" w:colLast="0" w:name="_heading=h.84r7ssymigmj" w:id="18"/>
      <w:bookmarkEnd w:id="18"/>
      <w:r w:rsidDel="00000000" w:rsidR="00000000" w:rsidRPr="00000000">
        <w:rPr>
          <w:rtl w:val="0"/>
        </w:rPr>
        <w:t xml:space="preserve">4.1.2 Merger or Acquisition</w:t>
      </w:r>
    </w:p>
    <w:p w:rsidR="00000000" w:rsidDel="00000000" w:rsidP="00000000" w:rsidRDefault="00000000" w:rsidRPr="00000000" w14:paraId="00000141">
      <w:pPr>
        <w:rPr/>
      </w:pPr>
      <w:r w:rsidDel="00000000" w:rsidR="00000000" w:rsidRPr="00000000">
        <w:rPr>
          <w:rtl w:val="0"/>
        </w:rPr>
        <w:t xml:space="preserve">Another possible project, which would help to sustain the operations on a larger scale and provide economic efficiency and financial security, is a merger or an acquisition (Shapiro and Hanouna, 2019). Another is that it could enable the company to enjoy economies of scale, the economisation of the cost structure and the market differentiation in the case of a merger with an equally large company and also in acquiring the small competitor (Iancu et al. ,2017). In addition to this, resource sharing may lead to access to other sources of capital market, and this will lead to improvement of liquidity and hence a low cost of capital. Another situation where it can be applied is in the case of a merger or acquisition, where an addition to the market share is effective, and new sources of revenue are generated that enhance the competitive positioning of the firms. </w:t>
      </w:r>
    </w:p>
    <w:p w:rsidR="00000000" w:rsidDel="00000000" w:rsidP="00000000" w:rsidRDefault="00000000" w:rsidRPr="00000000" w14:paraId="00000142">
      <w:pPr>
        <w:rPr/>
      </w:pPr>
      <w:r w:rsidDel="00000000" w:rsidR="00000000" w:rsidRPr="00000000">
        <w:rPr>
          <w:rtl w:val="0"/>
        </w:rPr>
      </w:r>
    </w:p>
    <w:p w:rsidR="00000000" w:rsidDel="00000000" w:rsidP="00000000" w:rsidRDefault="00000000" w:rsidRPr="00000000" w14:paraId="00000143">
      <w:pPr>
        <w:pStyle w:val="Heading3"/>
        <w:rPr/>
      </w:pPr>
      <w:bookmarkStart w:colFirst="0" w:colLast="0" w:name="_heading=h.ghsibe9dyz93" w:id="19"/>
      <w:bookmarkEnd w:id="19"/>
      <w:r w:rsidDel="00000000" w:rsidR="00000000" w:rsidRPr="00000000">
        <w:rPr>
          <w:rtl w:val="0"/>
        </w:rPr>
        <w:t xml:space="preserve">4.1.3 Equity Injection</w:t>
      </w:r>
    </w:p>
    <w:p w:rsidR="00000000" w:rsidDel="00000000" w:rsidP="00000000" w:rsidRDefault="00000000" w:rsidRPr="00000000" w14:paraId="00000144">
      <w:pPr>
        <w:rPr/>
      </w:pPr>
      <w:r w:rsidDel="00000000" w:rsidR="00000000" w:rsidRPr="00000000">
        <w:rPr>
          <w:rtl w:val="0"/>
        </w:rPr>
        <w:t xml:space="preserve">In equity injection, the investors issue new shares to the company, and this supplies the company with capital (Kochen, 2025). This might serve as a tremendous predictor in minimising the debt portion of the company as well as enhancing its liquidity. Would enable the company to stand in a better position on its balance sheet, and lower the debt repayment ratio by bringing in new investors or current shareholder capital in the company. The finances might as well be the ones that an equity injection would have on the business, as far as expansion, research and development, and capital expenditure are concerned (Shapiro and Hanouna, 2019). This possibility, however, can reduce the shareholders' equity and control impacts on the company that will not always be superior to those that the current owners have. The company should also find the cost of the disadvantage of decreasing the amount of deb,t with likely loss of ownership and control.</w:t>
      </w:r>
    </w:p>
    <w:p w:rsidR="00000000" w:rsidDel="00000000" w:rsidP="00000000" w:rsidRDefault="00000000" w:rsidRPr="00000000" w14:paraId="00000145">
      <w:pPr>
        <w:rPr/>
      </w:pPr>
      <w:r w:rsidDel="00000000" w:rsidR="00000000" w:rsidRPr="00000000">
        <w:rPr>
          <w:rtl w:val="0"/>
        </w:rPr>
      </w:r>
    </w:p>
    <w:p w:rsidR="00000000" w:rsidDel="00000000" w:rsidP="00000000" w:rsidRDefault="00000000" w:rsidRPr="00000000" w14:paraId="00000146">
      <w:pPr>
        <w:pStyle w:val="Heading2"/>
        <w:rPr/>
      </w:pPr>
      <w:bookmarkStart w:colFirst="0" w:colLast="0" w:name="_heading=h.sw8k78hzf3ud" w:id="20"/>
      <w:bookmarkEnd w:id="20"/>
      <w:r w:rsidDel="00000000" w:rsidR="00000000" w:rsidRPr="00000000">
        <w:rPr>
          <w:rtl w:val="0"/>
        </w:rPr>
        <w:t xml:space="preserve">4.2 Evaluate Impact on Shareholder Value, Debt Structure, and Operational Flexibility</w:t>
      </w:r>
    </w:p>
    <w:p w:rsidR="00000000" w:rsidDel="00000000" w:rsidP="00000000" w:rsidRDefault="00000000" w:rsidRPr="00000000" w14:paraId="0000014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Arial" w:cs="Arial" w:eastAsia="Arial" w:hAnsi="Arial"/>
          <w:b w:val="1"/>
          <w:bCs w:val="1"/>
          <w:i w:val="1"/>
          <w:iCs w:val="1"/>
          <w:smallCaps w:val="0"/>
          <w:strike w:val="0"/>
          <w:color w:val="1f497d"/>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1f497d"/>
          <w:sz w:val="24"/>
          <w:szCs w:val="24"/>
          <w:u w:val="none"/>
          <w:shd w:fill="auto" w:val="clear"/>
          <w:vertAlign w:val="baseline"/>
          <w:rtl w:val="0"/>
        </w:rPr>
        <w:t xml:space="preserve">Table 9 Evaluate Impact on Shareholder Value, Debt Structure, and Operational Flexibility</w:t>
      </w:r>
    </w:p>
    <w:tbl>
      <w:tblPr>
        <w:tblStyle w:val="Table9"/>
        <w:tblW w:w="952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575"/>
        <w:gridCol w:w="7950"/>
        <w:tblGridChange w:id="0">
          <w:tblGrid>
            <w:gridCol w:w="1575"/>
            <w:gridCol w:w="7950"/>
          </w:tblGrid>
        </w:tblGridChange>
      </w:tblGrid>
      <w:tr>
        <w:trPr>
          <w:cantSplit w:val="0"/>
          <w:trHeight w:val="435" w:hRule="atLeast"/>
          <w:tblHeader w:val="0"/>
        </w:trPr>
        <w:tc>
          <w:tcPr>
            <w:tcBorders>
              <w:top w:color="000000" w:space="0" w:sz="0" w:val="nil"/>
              <w:left w:color="000000" w:space="0" w:sz="0" w:val="nil"/>
              <w:bottom w:color="8eaadb" w:space="0" w:sz="6"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148">
            <w:pPr>
              <w:spacing w:after="160" w:before="240" w:lineRule="auto"/>
              <w:rPr>
                <w:b w:val="1"/>
                <w:bCs w:val="1"/>
                <w:i w:val="1"/>
                <w:iCs w:val="1"/>
              </w:rPr>
            </w:pPr>
            <w:r w:rsidDel="00000000" w:rsidR="00000000" w:rsidRPr="00000000">
              <w:rPr>
                <w:b w:val="1"/>
                <w:bCs w:val="1"/>
                <w:i w:val="1"/>
                <w:iCs w:val="1"/>
                <w:rtl w:val="0"/>
              </w:rPr>
              <w:t xml:space="preserve">Impact Area</w:t>
            </w:r>
          </w:p>
        </w:tc>
        <w:tc>
          <w:tcPr>
            <w:tcBorders>
              <w:top w:color="000000" w:space="0" w:sz="0" w:val="nil"/>
              <w:left w:color="000000" w:space="0" w:sz="0" w:val="nil"/>
              <w:bottom w:color="8eaadb" w:space="0" w:sz="6"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149">
            <w:pPr>
              <w:spacing w:after="160" w:before="240" w:lineRule="auto"/>
              <w:rPr>
                <w:b w:val="1"/>
                <w:bCs w:val="1"/>
              </w:rPr>
            </w:pPr>
            <w:r w:rsidDel="00000000" w:rsidR="00000000" w:rsidRPr="00000000">
              <w:rPr>
                <w:b w:val="1"/>
                <w:bCs w:val="1"/>
                <w:rtl w:val="0"/>
              </w:rPr>
              <w:t xml:space="preserve">Effect of Financial Restructuring</w:t>
            </w:r>
          </w:p>
        </w:tc>
      </w:tr>
      <w:tr>
        <w:trPr>
          <w:cantSplit w:val="0"/>
          <w:trHeight w:val="180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14A">
            <w:pPr>
              <w:spacing w:after="160" w:before="240" w:lineRule="auto"/>
              <w:rPr>
                <w:b w:val="1"/>
                <w:bCs w:val="1"/>
                <w:i w:val="1"/>
                <w:iCs w:val="1"/>
              </w:rPr>
            </w:pPr>
            <w:r w:rsidDel="00000000" w:rsidR="00000000" w:rsidRPr="00000000">
              <w:rPr>
                <w:b w:val="1"/>
                <w:bCs w:val="1"/>
                <w:i w:val="1"/>
                <w:iCs w:val="1"/>
                <w:rtl w:val="0"/>
              </w:rPr>
              <w:t xml:space="preserve">Shareholder Value</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14B">
            <w:pPr>
              <w:spacing w:after="160" w:before="240" w:lineRule="auto"/>
              <w:rPr/>
            </w:pPr>
            <w:r w:rsidDel="00000000" w:rsidR="00000000" w:rsidRPr="00000000">
              <w:rPr>
                <w:rtl w:val="0"/>
              </w:rPr>
              <w:t xml:space="preserve">Reorganisation of the financial structure, which may be through either equity injection or through a merger could serve a good purpose to dilute the shareholders which may be present in the company but which can result to a greater long term value of the company (Shapiro and Hanouna, 2019). </w:t>
            </w:r>
          </w:p>
        </w:tc>
      </w:tr>
      <w:tr>
        <w:trPr>
          <w:cantSplit w:val="0"/>
          <w:trHeight w:val="207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14C">
            <w:pPr>
              <w:spacing w:after="160" w:before="240" w:lineRule="auto"/>
              <w:rPr>
                <w:b w:val="1"/>
                <w:bCs w:val="1"/>
                <w:i w:val="1"/>
                <w:iCs w:val="1"/>
              </w:rPr>
            </w:pPr>
            <w:r w:rsidDel="00000000" w:rsidR="00000000" w:rsidRPr="00000000">
              <w:rPr>
                <w:b w:val="1"/>
                <w:bCs w:val="1"/>
                <w:i w:val="1"/>
                <w:iCs w:val="1"/>
                <w:rtl w:val="0"/>
              </w:rPr>
              <w:t xml:space="preserve">Debt Structure</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14D">
            <w:pPr>
              <w:spacing w:after="160" w:before="240" w:lineRule="auto"/>
              <w:rPr/>
            </w:pPr>
            <w:r w:rsidDel="00000000" w:rsidR="00000000" w:rsidRPr="00000000">
              <w:rPr>
                <w:rtl w:val="0"/>
              </w:rPr>
              <w:t xml:space="preserve">In case of debt restructuring strategy, the interest rates would be lower, a longer payment term would be provided or even a debt-awareness swap hence will improve the debt structure (Dehghanfard and Moslemi, 2020). This would decrease the debt ratio of the business and boost its credit score that would reduce the risks of default and boost the easy access to future funds. In the case of a merger, the collaborative company (Legesse and Guo, 2020).</w:t>
            </w:r>
          </w:p>
        </w:tc>
      </w:tr>
      <w:tr>
        <w:trPr>
          <w:cantSplit w:val="0"/>
          <w:trHeight w:val="2340"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14E">
            <w:pPr>
              <w:spacing w:after="160" w:before="240" w:lineRule="auto"/>
              <w:rPr>
                <w:b w:val="1"/>
                <w:bCs w:val="1"/>
                <w:i w:val="1"/>
                <w:iCs w:val="1"/>
              </w:rPr>
            </w:pPr>
            <w:r w:rsidDel="00000000" w:rsidR="00000000" w:rsidRPr="00000000">
              <w:rPr>
                <w:b w:val="1"/>
                <w:bCs w:val="1"/>
                <w:i w:val="1"/>
                <w:iCs w:val="1"/>
                <w:rtl w:val="0"/>
              </w:rPr>
              <w:t xml:space="preserve">Operational Flexibility</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14F">
            <w:pPr>
              <w:spacing w:after="160" w:before="240" w:lineRule="auto"/>
              <w:rPr/>
            </w:pPr>
            <w:r w:rsidDel="00000000" w:rsidR="00000000" w:rsidRPr="00000000">
              <w:rPr>
                <w:rtl w:val="0"/>
              </w:rPr>
              <w:t xml:space="preserve">To some extent, injunctions or mergers can enable the firms to be flexible in their operations by injecting the firm with capital to expand, conduct research and development or make some changes to its operations (Shapiro and Hanouna, 2019). The process of divestiture will help the business focus on the core business that will lead to improved effectiveness and responsiveness to marketing forces. Having a restructuring of the debt would benefit in shedding burden of cash flows leaving the firm more room to operate (Kochen, 2025).</w:t>
            </w:r>
          </w:p>
        </w:tc>
      </w:tr>
    </w:tbl>
    <w:p w:rsidR="00000000" w:rsidDel="00000000" w:rsidP="00000000" w:rsidRDefault="00000000" w:rsidRPr="00000000" w14:paraId="00000150">
      <w:pPr>
        <w:rPr/>
      </w:pPr>
      <w:r w:rsidDel="00000000" w:rsidR="00000000" w:rsidRPr="00000000">
        <w:rPr>
          <w:rtl w:val="0"/>
        </w:rPr>
      </w:r>
    </w:p>
    <w:p w:rsidR="00000000" w:rsidDel="00000000" w:rsidP="00000000" w:rsidRDefault="00000000" w:rsidRPr="00000000" w14:paraId="00000151">
      <w:pPr>
        <w:pStyle w:val="Heading2"/>
        <w:rPr/>
      </w:pPr>
      <w:bookmarkStart w:colFirst="0" w:colLast="0" w:name="_heading=h.crufrbug7udz" w:id="21"/>
      <w:bookmarkEnd w:id="21"/>
      <w:r w:rsidDel="00000000" w:rsidR="00000000" w:rsidRPr="00000000">
        <w:rPr>
          <w:rtl w:val="0"/>
        </w:rPr>
        <w:t xml:space="preserve">4.2 Ethics and International Considerations</w:t>
      </w:r>
    </w:p>
    <w:p w:rsidR="00000000" w:rsidDel="00000000" w:rsidP="00000000" w:rsidRDefault="00000000" w:rsidRPr="00000000" w14:paraId="00000152">
      <w:pPr>
        <w:pStyle w:val="Heading3"/>
        <w:rPr/>
      </w:pPr>
      <w:bookmarkStart w:colFirst="0" w:colLast="0" w:name="_heading=h.lwmhvk52x0yy" w:id="22"/>
      <w:bookmarkEnd w:id="22"/>
      <w:r w:rsidDel="00000000" w:rsidR="00000000" w:rsidRPr="00000000">
        <w:rPr>
          <w:rtl w:val="0"/>
        </w:rPr>
        <w:t xml:space="preserve">4.2.1 International Considerations</w:t>
      </w:r>
    </w:p>
    <w:p w:rsidR="00000000" w:rsidDel="00000000" w:rsidP="00000000" w:rsidRDefault="00000000" w:rsidRPr="00000000" w14:paraId="00000153">
      <w:pPr>
        <w:rPr>
          <w:b w:val="1"/>
          <w:bCs w:val="1"/>
        </w:rPr>
      </w:pPr>
      <w:r w:rsidDel="00000000" w:rsidR="00000000" w:rsidRPr="00000000">
        <w:rPr>
          <w:b w:val="1"/>
          <w:bCs w:val="1"/>
          <w:rtl w:val="0"/>
        </w:rPr>
        <w:t xml:space="preserve">Taxation</w:t>
      </w:r>
    </w:p>
    <w:p w:rsidR="00000000" w:rsidDel="00000000" w:rsidP="00000000" w:rsidRDefault="00000000" w:rsidRPr="00000000" w14:paraId="00000154">
      <w:pPr>
        <w:rPr/>
      </w:pPr>
      <w:r w:rsidDel="00000000" w:rsidR="00000000" w:rsidRPr="00000000">
        <w:rPr>
          <w:rtl w:val="0"/>
        </w:rPr>
        <w:t xml:space="preserve">Re-organisation of its finances, especially mergers/acquisitions, can entail cross-national transactions and tax involved can be colossal. The various jurisdictions and tax treaties as well as tax incentives, have varied rates of corporate tax and thus this could affect the cost and benefits of such strategies (Cezarino et al., 2022). In case the company is not a multinational company, great planning needs to be undertaken by the company to avoid the effects of double taxation or high rate of tax repatriation globally. Tax restructuring is also capable of introducing the possibility of tax deferral that ought to be taken into account in order to fully capitalise the tax of the business.</w:t>
      </w:r>
    </w:p>
    <w:p w:rsidR="00000000" w:rsidDel="00000000" w:rsidP="00000000" w:rsidRDefault="00000000" w:rsidRPr="00000000" w14:paraId="00000155">
      <w:pPr>
        <w:rPr/>
      </w:pPr>
      <w:r w:rsidDel="00000000" w:rsidR="00000000" w:rsidRPr="00000000">
        <w:rPr>
          <w:rtl w:val="0"/>
        </w:rPr>
      </w:r>
    </w:p>
    <w:p w:rsidR="00000000" w:rsidDel="00000000" w:rsidP="00000000" w:rsidRDefault="00000000" w:rsidRPr="00000000" w14:paraId="00000156">
      <w:pPr>
        <w:rPr>
          <w:b w:val="1"/>
          <w:bCs w:val="1"/>
        </w:rPr>
      </w:pPr>
      <w:r w:rsidDel="00000000" w:rsidR="00000000" w:rsidRPr="00000000">
        <w:rPr>
          <w:b w:val="1"/>
          <w:bCs w:val="1"/>
          <w:rtl w:val="0"/>
        </w:rPr>
        <w:t xml:space="preserve">Currency Risk</w:t>
      </w:r>
    </w:p>
    <w:p w:rsidR="00000000" w:rsidDel="00000000" w:rsidP="00000000" w:rsidRDefault="00000000" w:rsidRPr="00000000" w14:paraId="00000157">
      <w:pPr>
        <w:rPr/>
      </w:pPr>
      <w:r w:rsidDel="00000000" w:rsidR="00000000" w:rsidRPr="00000000">
        <w:rPr>
          <w:rtl w:val="0"/>
        </w:rPr>
        <w:t xml:space="preserve">Currency fluctuations another vital risk to the company which as a firm it is in the process of restructuring through mergers and acquisitions is especially when the firm is a transaction involving a foreign exchange or when it has many currencies that it buys and sells (Dehghanfard and Moslemi, 2020). There is also the need to hedge currency risks, which will otherwise cast doubt on the values of assets or liabilities whenever it has been imperative to engage in an international merger, acquisition or a financing option.</w:t>
      </w:r>
    </w:p>
    <w:p w:rsidR="00000000" w:rsidDel="00000000" w:rsidP="00000000" w:rsidRDefault="00000000" w:rsidRPr="00000000" w14:paraId="00000158">
      <w:pPr>
        <w:rPr/>
      </w:pPr>
      <w:r w:rsidDel="00000000" w:rsidR="00000000" w:rsidRPr="00000000">
        <w:rPr>
          <w:rtl w:val="0"/>
        </w:rPr>
      </w:r>
    </w:p>
    <w:p w:rsidR="00000000" w:rsidDel="00000000" w:rsidP="00000000" w:rsidRDefault="00000000" w:rsidRPr="00000000" w14:paraId="00000159">
      <w:pPr>
        <w:rPr>
          <w:b w:val="1"/>
          <w:bCs w:val="1"/>
        </w:rPr>
      </w:pPr>
      <w:r w:rsidDel="00000000" w:rsidR="00000000" w:rsidRPr="00000000">
        <w:rPr>
          <w:b w:val="1"/>
          <w:bCs w:val="1"/>
          <w:rtl w:val="0"/>
        </w:rPr>
        <w:t xml:space="preserve">Inflation</w:t>
      </w:r>
    </w:p>
    <w:p w:rsidR="00000000" w:rsidDel="00000000" w:rsidP="00000000" w:rsidRDefault="00000000" w:rsidRPr="00000000" w14:paraId="0000015A">
      <w:pPr>
        <w:rPr/>
      </w:pPr>
      <w:r w:rsidDel="00000000" w:rsidR="00000000" w:rsidRPr="00000000">
        <w:rPr>
          <w:rtl w:val="0"/>
        </w:rPr>
        <w:t xml:space="preserve">The purchasing power is likely to be crippled by inflation and this would impact the price of goods and services and running of the company (Sani et al., 2024). When looked at with reference to debt restructuring, one needs to take into consideration the effects of inflation on the factuality of cash flow of debt, besides taking into account the value in the future. The firm must operate using financial planning that consider the inflation expectation to ensure that the firm is not caught in the wrong side by underestimating the interest that is due on the repayment of the debts and the cost of running the firm.</w:t>
      </w:r>
    </w:p>
    <w:p w:rsidR="00000000" w:rsidDel="00000000" w:rsidP="00000000" w:rsidRDefault="00000000" w:rsidRPr="00000000" w14:paraId="0000015B">
      <w:pPr>
        <w:rPr/>
      </w:pPr>
      <w:r w:rsidDel="00000000" w:rsidR="00000000" w:rsidRPr="00000000">
        <w:rPr>
          <w:rtl w:val="0"/>
        </w:rPr>
      </w:r>
    </w:p>
    <w:p w:rsidR="00000000" w:rsidDel="00000000" w:rsidP="00000000" w:rsidRDefault="00000000" w:rsidRPr="00000000" w14:paraId="0000015C">
      <w:pPr>
        <w:pStyle w:val="Heading3"/>
        <w:rPr/>
      </w:pPr>
      <w:bookmarkStart w:colFirst="0" w:colLast="0" w:name="_heading=h.cxod6wf8ae4x" w:id="23"/>
      <w:bookmarkEnd w:id="23"/>
      <w:r w:rsidDel="00000000" w:rsidR="00000000" w:rsidRPr="00000000">
        <w:rPr>
          <w:rtl w:val="0"/>
        </w:rPr>
        <w:t xml:space="preserve">4.2.2 Ethical Considerations</w:t>
      </w:r>
    </w:p>
    <w:p w:rsidR="00000000" w:rsidDel="00000000" w:rsidP="00000000" w:rsidRDefault="00000000" w:rsidRPr="00000000" w14:paraId="0000015D">
      <w:pPr>
        <w:rPr/>
      </w:pPr>
      <w:r w:rsidDel="00000000" w:rsidR="00000000" w:rsidRPr="00000000">
        <w:rPr>
          <w:rtl w:val="0"/>
        </w:rPr>
        <w:t xml:space="preserve">The restructuring decision on finances will come at the cost of corporate social responsibility (CSR) and the ethics of the company (Cezarino et al., 2022). Employees, the local community and the environment should not suffer because of divestitures, mergers, and equity injection. Using the case of the ethics of layoffs that occur due to divestitures, the retraining and opportunities should appropriately compensate the layoffs (Drobetz et al., 2019). The CSR programs, also, cannot be scrapped or modified within the restructuring process because they ought to be in line with the stakeholder perception. </w:t>
      </w:r>
    </w:p>
    <w:p w:rsidR="00000000" w:rsidDel="00000000" w:rsidP="00000000" w:rsidRDefault="00000000" w:rsidRPr="00000000" w14:paraId="0000015E">
      <w:pPr>
        <w:rPr/>
      </w:pPr>
      <w:r w:rsidDel="00000000" w:rsidR="00000000" w:rsidRPr="00000000">
        <w:rPr>
          <w:rtl w:val="0"/>
        </w:rPr>
      </w:r>
    </w:p>
    <w:p w:rsidR="00000000" w:rsidDel="00000000" w:rsidP="00000000" w:rsidRDefault="00000000" w:rsidRPr="00000000" w14:paraId="0000015F">
      <w:pPr>
        <w:rPr/>
      </w:pPr>
      <w:r w:rsidDel="00000000" w:rsidR="00000000" w:rsidRPr="00000000">
        <w:rPr>
          <w:rtl w:val="0"/>
        </w:rPr>
        <w:t xml:space="preserve">The maximisation of the shareholders' value should not be reduced only on the financial reorganisation but it must be sustainable (Ferrell et al., 2019). The companies are advised to reorganise in consideration to both the environmental and the social situation of the company reorganisation in the long run. This is via green financing or greenness in case of a merger, divestitures or green investment. In this way, the business would be able to build its image in addition to keeping up with the growing popularity of sustainability in the international market.</w:t>
      </w:r>
    </w:p>
    <w:p w:rsidR="00000000" w:rsidDel="00000000" w:rsidP="00000000" w:rsidRDefault="00000000" w:rsidRPr="00000000" w14:paraId="00000160">
      <w:pPr>
        <w:rPr/>
      </w:pPr>
      <w:r w:rsidDel="00000000" w:rsidR="00000000" w:rsidRPr="00000000">
        <w:br w:type="page"/>
      </w:r>
      <w:r w:rsidDel="00000000" w:rsidR="00000000" w:rsidRPr="00000000">
        <w:rPr>
          <w:rtl w:val="0"/>
        </w:rPr>
      </w:r>
    </w:p>
    <w:p w:rsidR="00000000" w:rsidDel="00000000" w:rsidP="00000000" w:rsidRDefault="00000000" w:rsidRPr="00000000" w14:paraId="00000161">
      <w:pPr>
        <w:pStyle w:val="Heading1"/>
        <w:rPr/>
      </w:pPr>
      <w:bookmarkStart w:colFirst="0" w:colLast="0" w:name="_heading=h.s08bb8z6tnuq" w:id="24"/>
      <w:bookmarkEnd w:id="24"/>
      <w:r w:rsidDel="00000000" w:rsidR="00000000" w:rsidRPr="00000000">
        <w:rPr>
          <w:rtl w:val="0"/>
        </w:rPr>
        <w:t xml:space="preserve">5.0 Investment Appraisal and Capital Budgeting</w:t>
      </w:r>
    </w:p>
    <w:p w:rsidR="00000000" w:rsidDel="00000000" w:rsidP="00000000" w:rsidRDefault="00000000" w:rsidRPr="00000000" w14:paraId="00000162">
      <w:pPr>
        <w:pStyle w:val="Heading2"/>
        <w:rPr/>
      </w:pPr>
      <w:bookmarkStart w:colFirst="0" w:colLast="0" w:name="_heading=h.z6c8mu8zhw8k" w:id="25"/>
      <w:bookmarkEnd w:id="25"/>
      <w:r w:rsidDel="00000000" w:rsidR="00000000" w:rsidRPr="00000000">
        <w:rPr>
          <w:rtl w:val="0"/>
        </w:rPr>
        <w:t xml:space="preserve">5.1 Comments on Project Evaluation</w:t>
      </w:r>
    </w:p>
    <w:p w:rsidR="00000000" w:rsidDel="00000000" w:rsidP="00000000" w:rsidRDefault="00000000" w:rsidRPr="00000000" w14:paraId="00000163">
      <w:pPr>
        <w:rPr>
          <w:b w:val="1"/>
          <w:bCs w:val="1"/>
        </w:rPr>
      </w:pPr>
      <w:r w:rsidDel="00000000" w:rsidR="00000000" w:rsidRPr="00000000">
        <w:rPr>
          <w:b w:val="1"/>
          <w:bCs w:val="1"/>
          <w:rtl w:val="0"/>
        </w:rPr>
        <w:t xml:space="preserve">Project A</w:t>
      </w:r>
    </w:p>
    <w:p w:rsidR="00000000" w:rsidDel="00000000" w:rsidP="00000000" w:rsidRDefault="00000000" w:rsidRPr="00000000" w14:paraId="00000164">
      <w:pPr>
        <w:rPr/>
      </w:pPr>
      <w:r w:rsidDel="00000000" w:rsidR="00000000" w:rsidRPr="00000000">
        <w:rPr>
          <w:rtl w:val="0"/>
        </w:rPr>
        <w:t xml:space="preserve">Payback Period (PBP) of Project A is quite an average with an initial investment project of £40m and the cash inflows of £10m, £12m, £14m, £10m, and £8m over the period of 5 years. The payback period of the projects is about 3.5 or so years, which means that it will not consume a similar long period as half the project to recover the initial investment. This is seen as a good liquidity period, although this company has increased cash flow risk in long term (Hayes, 2022). The Accounting rate of return of Project A is 7% which is no bad since it was initially invested, and rather good too. The ARR of 7% is an indication that the project will retain average returns on the investment. Project A has an NPV of £1.32 million which is a good figure, and that would mean that the project will be a value addition to the company. This implies that Project A would be feasible since it would generate a profit margin of cost of capital. It is comparatively low at the NPV as compared to other projects.</w:t>
      </w:r>
    </w:p>
    <w:p w:rsidR="00000000" w:rsidDel="00000000" w:rsidP="00000000" w:rsidRDefault="00000000" w:rsidRPr="00000000" w14:paraId="00000165">
      <w:pPr>
        <w:rPr/>
      </w:pPr>
      <w:r w:rsidDel="00000000" w:rsidR="00000000" w:rsidRPr="00000000">
        <w:rPr>
          <w:rtl w:val="0"/>
        </w:rPr>
      </w:r>
    </w:p>
    <w:p w:rsidR="00000000" w:rsidDel="00000000" w:rsidP="00000000" w:rsidRDefault="00000000" w:rsidRPr="00000000" w14:paraId="0000016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Arial" w:cs="Arial" w:eastAsia="Arial" w:hAnsi="Arial"/>
          <w:b w:val="1"/>
          <w:bCs w:val="1"/>
          <w:i w:val="1"/>
          <w:iCs w:val="1"/>
          <w:smallCaps w:val="0"/>
          <w:strike w:val="0"/>
          <w:color w:val="1f497d"/>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1f497d"/>
          <w:sz w:val="24"/>
          <w:szCs w:val="24"/>
          <w:u w:val="none"/>
          <w:shd w:fill="auto" w:val="clear"/>
          <w:vertAlign w:val="baseline"/>
          <w:rtl w:val="0"/>
        </w:rPr>
        <w:t xml:space="preserve">Table 10 Comments on Project Evaluation.</w:t>
      </w:r>
    </w:p>
    <w:tbl>
      <w:tblPr>
        <w:tblStyle w:val="Table10"/>
        <w:tblW w:w="921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095"/>
        <w:gridCol w:w="2280"/>
        <w:gridCol w:w="3465"/>
        <w:gridCol w:w="1170"/>
        <w:gridCol w:w="1200"/>
        <w:tblGridChange w:id="0">
          <w:tblGrid>
            <w:gridCol w:w="1095"/>
            <w:gridCol w:w="2280"/>
            <w:gridCol w:w="3465"/>
            <w:gridCol w:w="1170"/>
            <w:gridCol w:w="1200"/>
          </w:tblGrid>
        </w:tblGridChange>
      </w:tblGrid>
      <w:tr>
        <w:trPr>
          <w:cantSplit w:val="0"/>
          <w:trHeight w:val="705" w:hRule="atLeast"/>
          <w:tblHeader w:val="0"/>
        </w:trPr>
        <w:tc>
          <w:tcPr>
            <w:tcBorders>
              <w:top w:color="000000" w:space="0" w:sz="0" w:val="nil"/>
              <w:left w:color="000000" w:space="0" w:sz="0" w:val="nil"/>
              <w:bottom w:color="8eaadb" w:space="0" w:sz="6"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167">
            <w:pPr>
              <w:spacing w:after="160" w:before="240" w:lineRule="auto"/>
              <w:rPr>
                <w:b w:val="1"/>
                <w:bCs w:val="1"/>
                <w:i w:val="1"/>
                <w:iCs w:val="1"/>
              </w:rPr>
            </w:pPr>
            <w:r w:rsidDel="00000000" w:rsidR="00000000" w:rsidRPr="00000000">
              <w:rPr>
                <w:b w:val="1"/>
                <w:bCs w:val="1"/>
                <w:i w:val="1"/>
                <w:iCs w:val="1"/>
                <w:rtl w:val="0"/>
              </w:rPr>
              <w:t xml:space="preserve">Project</w:t>
            </w:r>
          </w:p>
        </w:tc>
        <w:tc>
          <w:tcPr>
            <w:tcBorders>
              <w:top w:color="000000" w:space="0" w:sz="0" w:val="nil"/>
              <w:left w:color="000000" w:space="0" w:sz="0" w:val="nil"/>
              <w:bottom w:color="8eaadb" w:space="0" w:sz="6"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168">
            <w:pPr>
              <w:spacing w:after="160" w:before="240" w:lineRule="auto"/>
              <w:rPr>
                <w:b w:val="1"/>
                <w:bCs w:val="1"/>
              </w:rPr>
            </w:pPr>
            <w:r w:rsidDel="00000000" w:rsidR="00000000" w:rsidRPr="00000000">
              <w:rPr>
                <w:b w:val="1"/>
                <w:bCs w:val="1"/>
                <w:rtl w:val="0"/>
              </w:rPr>
              <w:t xml:space="preserve">Initial Investment (£m)</w:t>
            </w:r>
          </w:p>
        </w:tc>
        <w:tc>
          <w:tcPr>
            <w:tcBorders>
              <w:top w:color="000000" w:space="0" w:sz="0" w:val="nil"/>
              <w:left w:color="000000" w:space="0" w:sz="0" w:val="nil"/>
              <w:bottom w:color="8eaadb" w:space="0" w:sz="6"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169">
            <w:pPr>
              <w:spacing w:after="160" w:before="240" w:lineRule="auto"/>
              <w:rPr>
                <w:b w:val="1"/>
                <w:bCs w:val="1"/>
              </w:rPr>
            </w:pPr>
            <w:r w:rsidDel="00000000" w:rsidR="00000000" w:rsidRPr="00000000">
              <w:rPr>
                <w:b w:val="1"/>
                <w:bCs w:val="1"/>
                <w:rtl w:val="0"/>
              </w:rPr>
              <w:t xml:space="preserve">ARR</w:t>
            </w:r>
          </w:p>
        </w:tc>
        <w:tc>
          <w:tcPr>
            <w:tcBorders>
              <w:top w:color="000000" w:space="0" w:sz="0" w:val="nil"/>
              <w:left w:color="000000" w:space="0" w:sz="0" w:val="nil"/>
              <w:bottom w:color="8eaadb" w:space="0" w:sz="6"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16A">
            <w:pPr>
              <w:spacing w:after="160" w:before="240" w:lineRule="auto"/>
              <w:rPr>
                <w:b w:val="1"/>
                <w:bCs w:val="1"/>
              </w:rPr>
            </w:pPr>
            <w:r w:rsidDel="00000000" w:rsidR="00000000" w:rsidRPr="00000000">
              <w:rPr>
                <w:b w:val="1"/>
                <w:bCs w:val="1"/>
                <w:rtl w:val="0"/>
              </w:rPr>
              <w:t xml:space="preserve">NPV (£m)</w:t>
            </w:r>
          </w:p>
        </w:tc>
        <w:tc>
          <w:tcPr>
            <w:tcBorders>
              <w:top w:color="000000" w:space="0" w:sz="0" w:val="nil"/>
              <w:left w:color="000000" w:space="0" w:sz="0" w:val="nil"/>
              <w:bottom w:color="8eaadb" w:space="0" w:sz="6"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16B">
            <w:pPr>
              <w:spacing w:after="160" w:before="240" w:lineRule="auto"/>
              <w:rPr>
                <w:b w:val="1"/>
                <w:bCs w:val="1"/>
              </w:rPr>
            </w:pPr>
            <w:r w:rsidDel="00000000" w:rsidR="00000000" w:rsidRPr="00000000">
              <w:rPr>
                <w:b w:val="1"/>
                <w:bCs w:val="1"/>
                <w:rtl w:val="0"/>
              </w:rPr>
              <w:t xml:space="preserve">PI</w:t>
            </w:r>
          </w:p>
        </w:tc>
      </w:tr>
      <w:tr>
        <w:trPr>
          <w:cantSplit w:val="0"/>
          <w:trHeight w:val="705"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16C">
            <w:pPr>
              <w:spacing w:after="160" w:before="240" w:lineRule="auto"/>
              <w:rPr>
                <w:b w:val="1"/>
                <w:bCs w:val="1"/>
                <w:i w:val="1"/>
                <w:iCs w:val="1"/>
              </w:rPr>
            </w:pPr>
            <w:r w:rsidDel="00000000" w:rsidR="00000000" w:rsidRPr="00000000">
              <w:rPr>
                <w:b w:val="1"/>
                <w:bCs w:val="1"/>
                <w:i w:val="1"/>
                <w:iCs w:val="1"/>
                <w:rtl w:val="0"/>
              </w:rPr>
              <w:t xml:space="preserve">Project A</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16D">
            <w:pPr>
              <w:spacing w:after="160" w:before="240" w:lineRule="auto"/>
              <w:rPr/>
            </w:pPr>
            <w:r w:rsidDel="00000000" w:rsidR="00000000" w:rsidRPr="00000000">
              <w:rPr>
                <w:rtl w:val="0"/>
              </w:rPr>
              <w:t xml:space="preserve">£40m</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16E">
            <w:pPr>
              <w:spacing w:after="160" w:before="240" w:lineRule="auto"/>
              <w:rPr/>
            </w:pPr>
            <w:r w:rsidDel="00000000" w:rsidR="00000000" w:rsidRPr="00000000">
              <w:rPr>
                <w:rtl w:val="0"/>
              </w:rPr>
              <w:t xml:space="preserve">7%</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16F">
            <w:pPr>
              <w:spacing w:after="160" w:before="240" w:lineRule="auto"/>
              <w:rPr/>
            </w:pPr>
            <w:r w:rsidDel="00000000" w:rsidR="00000000" w:rsidRPr="00000000">
              <w:rPr>
                <w:rtl w:val="0"/>
              </w:rPr>
              <w:t xml:space="preserve">£1.32m</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170">
            <w:pPr>
              <w:spacing w:after="160" w:before="240" w:lineRule="auto"/>
              <w:rPr/>
            </w:pPr>
            <w:r w:rsidDel="00000000" w:rsidR="00000000" w:rsidRPr="00000000">
              <w:rPr>
                <w:rtl w:val="0"/>
              </w:rPr>
              <w:t xml:space="preserve">1.033</w:t>
            </w:r>
          </w:p>
        </w:tc>
      </w:tr>
      <w:tr>
        <w:trPr>
          <w:cantSplit w:val="0"/>
          <w:trHeight w:val="705"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171">
            <w:pPr>
              <w:spacing w:after="160" w:before="240" w:lineRule="auto"/>
              <w:rPr>
                <w:b w:val="1"/>
                <w:bCs w:val="1"/>
                <w:i w:val="1"/>
                <w:iCs w:val="1"/>
              </w:rPr>
            </w:pPr>
            <w:r w:rsidDel="00000000" w:rsidR="00000000" w:rsidRPr="00000000">
              <w:rPr>
                <w:b w:val="1"/>
                <w:bCs w:val="1"/>
                <w:i w:val="1"/>
                <w:iCs w:val="1"/>
                <w:rtl w:val="0"/>
              </w:rPr>
              <w:t xml:space="preserve">Project B</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172">
            <w:pPr>
              <w:spacing w:after="160" w:before="240" w:lineRule="auto"/>
              <w:rPr/>
            </w:pPr>
            <w:r w:rsidDel="00000000" w:rsidR="00000000" w:rsidRPr="00000000">
              <w:rPr>
                <w:rtl w:val="0"/>
              </w:rPr>
              <w:t xml:space="preserve">£30m</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173">
            <w:pPr>
              <w:spacing w:after="160" w:before="240" w:lineRule="auto"/>
              <w:rPr/>
            </w:pPr>
            <w:r w:rsidDel="00000000" w:rsidR="00000000" w:rsidRPr="00000000">
              <w:rPr>
                <w:rtl w:val="0"/>
              </w:rPr>
              <w:t xml:space="preserve">0%</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174">
            <w:pPr>
              <w:spacing w:after="160" w:before="240" w:lineRule="auto"/>
              <w:rPr/>
            </w:pPr>
            <w:r w:rsidDel="00000000" w:rsidR="00000000" w:rsidRPr="00000000">
              <w:rPr>
                <w:rtl w:val="0"/>
              </w:rPr>
              <w:t xml:space="preserve">-£7.25m</w:t>
            </w:r>
          </w:p>
        </w:tc>
        <w:tc>
          <w:tcPr>
            <w:tcBorders>
              <w:top w:color="000000" w:space="0" w:sz="0" w:val="nil"/>
              <w:left w:color="000000" w:space="0" w:sz="0" w:val="nil"/>
              <w:bottom w:color="8eaadb" w:space="0" w:sz="6" w:val="single"/>
              <w:right w:color="8eaadb" w:space="0" w:sz="6" w:val="single"/>
            </w:tcBorders>
            <w:tcMar>
              <w:top w:w="0.0" w:type="dxa"/>
              <w:left w:w="100.0" w:type="dxa"/>
              <w:bottom w:w="0.0" w:type="dxa"/>
              <w:right w:w="100.0" w:type="dxa"/>
            </w:tcMar>
          </w:tcPr>
          <w:p w:rsidR="00000000" w:rsidDel="00000000" w:rsidP="00000000" w:rsidRDefault="00000000" w:rsidRPr="00000000" w14:paraId="00000175">
            <w:pPr>
              <w:spacing w:after="160" w:before="240" w:lineRule="auto"/>
              <w:rPr/>
            </w:pPr>
            <w:r w:rsidDel="00000000" w:rsidR="00000000" w:rsidRPr="00000000">
              <w:rPr>
                <w:rtl w:val="0"/>
              </w:rPr>
              <w:t xml:space="preserve">0.758</w:t>
            </w:r>
          </w:p>
        </w:tc>
      </w:tr>
      <w:tr>
        <w:trPr>
          <w:cantSplit w:val="0"/>
          <w:trHeight w:val="705" w:hRule="atLeast"/>
          <w:tblHeader w:val="0"/>
        </w:trPr>
        <w:tc>
          <w:tcPr>
            <w:tcBorders>
              <w:top w:color="000000" w:space="0" w:sz="0" w:val="nil"/>
              <w:left w:color="000000" w:space="0" w:sz="0" w:val="nil"/>
              <w:bottom w:color="000000" w:space="0" w:sz="0" w:val="nil"/>
              <w:right w:color="8eaadb" w:space="0" w:sz="6" w:val="single"/>
            </w:tcBorders>
            <w:shd w:fill="ffffff" w:val="clear"/>
            <w:tcMar>
              <w:top w:w="0.0" w:type="dxa"/>
              <w:left w:w="100.0" w:type="dxa"/>
              <w:bottom w:w="0.0" w:type="dxa"/>
              <w:right w:w="100.0" w:type="dxa"/>
            </w:tcMar>
          </w:tcPr>
          <w:p w:rsidR="00000000" w:rsidDel="00000000" w:rsidP="00000000" w:rsidRDefault="00000000" w:rsidRPr="00000000" w14:paraId="00000176">
            <w:pPr>
              <w:spacing w:after="160" w:before="240" w:lineRule="auto"/>
              <w:rPr>
                <w:b w:val="1"/>
                <w:bCs w:val="1"/>
                <w:i w:val="1"/>
                <w:iCs w:val="1"/>
              </w:rPr>
            </w:pPr>
            <w:r w:rsidDel="00000000" w:rsidR="00000000" w:rsidRPr="00000000">
              <w:rPr>
                <w:b w:val="1"/>
                <w:bCs w:val="1"/>
                <w:i w:val="1"/>
                <w:iCs w:val="1"/>
                <w:rtl w:val="0"/>
              </w:rPr>
              <w:t xml:space="preserve">Project C</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177">
            <w:pPr>
              <w:spacing w:after="160" w:before="240" w:lineRule="auto"/>
              <w:rPr/>
            </w:pPr>
            <w:r w:rsidDel="00000000" w:rsidR="00000000" w:rsidRPr="00000000">
              <w:rPr>
                <w:rtl w:val="0"/>
              </w:rPr>
              <w:t xml:space="preserve">£50m</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178">
            <w:pPr>
              <w:spacing w:after="160" w:before="240" w:lineRule="auto"/>
              <w:rPr/>
            </w:pPr>
            <w:r w:rsidDel="00000000" w:rsidR="00000000" w:rsidRPr="00000000">
              <w:rPr>
                <w:rtl w:val="0"/>
              </w:rPr>
              <w:t xml:space="preserve">10%</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179">
            <w:pPr>
              <w:spacing w:after="160" w:before="240" w:lineRule="auto"/>
              <w:rPr/>
            </w:pPr>
            <w:r w:rsidDel="00000000" w:rsidR="00000000" w:rsidRPr="00000000">
              <w:rPr>
                <w:rtl w:val="0"/>
              </w:rPr>
              <w:t xml:space="preserve">£4.23m</w:t>
            </w:r>
          </w:p>
        </w:tc>
        <w:tc>
          <w:tcPr>
            <w:tcBorders>
              <w:top w:color="000000" w:space="0" w:sz="0" w:val="nil"/>
              <w:left w:color="000000" w:space="0" w:sz="0" w:val="nil"/>
              <w:bottom w:color="8eaadb" w:space="0" w:sz="6" w:val="single"/>
              <w:right w:color="8eaadb" w:space="0" w:sz="6" w:val="single"/>
            </w:tcBorders>
            <w:shd w:fill="d9e2f3" w:val="clear"/>
            <w:tcMar>
              <w:top w:w="0.0" w:type="dxa"/>
              <w:left w:w="100.0" w:type="dxa"/>
              <w:bottom w:w="0.0" w:type="dxa"/>
              <w:right w:w="100.0" w:type="dxa"/>
            </w:tcMar>
          </w:tcPr>
          <w:p w:rsidR="00000000" w:rsidDel="00000000" w:rsidP="00000000" w:rsidRDefault="00000000" w:rsidRPr="00000000" w14:paraId="0000017A">
            <w:pPr>
              <w:spacing w:after="160" w:before="240" w:lineRule="auto"/>
              <w:rPr/>
            </w:pPr>
            <w:r w:rsidDel="00000000" w:rsidR="00000000" w:rsidRPr="00000000">
              <w:rPr>
                <w:rtl w:val="0"/>
              </w:rPr>
              <w:t xml:space="preserve">1.085</w:t>
            </w:r>
          </w:p>
        </w:tc>
      </w:tr>
    </w:tbl>
    <w:p w:rsidR="00000000" w:rsidDel="00000000" w:rsidP="00000000" w:rsidRDefault="00000000" w:rsidRPr="00000000" w14:paraId="0000017B">
      <w:pPr>
        <w:rPr/>
      </w:pPr>
      <w:r w:rsidDel="00000000" w:rsidR="00000000" w:rsidRPr="00000000">
        <w:rPr>
          <w:rtl w:val="0"/>
        </w:rPr>
      </w:r>
    </w:p>
    <w:p w:rsidR="00000000" w:rsidDel="00000000" w:rsidP="00000000" w:rsidRDefault="00000000" w:rsidRPr="00000000" w14:paraId="0000017C">
      <w:pPr>
        <w:rPr/>
      </w:pPr>
      <w:r w:rsidDel="00000000" w:rsidR="00000000" w:rsidRPr="00000000">
        <w:rPr>
          <w:rtl w:val="0"/>
        </w:rPr>
      </w:r>
    </w:p>
    <w:p w:rsidR="00000000" w:rsidDel="00000000" w:rsidP="00000000" w:rsidRDefault="00000000" w:rsidRPr="00000000" w14:paraId="0000017D">
      <w:pPr>
        <w:rPr>
          <w:b w:val="1"/>
          <w:bCs w:val="1"/>
        </w:rPr>
      </w:pPr>
      <w:r w:rsidDel="00000000" w:rsidR="00000000" w:rsidRPr="00000000">
        <w:rPr>
          <w:b w:val="1"/>
          <w:bCs w:val="1"/>
          <w:rtl w:val="0"/>
        </w:rPr>
        <w:t xml:space="preserve">Project B</w:t>
      </w:r>
    </w:p>
    <w:p w:rsidR="00000000" w:rsidDel="00000000" w:rsidP="00000000" w:rsidRDefault="00000000" w:rsidRPr="00000000" w14:paraId="0000017E">
      <w:pPr>
        <w:rPr/>
      </w:pPr>
      <w:r w:rsidDel="00000000" w:rsidR="00000000" w:rsidRPr="00000000">
        <w:rPr>
          <w:rtl w:val="0"/>
        </w:rPr>
        <w:t xml:space="preserve">The project B will experience stable cash flow (£6m/year), and the payback period (PBP) will be around 5 years or so which is a very long payback period for an investment. This means that the project would be far-fetched to deliver the initial outlay of £30 million and thus not as tasty as with regard to liquidity. It also faces a high threat of cash flow due to the long payback period (Michelon et al., 2020). The ARR is placed under a red flag in project B, 0%. When the ARR is at 0%, it shows that the project is finishing without a significant amount of returns, taking into consideration the investment. This is a serious constraint to its appeal to the investors who expect high returns, which are high when compared with those of  the company (Kengatharan, 2016). The NPV of project B equals -£7.25 million indicating a negative value. The negative NPV would only mean that the undertaking would kill the values and will not have the required pay-off rate of 10 percent. Project B can not be perceived in the context of its horrible financial performance in that respect.</w:t>
      </w:r>
    </w:p>
    <w:p w:rsidR="00000000" w:rsidDel="00000000" w:rsidP="00000000" w:rsidRDefault="00000000" w:rsidRPr="00000000" w14:paraId="0000017F">
      <w:pPr>
        <w:rPr/>
      </w:pPr>
      <w:r w:rsidDel="00000000" w:rsidR="00000000" w:rsidRPr="00000000">
        <w:rPr>
          <w:rtl w:val="0"/>
        </w:rPr>
      </w:r>
    </w:p>
    <w:p w:rsidR="00000000" w:rsidDel="00000000" w:rsidP="00000000" w:rsidRDefault="00000000" w:rsidRPr="00000000" w14:paraId="00000180">
      <w:pPr>
        <w:rPr>
          <w:b w:val="1"/>
          <w:bCs w:val="1"/>
        </w:rPr>
      </w:pPr>
      <w:r w:rsidDel="00000000" w:rsidR="00000000" w:rsidRPr="00000000">
        <w:rPr>
          <w:b w:val="1"/>
          <w:bCs w:val="1"/>
          <w:rtl w:val="0"/>
        </w:rPr>
        <w:t xml:space="preserve">Project C</w:t>
      </w:r>
    </w:p>
    <w:p w:rsidR="00000000" w:rsidDel="00000000" w:rsidP="00000000" w:rsidRDefault="00000000" w:rsidRPr="00000000" w14:paraId="00000181">
      <w:pPr>
        <w:rPr/>
      </w:pPr>
      <w:r w:rsidDel="00000000" w:rsidR="00000000" w:rsidRPr="00000000">
        <w:rPr>
          <w:rtl w:val="0"/>
        </w:rPr>
        <w:t xml:space="preserve">Project C Payback Period (PBP) of project C will be about 4.4 years and it is feasible considering the projects A and B and considering the cash inflows of the project as £5m, £10m, £20m, £25m, £15m and cash inflows of the project will be periodic covering the start-up investment of the project at fairly fast rate with steady increase in the price of cash inflows (Kenton, 2024). Project C has the highest ARR of 10% which is the highest among the three projects. Revenue of 10 divided by the ARR would imply that Project C would result in a high profit to the investor, that it is a good investment as regards to profitability. The highest NPV value of project C is £4.23 million and that of project A and B is lower than that of project C. The NPV is a positive value, implying that it implies that the project will pay a very high value to the company and compensate the cost of capital. Project C is the best project to invest in given that the NPV was high and the ARR is attractive.</w:t>
      </w:r>
    </w:p>
    <w:p w:rsidR="00000000" w:rsidDel="00000000" w:rsidP="00000000" w:rsidRDefault="00000000" w:rsidRPr="00000000" w14:paraId="00000182">
      <w:pPr>
        <w:rPr/>
      </w:pPr>
      <w:r w:rsidDel="00000000" w:rsidR="00000000" w:rsidRPr="00000000">
        <w:rPr>
          <w:rtl w:val="0"/>
        </w:rPr>
      </w:r>
    </w:p>
    <w:p w:rsidR="00000000" w:rsidDel="00000000" w:rsidP="00000000" w:rsidRDefault="00000000" w:rsidRPr="00000000" w14:paraId="00000183">
      <w:pPr>
        <w:pStyle w:val="Heading2"/>
        <w:rPr/>
      </w:pPr>
      <w:bookmarkStart w:colFirst="0" w:colLast="0" w:name="_heading=h.ghpugre1ro78" w:id="26"/>
      <w:bookmarkEnd w:id="26"/>
      <w:r w:rsidDel="00000000" w:rsidR="00000000" w:rsidRPr="00000000">
        <w:rPr>
          <w:rtl w:val="0"/>
        </w:rPr>
        <w:t xml:space="preserve">5.2 Investment Recommendation.</w:t>
      </w:r>
    </w:p>
    <w:p w:rsidR="00000000" w:rsidDel="00000000" w:rsidP="00000000" w:rsidRDefault="00000000" w:rsidRPr="00000000" w14:paraId="00000184">
      <w:pPr>
        <w:rPr/>
      </w:pPr>
      <w:r w:rsidDel="00000000" w:rsidR="00000000" w:rsidRPr="00000000">
        <w:rPr>
          <w:rtl w:val="0"/>
        </w:rPr>
        <w:t xml:space="preserve">In instances where the capital is being rationed to a limit of £60 million, project C and project A should have been given priority in terms of investment. According to the Net Present Value (NPV), project C shows a higher Net Present Value of £4.23 million and thus shows potential of creating the most value for the company. Project A would also have a lower payoff and it would be a good business with a good NPV of £1.32 million. It is impossible to discuss Project B which has a negative NPV of £7.25 million as an option because this is the project where the value is killed (Hayes, 2022). Project C should be accorded priority since the NPV is the largest (positive), and ARR (10%), is highly profitable (Kengatharan, 2016). Project A also does not seem to be so high-returning when compared to Project C, though, it also has a positive NPV and 7% ARR and that makes the former a good second option, particularly taking into consideration the remaining funds of the money that will be used up once Project C is consummated.</w:t>
      </w:r>
    </w:p>
    <w:p w:rsidR="00000000" w:rsidDel="00000000" w:rsidP="00000000" w:rsidRDefault="00000000" w:rsidRPr="00000000" w14:paraId="00000185">
      <w:pPr>
        <w:rPr/>
      </w:pPr>
      <w:r w:rsidDel="00000000" w:rsidR="00000000" w:rsidRPr="00000000">
        <w:rPr>
          <w:rtl w:val="0"/>
        </w:rPr>
      </w:r>
    </w:p>
    <w:p w:rsidR="00000000" w:rsidDel="00000000" w:rsidP="00000000" w:rsidRDefault="00000000" w:rsidRPr="00000000" w14:paraId="00000186">
      <w:pPr>
        <w:rPr/>
      </w:pPr>
      <w:r w:rsidDel="00000000" w:rsidR="00000000" w:rsidRPr="00000000">
        <w:rPr>
          <w:rtl w:val="0"/>
        </w:rPr>
      </w:r>
    </w:p>
    <w:p w:rsidR="00000000" w:rsidDel="00000000" w:rsidP="00000000" w:rsidRDefault="00000000" w:rsidRPr="00000000" w14:paraId="00000187">
      <w:pPr>
        <w:pStyle w:val="Heading2"/>
        <w:rPr/>
      </w:pPr>
      <w:bookmarkStart w:colFirst="0" w:colLast="0" w:name="_heading=h.yhn97fav2q80" w:id="27"/>
      <w:bookmarkEnd w:id="27"/>
      <w:r w:rsidDel="00000000" w:rsidR="00000000" w:rsidRPr="00000000">
        <w:rPr>
          <w:rtl w:val="0"/>
        </w:rPr>
        <w:t xml:space="preserve">5.3 Justification of Recommendation</w:t>
      </w:r>
    </w:p>
    <w:p w:rsidR="00000000" w:rsidDel="00000000" w:rsidP="00000000" w:rsidRDefault="00000000" w:rsidRPr="00000000" w14:paraId="00000188">
      <w:pPr>
        <w:rPr/>
      </w:pPr>
      <w:r w:rsidDel="00000000" w:rsidR="00000000" w:rsidRPr="00000000">
        <w:rPr>
          <w:rtl w:val="0"/>
        </w:rPr>
        <w:t xml:space="preserve">Financial performance of the company and type of risks of the project can be advanced to explain the choice to stay with Project C and Project A. One of the reasons of the decision has been profitability. Project C has the largest ARR of 10 and this is a pointer that it is highly profitable in the investment. The NPV of the £4.23 million also implies that the project will equally extend a great favor to the firm implying that it will yield returns that are way beyond the cost of capital. It will yield moderate returns and value towards the company since it has a high ARR of 7% and positive NPV of £1.32 million in comparison to A project. On the other hand, project B is characterized by an ARR of 0 and a negative NPV that would mean that the project will not lead to investments that can yield returns to the investment of the project.</w:t>
      </w:r>
    </w:p>
    <w:p w:rsidR="00000000" w:rsidDel="00000000" w:rsidP="00000000" w:rsidRDefault="00000000" w:rsidRPr="00000000" w14:paraId="00000189">
      <w:pPr>
        <w:rPr/>
      </w:pPr>
      <w:r w:rsidDel="00000000" w:rsidR="00000000" w:rsidRPr="00000000">
        <w:rPr>
          <w:rtl w:val="0"/>
        </w:rPr>
      </w:r>
    </w:p>
    <w:p w:rsidR="00000000" w:rsidDel="00000000" w:rsidP="00000000" w:rsidRDefault="00000000" w:rsidRPr="00000000" w14:paraId="0000018A">
      <w:pPr>
        <w:rPr/>
      </w:pPr>
      <w:r w:rsidDel="00000000" w:rsidR="00000000" w:rsidRPr="00000000">
        <w:rPr>
          <w:rtl w:val="0"/>
        </w:rPr>
        <w:t xml:space="preserve">Another factor is liquidity. The PBP of project A is intermediate, 3.5 years respectively the company will be able to recover their investment in a reasonably smaller time and on this basis, increase the short term cash flow (Kenton, 2024). Project C also possesses slightly higher PBP is 4.4 years however this does not imply that project C does not have high NPV since returns are much higher than those of the other two projects. The negative NPV and the long PBP of 5 years in Project B on the other hand, causes issues of liquidity hence not the best choice to make (Pendar et al., 2019). Project C is more stable than Project A in terms of Volatility of the cash flow of the projects in that, the cash flow is higher in the years 3 and 4 making the case stable financially. In spite of varying inflows of Project A, net cash flows of project are positive and moderate in tendency in the previous year. Project B has the same cash inflows but it has the low cash inflows; therefore, it cannot generate an adequate returns on the investment hence imprudent decision when considering capital rationing choice.</w:t>
      </w:r>
    </w:p>
    <w:p w:rsidR="00000000" w:rsidDel="00000000" w:rsidP="00000000" w:rsidRDefault="00000000" w:rsidRPr="00000000" w14:paraId="0000018B">
      <w:pPr>
        <w:rPr/>
      </w:pPr>
      <w:r w:rsidDel="00000000" w:rsidR="00000000" w:rsidRPr="00000000">
        <w:rPr>
          <w:rtl w:val="0"/>
        </w:rPr>
      </w:r>
    </w:p>
    <w:p w:rsidR="00000000" w:rsidDel="00000000" w:rsidP="00000000" w:rsidRDefault="00000000" w:rsidRPr="00000000" w14:paraId="0000018C">
      <w:pPr>
        <w:rPr/>
      </w:pPr>
      <w:r w:rsidDel="00000000" w:rsidR="00000000" w:rsidRPr="00000000">
        <w:rPr>
          <w:rtl w:val="0"/>
        </w:rPr>
        <w:t xml:space="preserve">Mitigation of risks is also important. Project C and the Project A would give good returns; Project C would be viewed as less risky since as the years progress, project C would give high returns too meaning it would not be sensitive to any changes that may take place in the market. Project A is a more balanced solution whereby there it has constant inflows but low return rate. The two projects could be deemed as the most appropriate trade off between profitability and risk the company is in the process of at the moment due to its liquidity issues and its low levels of profitability. NPV, ARR, and cash flow profile of Project C and Project A is the most appropriate choice that will be considered with respect to the percentage of capital rationing, thus will ensure development and profitability of the respective company involved, and proper management of financial risks.</w:t>
      </w:r>
    </w:p>
    <w:p w:rsidR="00000000" w:rsidDel="00000000" w:rsidP="00000000" w:rsidRDefault="00000000" w:rsidRPr="00000000" w14:paraId="0000018D">
      <w:pPr>
        <w:rPr/>
      </w:pPr>
      <w:r w:rsidDel="00000000" w:rsidR="00000000" w:rsidRPr="00000000">
        <w:br w:type="page"/>
      </w:r>
      <w:r w:rsidDel="00000000" w:rsidR="00000000" w:rsidRPr="00000000">
        <w:rPr>
          <w:rtl w:val="0"/>
        </w:rPr>
      </w:r>
    </w:p>
    <w:p w:rsidR="00000000" w:rsidDel="00000000" w:rsidP="00000000" w:rsidRDefault="00000000" w:rsidRPr="00000000" w14:paraId="0000018E">
      <w:pPr>
        <w:pStyle w:val="Heading1"/>
        <w:rPr/>
      </w:pPr>
      <w:bookmarkStart w:colFirst="0" w:colLast="0" w:name="_heading=h.pemft81z3c0w" w:id="28"/>
      <w:bookmarkEnd w:id="28"/>
      <w:r w:rsidDel="00000000" w:rsidR="00000000" w:rsidRPr="00000000">
        <w:rPr>
          <w:rtl w:val="0"/>
        </w:rPr>
        <w:t xml:space="preserve">6.0 Conclusion</w:t>
      </w:r>
    </w:p>
    <w:p w:rsidR="00000000" w:rsidDel="00000000" w:rsidP="00000000" w:rsidRDefault="00000000" w:rsidRPr="00000000" w14:paraId="0000018F">
      <w:pPr>
        <w:rPr/>
      </w:pPr>
      <w:r w:rsidDel="00000000" w:rsidR="00000000" w:rsidRPr="00000000">
        <w:rPr>
          <w:rtl w:val="0"/>
        </w:rPr>
        <w:t xml:space="preserve">To sum it up, the present report is an analytical project related to the financial status and the plan of General Electronics. Financial analysis indicates that although the company was in a good state of profitability, it has problems of liquidity and debt management that could limit its future development. Having better inventory maintenance, the accelerated number of accounts receivable collection to increase the cash flows and decrease the financial risk is more appropriate, as shown in the section on working capital management. The restructuring plan of finance is ingenious and proposes viable solutions, such as divestiture, mergers, and equity infusion, which would help in the betterment of the financial base of the firms to reduce the debt and enhance the flexibility of the operations. When examining the investment, the preference will be carried a step further to those projects that have high NPV and ARR in which General Electronics can make maximum use of the available capital rationing such that the general utility of the investment option can be achieved, and the risk minimised.</w:t>
      </w:r>
    </w:p>
    <w:p w:rsidR="00000000" w:rsidDel="00000000" w:rsidP="00000000" w:rsidRDefault="00000000" w:rsidRPr="00000000" w14:paraId="00000190">
      <w:pPr>
        <w:rPr/>
      </w:pPr>
      <w:r w:rsidDel="00000000" w:rsidR="00000000" w:rsidRPr="00000000">
        <w:br w:type="page"/>
      </w:r>
      <w:r w:rsidDel="00000000" w:rsidR="00000000" w:rsidRPr="00000000">
        <w:rPr>
          <w:rtl w:val="0"/>
        </w:rPr>
      </w:r>
    </w:p>
    <w:p w:rsidR="00000000" w:rsidDel="00000000" w:rsidP="00000000" w:rsidRDefault="00000000" w:rsidRPr="00000000" w14:paraId="00000191">
      <w:pPr>
        <w:pStyle w:val="Heading1"/>
        <w:rPr/>
      </w:pPr>
      <w:bookmarkStart w:colFirst="0" w:colLast="0" w:name="_heading=h.z7rmacyxzity" w:id="29"/>
      <w:bookmarkEnd w:id="29"/>
      <w:r w:rsidDel="00000000" w:rsidR="00000000" w:rsidRPr="00000000">
        <w:rPr>
          <w:rtl w:val="0"/>
        </w:rPr>
        <w:t xml:space="preserve">7.0 Reference</w:t>
      </w:r>
    </w:p>
    <w:p w:rsidR="00000000" w:rsidDel="00000000" w:rsidP="00000000" w:rsidRDefault="00000000" w:rsidRPr="00000000" w14:paraId="00000192">
      <w:pPr>
        <w:rPr/>
      </w:pPr>
      <w:r w:rsidDel="00000000" w:rsidR="00000000" w:rsidRPr="00000000">
        <w:rPr>
          <w:rtl w:val="0"/>
        </w:rPr>
        <w:t xml:space="preserve">Blessing, H. and Sakouvogui, G. (2023). Impact of Liquidity and Solvency Ratios on Financial Performance: a Comprehensive Analysis. </w:t>
      </w:r>
      <w:r w:rsidDel="00000000" w:rsidR="00000000" w:rsidRPr="00000000">
        <w:rPr>
          <w:i w:val="1"/>
          <w:iCs w:val="1"/>
          <w:rtl w:val="0"/>
        </w:rPr>
        <w:t xml:space="preserve">Indonesia Auditing Research Journal</w:t>
      </w:r>
      <w:r w:rsidDel="00000000" w:rsidR="00000000" w:rsidRPr="00000000">
        <w:rPr>
          <w:rtl w:val="0"/>
        </w:rPr>
        <w:t xml:space="preserve">, 12(3), pp.102–115.</w:t>
      </w:r>
    </w:p>
    <w:p w:rsidR="00000000" w:rsidDel="00000000" w:rsidP="00000000" w:rsidRDefault="00000000" w:rsidRPr="00000000" w14:paraId="00000193">
      <w:pPr>
        <w:rPr/>
      </w:pPr>
      <w:r w:rsidDel="00000000" w:rsidR="00000000" w:rsidRPr="00000000">
        <w:rPr>
          <w:rtl w:val="0"/>
        </w:rPr>
        <w:t xml:space="preserve">Cezarino, L.O., Liboni, L.B., Hunter, T., Pacheco, L.M. and Martins, F.P. (2022). Corporate social responsibility in emerging markets: Opportunities and challenges for sustainability integration. </w:t>
      </w:r>
      <w:r w:rsidDel="00000000" w:rsidR="00000000" w:rsidRPr="00000000">
        <w:rPr>
          <w:i w:val="1"/>
          <w:iCs w:val="1"/>
          <w:rtl w:val="0"/>
        </w:rPr>
        <w:t xml:space="preserve">Journal of Cleaner Production</w:t>
      </w:r>
      <w:r w:rsidDel="00000000" w:rsidR="00000000" w:rsidRPr="00000000">
        <w:rPr>
          <w:rtl w:val="0"/>
        </w:rPr>
        <w:t xml:space="preserve">, 362, p.132224.</w:t>
      </w:r>
    </w:p>
    <w:p w:rsidR="00000000" w:rsidDel="00000000" w:rsidP="00000000" w:rsidRDefault="00000000" w:rsidRPr="00000000" w14:paraId="00000194">
      <w:pPr>
        <w:rPr/>
      </w:pPr>
      <w:r w:rsidDel="00000000" w:rsidR="00000000" w:rsidRPr="00000000">
        <w:rPr>
          <w:rtl w:val="0"/>
        </w:rPr>
        <w:t xml:space="preserve">Charupat, N. and Sarkar, S. (2024). Operating flexibility and optimal capital structure. </w:t>
      </w:r>
      <w:r w:rsidDel="00000000" w:rsidR="00000000" w:rsidRPr="00000000">
        <w:rPr>
          <w:i w:val="1"/>
          <w:iCs w:val="1"/>
          <w:rtl w:val="0"/>
        </w:rPr>
        <w:t xml:space="preserve">Accounting &amp; Finance</w:t>
      </w:r>
      <w:r w:rsidDel="00000000" w:rsidR="00000000" w:rsidRPr="00000000">
        <w:rPr>
          <w:rtl w:val="0"/>
        </w:rPr>
        <w:t xml:space="preserve">, 65(2), pp.1863–1887. Available at: </w:t>
      </w:r>
      <w:hyperlink r:id="rId8">
        <w:r w:rsidDel="00000000" w:rsidR="00000000" w:rsidRPr="00000000">
          <w:rPr>
            <w:color w:val="0000ff"/>
            <w:u w:val="single"/>
            <w:rtl w:val="0"/>
          </w:rPr>
          <w:t xml:space="preserve">https://doi.org/10.1111/acfi.13391</w:t>
        </w:r>
      </w:hyperlink>
      <w:r w:rsidDel="00000000" w:rsidR="00000000" w:rsidRPr="00000000">
        <w:rPr>
          <w:rtl w:val="0"/>
        </w:rPr>
        <w:t xml:space="preserve">. </w:t>
      </w:r>
    </w:p>
    <w:p w:rsidR="00000000" w:rsidDel="00000000" w:rsidP="00000000" w:rsidRDefault="00000000" w:rsidRPr="00000000" w14:paraId="00000195">
      <w:pPr>
        <w:rPr/>
      </w:pPr>
      <w:r w:rsidDel="00000000" w:rsidR="00000000" w:rsidRPr="00000000">
        <w:rPr>
          <w:rtl w:val="0"/>
        </w:rPr>
        <w:t xml:space="preserve">Dehghanfard, K. and Moslemi, A. (2020). </w:t>
      </w:r>
      <w:r w:rsidDel="00000000" w:rsidR="00000000" w:rsidRPr="00000000">
        <w:rPr>
          <w:i w:val="1"/>
          <w:iCs w:val="1"/>
          <w:rtl w:val="0"/>
        </w:rPr>
        <w:t xml:space="preserve">Inflation, Operating Cycle, Cash Holding</w:t>
      </w:r>
      <w:r w:rsidDel="00000000" w:rsidR="00000000" w:rsidRPr="00000000">
        <w:rPr>
          <w:rtl w:val="0"/>
        </w:rPr>
        <w:t xml:space="preserve">. [online] Available at: https://www.sid.ir/fileserver/je/53002420170307.pdf [Accessed 29 Nov. 2025].</w:t>
      </w:r>
    </w:p>
    <w:p w:rsidR="00000000" w:rsidDel="00000000" w:rsidP="00000000" w:rsidRDefault="00000000" w:rsidRPr="00000000" w14:paraId="00000196">
      <w:pPr>
        <w:rPr/>
      </w:pPr>
      <w:r w:rsidDel="00000000" w:rsidR="00000000" w:rsidRPr="00000000">
        <w:rPr>
          <w:rtl w:val="0"/>
        </w:rPr>
        <w:t xml:space="preserve">Drobetz, W., Janzen, M. and Meier, I. (2019). Investment and financing decisions of private and public firms. </w:t>
      </w:r>
      <w:r w:rsidDel="00000000" w:rsidR="00000000" w:rsidRPr="00000000">
        <w:rPr>
          <w:i w:val="1"/>
          <w:iCs w:val="1"/>
          <w:rtl w:val="0"/>
        </w:rPr>
        <w:t xml:space="preserve">Journal of Business Finance &amp; Accounting</w:t>
      </w:r>
      <w:r w:rsidDel="00000000" w:rsidR="00000000" w:rsidRPr="00000000">
        <w:rPr>
          <w:rtl w:val="0"/>
        </w:rPr>
        <w:t xml:space="preserve">, 46(1-2), pp.225–262. Available at: </w:t>
      </w:r>
      <w:hyperlink r:id="rId9">
        <w:r w:rsidDel="00000000" w:rsidR="00000000" w:rsidRPr="00000000">
          <w:rPr>
            <w:color w:val="0000ff"/>
            <w:u w:val="single"/>
            <w:rtl w:val="0"/>
          </w:rPr>
          <w:t xml:space="preserve">https://doi.org/10.1111/jbfa.12367</w:t>
        </w:r>
      </w:hyperlink>
      <w:r w:rsidDel="00000000" w:rsidR="00000000" w:rsidRPr="00000000">
        <w:rPr>
          <w:rtl w:val="0"/>
        </w:rPr>
        <w:t xml:space="preserve">. </w:t>
      </w:r>
    </w:p>
    <w:p w:rsidR="00000000" w:rsidDel="00000000" w:rsidP="00000000" w:rsidRDefault="00000000" w:rsidRPr="00000000" w14:paraId="00000197">
      <w:pPr>
        <w:rPr/>
      </w:pPr>
      <w:r w:rsidDel="00000000" w:rsidR="00000000" w:rsidRPr="00000000">
        <w:rPr>
          <w:rtl w:val="0"/>
        </w:rPr>
        <w:t xml:space="preserve">Ferrell, O.C., Harrison, D.E., Ferrell, L. and Hair, J.F. (2019). Business ethics, Corporate Social responsibility, and Brand attitudes: an Exploratory Study. </w:t>
      </w:r>
      <w:r w:rsidDel="00000000" w:rsidR="00000000" w:rsidRPr="00000000">
        <w:rPr>
          <w:i w:val="1"/>
          <w:iCs w:val="1"/>
          <w:rtl w:val="0"/>
        </w:rPr>
        <w:t xml:space="preserve">Journal of Business Research</w:t>
      </w:r>
      <w:r w:rsidDel="00000000" w:rsidR="00000000" w:rsidRPr="00000000">
        <w:rPr>
          <w:rtl w:val="0"/>
        </w:rPr>
        <w:t xml:space="preserve">, [online] 95(1), pp.491–501. Available at: </w:t>
      </w:r>
      <w:hyperlink r:id="rId10">
        <w:r w:rsidDel="00000000" w:rsidR="00000000" w:rsidRPr="00000000">
          <w:rPr>
            <w:color w:val="0000ff"/>
            <w:u w:val="single"/>
            <w:rtl w:val="0"/>
          </w:rPr>
          <w:t xml:space="preserve">https://doi.org/10.1016/j.jbusres.2018.07.039</w:t>
        </w:r>
      </w:hyperlink>
      <w:r w:rsidDel="00000000" w:rsidR="00000000" w:rsidRPr="00000000">
        <w:rPr>
          <w:rtl w:val="0"/>
        </w:rPr>
        <w:t xml:space="preserve">. </w:t>
      </w:r>
    </w:p>
    <w:p w:rsidR="00000000" w:rsidDel="00000000" w:rsidP="00000000" w:rsidRDefault="00000000" w:rsidRPr="00000000" w14:paraId="00000198">
      <w:pPr>
        <w:rPr/>
      </w:pPr>
      <w:r w:rsidDel="00000000" w:rsidR="00000000" w:rsidRPr="00000000">
        <w:rPr>
          <w:rtl w:val="0"/>
        </w:rPr>
        <w:t xml:space="preserve">Glaum, M., Schmidt, P. and Schnürer, K. (2018). Processes and Accuracy of Cash Flow Forecasting: A Case Study of a Multinational Corporation. </w:t>
      </w:r>
      <w:r w:rsidDel="00000000" w:rsidR="00000000" w:rsidRPr="00000000">
        <w:rPr>
          <w:i w:val="1"/>
          <w:iCs w:val="1"/>
          <w:rtl w:val="0"/>
        </w:rPr>
        <w:t xml:space="preserve">Journal of Applied Corporate Finance</w:t>
      </w:r>
      <w:r w:rsidDel="00000000" w:rsidR="00000000" w:rsidRPr="00000000">
        <w:rPr>
          <w:rtl w:val="0"/>
        </w:rPr>
        <w:t xml:space="preserve">, 30(2), pp.65–82. Available at: https://doi.org/10.1111/jacf.12301.</w:t>
      </w:r>
    </w:p>
    <w:p w:rsidR="00000000" w:rsidDel="00000000" w:rsidP="00000000" w:rsidRDefault="00000000" w:rsidRPr="00000000" w14:paraId="00000199">
      <w:pPr>
        <w:rPr/>
      </w:pPr>
      <w:r w:rsidDel="00000000" w:rsidR="00000000" w:rsidRPr="00000000">
        <w:rPr>
          <w:rtl w:val="0"/>
        </w:rPr>
        <w:t xml:space="preserve">Harris, O. and Hampton, J. (2022). Director co</w:t>
      </w:r>
      <w:r w:rsidDel="00000000" w:rsidR="00000000" w:rsidRPr="00000000">
        <w:rPr>
          <w:rFonts w:ascii="Cambria Math" w:cs="Cambria Math" w:eastAsia="Cambria Math" w:hAnsi="Cambria Math"/>
          <w:rtl w:val="0"/>
        </w:rPr>
        <w:t xml:space="preserve">‐</w:t>
      </w:r>
      <w:r w:rsidDel="00000000" w:rsidR="00000000" w:rsidRPr="00000000">
        <w:rPr>
          <w:rtl w:val="0"/>
        </w:rPr>
        <w:t xml:space="preserve">option and the cash conversion cycle. </w:t>
      </w:r>
      <w:r w:rsidDel="00000000" w:rsidR="00000000" w:rsidRPr="00000000">
        <w:rPr>
          <w:i w:val="1"/>
          <w:iCs w:val="1"/>
          <w:rtl w:val="0"/>
        </w:rPr>
        <w:t xml:space="preserve">Journal of Corporate Accounting &amp; Finance</w:t>
      </w:r>
      <w:r w:rsidDel="00000000" w:rsidR="00000000" w:rsidRPr="00000000">
        <w:rPr>
          <w:rtl w:val="0"/>
        </w:rPr>
        <w:t xml:space="preserve">. Available at: </w:t>
      </w:r>
      <w:hyperlink r:id="rId11">
        <w:r w:rsidDel="00000000" w:rsidR="00000000" w:rsidRPr="00000000">
          <w:rPr>
            <w:color w:val="0000ff"/>
            <w:u w:val="single"/>
            <w:rtl w:val="0"/>
          </w:rPr>
          <w:t xml:space="preserve">https://doi.org/10.1002/jcaf.22540</w:t>
        </w:r>
      </w:hyperlink>
      <w:r w:rsidDel="00000000" w:rsidR="00000000" w:rsidRPr="00000000">
        <w:rPr>
          <w:rtl w:val="0"/>
        </w:rPr>
        <w:t xml:space="preserve">. </w:t>
      </w:r>
    </w:p>
    <w:p w:rsidR="00000000" w:rsidDel="00000000" w:rsidP="00000000" w:rsidRDefault="00000000" w:rsidRPr="00000000" w14:paraId="0000019A">
      <w:pPr>
        <w:rPr/>
      </w:pPr>
      <w:r w:rsidDel="00000000" w:rsidR="00000000" w:rsidRPr="00000000">
        <w:rPr>
          <w:rtl w:val="0"/>
        </w:rPr>
        <w:t xml:space="preserve">Hayes, A. (2022). </w:t>
      </w:r>
      <w:r w:rsidDel="00000000" w:rsidR="00000000" w:rsidRPr="00000000">
        <w:rPr>
          <w:i w:val="1"/>
          <w:iCs w:val="1"/>
          <w:rtl w:val="0"/>
        </w:rPr>
        <w:t xml:space="preserve">Introduction to Capital Rationing</w:t>
      </w:r>
      <w:r w:rsidDel="00000000" w:rsidR="00000000" w:rsidRPr="00000000">
        <w:rPr>
          <w:rtl w:val="0"/>
        </w:rPr>
        <w:t xml:space="preserve">. [online] Investopedia. Available at: https://www.investopedia.com/terms/c/capitalrationing.asp [Accessed 30 Nov. 2025].</w:t>
      </w:r>
    </w:p>
    <w:p w:rsidR="00000000" w:rsidDel="00000000" w:rsidP="00000000" w:rsidRDefault="00000000" w:rsidRPr="00000000" w14:paraId="0000019B">
      <w:pPr>
        <w:rPr/>
      </w:pPr>
      <w:r w:rsidDel="00000000" w:rsidR="00000000" w:rsidRPr="00000000">
        <w:rPr>
          <w:rtl w:val="0"/>
        </w:rPr>
        <w:t xml:space="preserve">Henager, R. and Cude, B.J. (2016). Financial Literacy and Long- and Short-Term Financial Behavior in Different Age Groups. </w:t>
      </w:r>
      <w:r w:rsidDel="00000000" w:rsidR="00000000" w:rsidRPr="00000000">
        <w:rPr>
          <w:i w:val="1"/>
          <w:iCs w:val="1"/>
          <w:rtl w:val="0"/>
        </w:rPr>
        <w:t xml:space="preserve">Journal of Financial Counseling and Planning</w:t>
      </w:r>
      <w:r w:rsidDel="00000000" w:rsidR="00000000" w:rsidRPr="00000000">
        <w:rPr>
          <w:rtl w:val="0"/>
        </w:rPr>
        <w:t xml:space="preserve">, [online] 27(1), pp.3–19. Available at: https://eric.ed.gov/?id=EJ1161904.</w:t>
      </w:r>
    </w:p>
    <w:p w:rsidR="00000000" w:rsidDel="00000000" w:rsidP="00000000" w:rsidRDefault="00000000" w:rsidRPr="00000000" w14:paraId="0000019C">
      <w:pPr>
        <w:rPr/>
      </w:pPr>
      <w:r w:rsidDel="00000000" w:rsidR="00000000" w:rsidRPr="00000000">
        <w:rPr>
          <w:rtl w:val="0"/>
        </w:rPr>
        <w:t xml:space="preserve">Iancu, D.A., Trichakis, N. and Tsoukalas, G. (2017). Is Operating Flexibility Harmful Under Debt? </w:t>
      </w:r>
      <w:r w:rsidDel="00000000" w:rsidR="00000000" w:rsidRPr="00000000">
        <w:rPr>
          <w:i w:val="1"/>
          <w:iCs w:val="1"/>
          <w:rtl w:val="0"/>
        </w:rPr>
        <w:t xml:space="preserve">Management Science</w:t>
      </w:r>
      <w:r w:rsidDel="00000000" w:rsidR="00000000" w:rsidRPr="00000000">
        <w:rPr>
          <w:rtl w:val="0"/>
        </w:rPr>
        <w:t xml:space="preserve">, [online] 63(6), pp.1730–1761. Available at: </w:t>
      </w:r>
      <w:hyperlink r:id="rId12">
        <w:r w:rsidDel="00000000" w:rsidR="00000000" w:rsidRPr="00000000">
          <w:rPr>
            <w:color w:val="0000ff"/>
            <w:u w:val="single"/>
            <w:rtl w:val="0"/>
          </w:rPr>
          <w:t xml:space="preserve">https://doi.org/10.1287/mnsc.2015.2415</w:t>
        </w:r>
      </w:hyperlink>
      <w:r w:rsidDel="00000000" w:rsidR="00000000" w:rsidRPr="00000000">
        <w:rPr>
          <w:rtl w:val="0"/>
        </w:rPr>
        <w:t xml:space="preserve">. </w:t>
      </w:r>
    </w:p>
    <w:p w:rsidR="00000000" w:rsidDel="00000000" w:rsidP="00000000" w:rsidRDefault="00000000" w:rsidRPr="00000000" w14:paraId="0000019D">
      <w:pPr>
        <w:rPr/>
      </w:pPr>
      <w:r w:rsidDel="00000000" w:rsidR="00000000" w:rsidRPr="00000000">
        <w:rPr>
          <w:rtl w:val="0"/>
        </w:rPr>
        <w:t xml:space="preserve">Kengatharan, L. (2016). Capital Budgeting Theory and Practice: A Review and Agenda for Future Research. </w:t>
      </w:r>
      <w:r w:rsidDel="00000000" w:rsidR="00000000" w:rsidRPr="00000000">
        <w:rPr>
          <w:i w:val="1"/>
          <w:iCs w:val="1"/>
          <w:rtl w:val="0"/>
        </w:rPr>
        <w:t xml:space="preserve">Applied Economics and Finance</w:t>
      </w:r>
      <w:r w:rsidDel="00000000" w:rsidR="00000000" w:rsidRPr="00000000">
        <w:rPr>
          <w:rtl w:val="0"/>
        </w:rPr>
        <w:t xml:space="preserve">, [online] 3(2), pp.15–38. Available at: https://ideas.repec.org/a/rfa/aefjnl/v3y2016i2p15-38.html [Accessed 30 Nov. 2025]. </w:t>
      </w:r>
    </w:p>
    <w:p w:rsidR="00000000" w:rsidDel="00000000" w:rsidP="00000000" w:rsidRDefault="00000000" w:rsidRPr="00000000" w14:paraId="0000019E">
      <w:pPr>
        <w:rPr/>
      </w:pPr>
      <w:r w:rsidDel="00000000" w:rsidR="00000000" w:rsidRPr="00000000">
        <w:rPr>
          <w:rtl w:val="0"/>
        </w:rPr>
        <w:t xml:space="preserve">Kenton, W. (2024). </w:t>
      </w:r>
      <w:r w:rsidDel="00000000" w:rsidR="00000000" w:rsidRPr="00000000">
        <w:rPr>
          <w:i w:val="1"/>
          <w:iCs w:val="1"/>
          <w:rtl w:val="0"/>
        </w:rPr>
        <w:t xml:space="preserve">Capital Budgeting: Definition, Methods, and Examples</w:t>
      </w:r>
      <w:r w:rsidDel="00000000" w:rsidR="00000000" w:rsidRPr="00000000">
        <w:rPr>
          <w:rtl w:val="0"/>
        </w:rPr>
        <w:t xml:space="preserve">. [online] Investopedia. Available at: https://www.investopedia.com/terms/c/capitalbudgeting.asp [Accessed 2 Dec. 2025].</w:t>
      </w:r>
    </w:p>
    <w:p w:rsidR="00000000" w:rsidDel="00000000" w:rsidP="00000000" w:rsidRDefault="00000000" w:rsidRPr="00000000" w14:paraId="0000019F">
      <w:pPr>
        <w:rPr/>
      </w:pPr>
      <w:r w:rsidDel="00000000" w:rsidR="00000000" w:rsidRPr="00000000">
        <w:rPr>
          <w:rtl w:val="0"/>
        </w:rPr>
        <w:t xml:space="preserve">Kochen, F. (2025). Equity financing in a banking crisis: Evidence from private firms. </w:t>
      </w:r>
      <w:r w:rsidDel="00000000" w:rsidR="00000000" w:rsidRPr="00000000">
        <w:rPr>
          <w:i w:val="1"/>
          <w:iCs w:val="1"/>
          <w:rtl w:val="0"/>
        </w:rPr>
        <w:t xml:space="preserve">Econstor.eu</w:t>
      </w:r>
      <w:r w:rsidDel="00000000" w:rsidR="00000000" w:rsidRPr="00000000">
        <w:rPr>
          <w:rtl w:val="0"/>
        </w:rPr>
        <w:t xml:space="preserve">. [online] Available at: </w:t>
      </w:r>
      <w:hyperlink r:id="rId13">
        <w:r w:rsidDel="00000000" w:rsidR="00000000" w:rsidRPr="00000000">
          <w:rPr>
            <w:color w:val="0000ff"/>
            <w:u w:val="single"/>
            <w:rtl w:val="0"/>
          </w:rPr>
          <w:t xml:space="preserve">https://doi.org/10.2866/5014477</w:t>
        </w:r>
      </w:hyperlink>
      <w:r w:rsidDel="00000000" w:rsidR="00000000" w:rsidRPr="00000000">
        <w:rPr>
          <w:rtl w:val="0"/>
        </w:rPr>
        <w:t xml:space="preserve">. </w:t>
      </w:r>
    </w:p>
    <w:p w:rsidR="00000000" w:rsidDel="00000000" w:rsidP="00000000" w:rsidRDefault="00000000" w:rsidRPr="00000000" w14:paraId="000001A0">
      <w:pPr>
        <w:rPr/>
      </w:pPr>
      <w:r w:rsidDel="00000000" w:rsidR="00000000" w:rsidRPr="00000000">
        <w:rPr>
          <w:rtl w:val="0"/>
        </w:rPr>
        <w:t xml:space="preserve">Kovach, J.J., Swink, M. and Rodriguez, M. (2022). Delaying Supplier Payments to Increase Buyer Profits. </w:t>
      </w:r>
      <w:r w:rsidDel="00000000" w:rsidR="00000000" w:rsidRPr="00000000">
        <w:rPr>
          <w:i w:val="1"/>
          <w:iCs w:val="1"/>
          <w:rtl w:val="0"/>
        </w:rPr>
        <w:t xml:space="preserve">Journal of Supply Chain Management</w:t>
      </w:r>
      <w:r w:rsidDel="00000000" w:rsidR="00000000" w:rsidRPr="00000000">
        <w:rPr>
          <w:rtl w:val="0"/>
        </w:rPr>
        <w:t xml:space="preserve">, 59(1). Available at: </w:t>
      </w:r>
      <w:hyperlink r:id="rId14">
        <w:r w:rsidDel="00000000" w:rsidR="00000000" w:rsidRPr="00000000">
          <w:rPr>
            <w:color w:val="0000ff"/>
            <w:u w:val="single"/>
            <w:rtl w:val="0"/>
          </w:rPr>
          <w:t xml:space="preserve">https://doi.org/10.1111/jscm.12293</w:t>
        </w:r>
      </w:hyperlink>
      <w:r w:rsidDel="00000000" w:rsidR="00000000" w:rsidRPr="00000000">
        <w:rPr>
          <w:rtl w:val="0"/>
        </w:rPr>
        <w:t xml:space="preserve">. </w:t>
      </w:r>
    </w:p>
    <w:p w:rsidR="00000000" w:rsidDel="00000000" w:rsidP="00000000" w:rsidRDefault="00000000" w:rsidRPr="00000000" w14:paraId="000001A1">
      <w:pPr>
        <w:rPr/>
      </w:pPr>
      <w:r w:rsidDel="00000000" w:rsidR="00000000" w:rsidRPr="00000000">
        <w:rPr>
          <w:rtl w:val="0"/>
        </w:rPr>
        <w:t xml:space="preserve">Legesse, T.S. and Guo, H. (2020). Does firm efficiency matter for debt financing decisions? Evidence from the biggest manufacturing countries. </w:t>
      </w:r>
      <w:r w:rsidDel="00000000" w:rsidR="00000000" w:rsidRPr="00000000">
        <w:rPr>
          <w:i w:val="1"/>
          <w:iCs w:val="1"/>
          <w:rtl w:val="0"/>
        </w:rPr>
        <w:t xml:space="preserve">Journal of Applied Economics</w:t>
      </w:r>
      <w:r w:rsidDel="00000000" w:rsidR="00000000" w:rsidRPr="00000000">
        <w:rPr>
          <w:rtl w:val="0"/>
        </w:rPr>
        <w:t xml:space="preserve">, [online] 23(1), pp.106–128. Available at: </w:t>
      </w:r>
      <w:hyperlink r:id="rId15">
        <w:r w:rsidDel="00000000" w:rsidR="00000000" w:rsidRPr="00000000">
          <w:rPr>
            <w:color w:val="0000ff"/>
            <w:u w:val="single"/>
            <w:rtl w:val="0"/>
          </w:rPr>
          <w:t xml:space="preserve">https://doi.org/10.1080/15140326.2020.1711591</w:t>
        </w:r>
      </w:hyperlink>
      <w:r w:rsidDel="00000000" w:rsidR="00000000" w:rsidRPr="00000000">
        <w:rPr>
          <w:rtl w:val="0"/>
        </w:rPr>
        <w:t xml:space="preserve">. </w:t>
      </w:r>
    </w:p>
    <w:p w:rsidR="00000000" w:rsidDel="00000000" w:rsidP="00000000" w:rsidRDefault="00000000" w:rsidRPr="00000000" w14:paraId="000001A2">
      <w:pPr>
        <w:rPr/>
      </w:pPr>
      <w:r w:rsidDel="00000000" w:rsidR="00000000" w:rsidRPr="00000000">
        <w:rPr>
          <w:rtl w:val="0"/>
        </w:rPr>
        <w:t xml:space="preserve">Madura, J. (2021). </w:t>
      </w:r>
      <w:r w:rsidDel="00000000" w:rsidR="00000000" w:rsidRPr="00000000">
        <w:rPr>
          <w:i w:val="1"/>
          <w:iCs w:val="1"/>
          <w:rtl w:val="0"/>
        </w:rPr>
        <w:t xml:space="preserve">International Financial Management</w:t>
      </w:r>
      <w:r w:rsidDel="00000000" w:rsidR="00000000" w:rsidRPr="00000000">
        <w:rPr>
          <w:rtl w:val="0"/>
        </w:rPr>
        <w:t xml:space="preserve">. 14th ed. South Melbourne, Australia: Cengage Learning Australia.</w:t>
      </w:r>
    </w:p>
    <w:p w:rsidR="00000000" w:rsidDel="00000000" w:rsidP="00000000" w:rsidRDefault="00000000" w:rsidRPr="00000000" w14:paraId="000001A3">
      <w:pPr>
        <w:rPr/>
      </w:pPr>
      <w:r w:rsidDel="00000000" w:rsidR="00000000" w:rsidRPr="00000000">
        <w:rPr>
          <w:rtl w:val="0"/>
        </w:rPr>
        <w:t xml:space="preserve">Maverick, J.B. (2024). </w:t>
      </w:r>
      <w:r w:rsidDel="00000000" w:rsidR="00000000" w:rsidRPr="00000000">
        <w:rPr>
          <w:i w:val="1"/>
          <w:iCs w:val="1"/>
          <w:rtl w:val="0"/>
        </w:rPr>
        <w:t xml:space="preserve">How Can a Company Quickly Increase Its Liquidity Ratio?</w:t>
      </w:r>
      <w:r w:rsidDel="00000000" w:rsidR="00000000" w:rsidRPr="00000000">
        <w:rPr>
          <w:rtl w:val="0"/>
        </w:rPr>
        <w:t xml:space="preserve"> [online] Investopedia. Available at: https://www.investopedia.com/ask/answers/011215/how-can-company-quickly-increase-its-liquidity-ratio.asp [Accessed 30 Nov. 2025].</w:t>
      </w:r>
    </w:p>
    <w:p w:rsidR="00000000" w:rsidDel="00000000" w:rsidP="00000000" w:rsidRDefault="00000000" w:rsidRPr="00000000" w14:paraId="000001A4">
      <w:pPr>
        <w:rPr/>
      </w:pPr>
      <w:r w:rsidDel="00000000" w:rsidR="00000000" w:rsidRPr="00000000">
        <w:rPr>
          <w:rtl w:val="0"/>
        </w:rPr>
        <w:t xml:space="preserve">Michelon, P. de S., Lunkes, R.J. and Bornia, A.C. (2020). Capital budgeting: a systematic review of the literature. </w:t>
      </w:r>
      <w:r w:rsidDel="00000000" w:rsidR="00000000" w:rsidRPr="00000000">
        <w:rPr>
          <w:i w:val="1"/>
          <w:iCs w:val="1"/>
          <w:rtl w:val="0"/>
        </w:rPr>
        <w:t xml:space="preserve">Production</w:t>
      </w:r>
      <w:r w:rsidDel="00000000" w:rsidR="00000000" w:rsidRPr="00000000">
        <w:rPr>
          <w:rtl w:val="0"/>
        </w:rPr>
        <w:t xml:space="preserve">, [online] 30(2). Available at: </w:t>
      </w:r>
      <w:hyperlink r:id="rId16">
        <w:r w:rsidDel="00000000" w:rsidR="00000000" w:rsidRPr="00000000">
          <w:rPr>
            <w:color w:val="0000ff"/>
            <w:u w:val="single"/>
            <w:rtl w:val="0"/>
          </w:rPr>
          <w:t xml:space="preserve">https://doi.org/10.1590/0103-6513.20190020</w:t>
        </w:r>
      </w:hyperlink>
      <w:r w:rsidDel="00000000" w:rsidR="00000000" w:rsidRPr="00000000">
        <w:rPr>
          <w:rtl w:val="0"/>
        </w:rPr>
        <w:t xml:space="preserve">. </w:t>
      </w:r>
    </w:p>
    <w:p w:rsidR="00000000" w:rsidDel="00000000" w:rsidP="00000000" w:rsidRDefault="00000000" w:rsidRPr="00000000" w14:paraId="000001A5">
      <w:pPr>
        <w:rPr/>
      </w:pPr>
      <w:r w:rsidDel="00000000" w:rsidR="00000000" w:rsidRPr="00000000">
        <w:rPr>
          <w:rtl w:val="0"/>
        </w:rPr>
        <w:t xml:space="preserve">Mme, S., Carré-Tallon, M., Ssa Monica, B., Student, G. and Zaramella (2023). </w:t>
      </w:r>
      <w:r w:rsidDel="00000000" w:rsidR="00000000" w:rsidRPr="00000000">
        <w:rPr>
          <w:i w:val="1"/>
          <w:iCs w:val="1"/>
          <w:rtl w:val="0"/>
        </w:rPr>
        <w:t xml:space="preserve">Financial Restructuring: analysis and applications</w:t>
      </w:r>
      <w:r w:rsidDel="00000000" w:rsidR="00000000" w:rsidRPr="00000000">
        <w:rPr>
          <w:rtl w:val="0"/>
        </w:rPr>
        <w:t xml:space="preserve">. [online] Available at: </w:t>
      </w:r>
      <w:hyperlink r:id="rId17">
        <w:r w:rsidDel="00000000" w:rsidR="00000000" w:rsidRPr="00000000">
          <w:rPr>
            <w:color w:val="0000ff"/>
            <w:u w:val="single"/>
            <w:rtl w:val="0"/>
          </w:rPr>
          <w:t xml:space="preserve">https://unitesi.unive.it/bitstream/20.500.14247/4284/1/872666-1280209.pdf</w:t>
        </w:r>
      </w:hyperlink>
      <w:r w:rsidDel="00000000" w:rsidR="00000000" w:rsidRPr="00000000">
        <w:rPr>
          <w:rtl w:val="0"/>
        </w:rPr>
        <w:t xml:space="preserve">. </w:t>
      </w:r>
    </w:p>
    <w:p w:rsidR="00000000" w:rsidDel="00000000" w:rsidP="00000000" w:rsidRDefault="00000000" w:rsidRPr="00000000" w14:paraId="000001A6">
      <w:pPr>
        <w:rPr/>
      </w:pPr>
      <w:r w:rsidDel="00000000" w:rsidR="00000000" w:rsidRPr="00000000">
        <w:rPr>
          <w:rtl w:val="0"/>
        </w:rPr>
        <w:t xml:space="preserve">Pendar, M., Tayar, H. and Karimeh, S. (2019). The impact of financial flexibility on capital structure decisions: Some empirical evidence. </w:t>
      </w:r>
      <w:r w:rsidDel="00000000" w:rsidR="00000000" w:rsidRPr="00000000">
        <w:rPr>
          <w:i w:val="1"/>
          <w:iCs w:val="1"/>
          <w:rtl w:val="0"/>
        </w:rPr>
        <w:t xml:space="preserve">Management Science Letters</w:t>
      </w:r>
      <w:r w:rsidDel="00000000" w:rsidR="00000000" w:rsidRPr="00000000">
        <w:rPr>
          <w:rtl w:val="0"/>
        </w:rPr>
        <w:t xml:space="preserve">, pp.133–138. Available at: </w:t>
      </w:r>
      <w:hyperlink r:id="rId18">
        <w:r w:rsidDel="00000000" w:rsidR="00000000" w:rsidRPr="00000000">
          <w:rPr>
            <w:color w:val="0000ff"/>
            <w:u w:val="single"/>
            <w:rtl w:val="0"/>
          </w:rPr>
          <w:t xml:space="preserve">https://doi.org/10.5267/j.msl.2018.10.010</w:t>
        </w:r>
      </w:hyperlink>
      <w:r w:rsidDel="00000000" w:rsidR="00000000" w:rsidRPr="00000000">
        <w:rPr>
          <w:rtl w:val="0"/>
        </w:rPr>
        <w:t xml:space="preserve">. </w:t>
      </w:r>
    </w:p>
    <w:p w:rsidR="00000000" w:rsidDel="00000000" w:rsidP="00000000" w:rsidRDefault="00000000" w:rsidRPr="00000000" w14:paraId="000001A7">
      <w:pPr>
        <w:rPr/>
      </w:pPr>
      <w:r w:rsidDel="00000000" w:rsidR="00000000" w:rsidRPr="00000000">
        <w:rPr>
          <w:rtl w:val="0"/>
        </w:rPr>
        <w:t xml:space="preserve">Perez, H.D., Hubbs, C.D., Li, C. and Grossmann, I.E. (2021). Algorithmic Approaches to Inventory Management Optimization. </w:t>
      </w:r>
      <w:r w:rsidDel="00000000" w:rsidR="00000000" w:rsidRPr="00000000">
        <w:rPr>
          <w:i w:val="1"/>
          <w:iCs w:val="1"/>
          <w:rtl w:val="0"/>
        </w:rPr>
        <w:t xml:space="preserve">Processes</w:t>
      </w:r>
      <w:r w:rsidDel="00000000" w:rsidR="00000000" w:rsidRPr="00000000">
        <w:rPr>
          <w:rtl w:val="0"/>
        </w:rPr>
        <w:t xml:space="preserve">, 9(1), p.102. Available at: </w:t>
      </w:r>
      <w:hyperlink r:id="rId19">
        <w:r w:rsidDel="00000000" w:rsidR="00000000" w:rsidRPr="00000000">
          <w:rPr>
            <w:color w:val="0000ff"/>
            <w:u w:val="single"/>
            <w:rtl w:val="0"/>
          </w:rPr>
          <w:t xml:space="preserve">https://doi.org/10.3390/pr9010102</w:t>
        </w:r>
      </w:hyperlink>
      <w:r w:rsidDel="00000000" w:rsidR="00000000" w:rsidRPr="00000000">
        <w:rPr>
          <w:rtl w:val="0"/>
        </w:rPr>
        <w:t xml:space="preserve">. </w:t>
      </w:r>
    </w:p>
    <w:p w:rsidR="00000000" w:rsidDel="00000000" w:rsidP="00000000" w:rsidRDefault="00000000" w:rsidRPr="00000000" w14:paraId="000001A8">
      <w:pPr>
        <w:rPr/>
      </w:pPr>
      <w:r w:rsidDel="00000000" w:rsidR="00000000" w:rsidRPr="00000000">
        <w:rPr>
          <w:rtl w:val="0"/>
        </w:rPr>
        <w:t xml:space="preserve">PwC (2024). </w:t>
      </w:r>
      <w:r w:rsidDel="00000000" w:rsidR="00000000" w:rsidRPr="00000000">
        <w:rPr>
          <w:i w:val="1"/>
          <w:iCs w:val="1"/>
          <w:rtl w:val="0"/>
        </w:rPr>
        <w:t xml:space="preserve">Financial Restructuring</w:t>
      </w:r>
      <w:r w:rsidDel="00000000" w:rsidR="00000000" w:rsidRPr="00000000">
        <w:rPr>
          <w:rtl w:val="0"/>
        </w:rPr>
        <w:t xml:space="preserve">. [online] PwC. Available at: https://www.pwc.com/ke/en/services/deals/business-recovery-services/financial-restructuring.html [Accessed 30 Nov. 2025].</w:t>
      </w:r>
    </w:p>
    <w:p w:rsidR="00000000" w:rsidDel="00000000" w:rsidP="00000000" w:rsidRDefault="00000000" w:rsidRPr="00000000" w14:paraId="000001A9">
      <w:pPr>
        <w:rPr/>
      </w:pPr>
      <w:r w:rsidDel="00000000" w:rsidR="00000000" w:rsidRPr="00000000">
        <w:rPr>
          <w:rtl w:val="0"/>
        </w:rPr>
        <w:t xml:space="preserve">Sani, A.S., Lukman, H., Tetuko, Rawidyo Putro and Putra, P. (2024). The Impact of Inflation on the Business Cycle and Economic Growth: An Empirical Analysis - Repository Universitas Muhammadiyah Sidoarjo. </w:t>
      </w:r>
      <w:r w:rsidDel="00000000" w:rsidR="00000000" w:rsidRPr="00000000">
        <w:rPr>
          <w:i w:val="1"/>
          <w:iCs w:val="1"/>
          <w:rtl w:val="0"/>
        </w:rPr>
        <w:t xml:space="preserve">Umsida.ac.id</w:t>
      </w:r>
      <w:r w:rsidDel="00000000" w:rsidR="00000000" w:rsidRPr="00000000">
        <w:rPr>
          <w:rtl w:val="0"/>
        </w:rPr>
        <w:t xml:space="preserve">. [online] doi:http://eprints.umsida.ac.id/14697/1/5334-Article%20Text-13378-1-10-20241126.pdf. </w:t>
      </w:r>
    </w:p>
    <w:p w:rsidR="00000000" w:rsidDel="00000000" w:rsidP="00000000" w:rsidRDefault="00000000" w:rsidRPr="00000000" w14:paraId="000001AA">
      <w:pPr>
        <w:rPr/>
      </w:pPr>
      <w:r w:rsidDel="00000000" w:rsidR="00000000" w:rsidRPr="00000000">
        <w:rPr>
          <w:rtl w:val="0"/>
        </w:rPr>
        <w:t xml:space="preserve">Shapiro, A.C. and Hanouna, P. (2019). </w:t>
      </w:r>
      <w:r w:rsidDel="00000000" w:rsidR="00000000" w:rsidRPr="00000000">
        <w:rPr>
          <w:i w:val="1"/>
          <w:iCs w:val="1"/>
          <w:rtl w:val="0"/>
        </w:rPr>
        <w:t xml:space="preserve">Multinational Financial Management</w:t>
      </w:r>
      <w:r w:rsidDel="00000000" w:rsidR="00000000" w:rsidRPr="00000000">
        <w:rPr>
          <w:rtl w:val="0"/>
        </w:rPr>
        <w:t xml:space="preserve">. 11th ed. Hoboken, Nj: Wiley.</w:t>
      </w:r>
    </w:p>
    <w:p w:rsidR="00000000" w:rsidDel="00000000" w:rsidP="00000000" w:rsidRDefault="00000000" w:rsidRPr="00000000" w14:paraId="000001AB">
      <w:pPr>
        <w:rPr/>
      </w:pPr>
      <w:r w:rsidDel="00000000" w:rsidR="00000000" w:rsidRPr="00000000">
        <w:rPr>
          <w:rtl w:val="0"/>
        </w:rPr>
        <w:t xml:space="preserve">Singh, H.P., Kumar, S. and Colombage, S. (2017). Working capital management and firm profitability: a meta-analysis. </w:t>
      </w:r>
      <w:r w:rsidDel="00000000" w:rsidR="00000000" w:rsidRPr="00000000">
        <w:rPr>
          <w:i w:val="1"/>
          <w:iCs w:val="1"/>
          <w:rtl w:val="0"/>
        </w:rPr>
        <w:t xml:space="preserve">Qualitative Research in Financial Markets</w:t>
      </w:r>
      <w:r w:rsidDel="00000000" w:rsidR="00000000" w:rsidRPr="00000000">
        <w:rPr>
          <w:rtl w:val="0"/>
        </w:rPr>
        <w:t xml:space="preserve">, 9(1), pp.34–47. Available at: </w:t>
      </w:r>
      <w:hyperlink r:id="rId20">
        <w:r w:rsidDel="00000000" w:rsidR="00000000" w:rsidRPr="00000000">
          <w:rPr>
            <w:color w:val="0000ff"/>
            <w:u w:val="single"/>
            <w:rtl w:val="0"/>
          </w:rPr>
          <w:t xml:space="preserve">https://doi.org/10.1108/qrfm-06-2016-0018</w:t>
        </w:r>
      </w:hyperlink>
      <w:r w:rsidDel="00000000" w:rsidR="00000000" w:rsidRPr="00000000">
        <w:rPr>
          <w:rtl w:val="0"/>
        </w:rPr>
        <w:t xml:space="preserve">. </w:t>
      </w:r>
    </w:p>
    <w:p w:rsidR="00000000" w:rsidDel="00000000" w:rsidP="00000000" w:rsidRDefault="00000000" w:rsidRPr="00000000" w14:paraId="000001AC">
      <w:pPr>
        <w:rPr/>
      </w:pPr>
      <w:r w:rsidDel="00000000" w:rsidR="00000000" w:rsidRPr="00000000">
        <w:rPr>
          <w:rtl w:val="0"/>
        </w:rPr>
        <w:t xml:space="preserve">Veganzones, D. and Severin, E. (2020). Corporate failure prediction models in the twenty-first century: a review. </w:t>
      </w:r>
      <w:r w:rsidDel="00000000" w:rsidR="00000000" w:rsidRPr="00000000">
        <w:rPr>
          <w:i w:val="1"/>
          <w:iCs w:val="1"/>
          <w:rtl w:val="0"/>
        </w:rPr>
        <w:t xml:space="preserve">European Business Review</w:t>
      </w:r>
      <w:r w:rsidDel="00000000" w:rsidR="00000000" w:rsidRPr="00000000">
        <w:rPr>
          <w:rtl w:val="0"/>
        </w:rPr>
        <w:t xml:space="preserve">, ahead-of-print(ahead-of-print). Available at: </w:t>
      </w:r>
      <w:hyperlink r:id="rId21">
        <w:r w:rsidDel="00000000" w:rsidR="00000000" w:rsidRPr="00000000">
          <w:rPr>
            <w:color w:val="0000ff"/>
            <w:u w:val="single"/>
            <w:rtl w:val="0"/>
          </w:rPr>
          <w:t xml:space="preserve">https://doi.org/10.1108/ebr-12-2018-0209</w:t>
        </w:r>
      </w:hyperlink>
      <w:r w:rsidDel="00000000" w:rsidR="00000000" w:rsidRPr="00000000">
        <w:rPr>
          <w:rtl w:val="0"/>
        </w:rPr>
        <w:t xml:space="preserve">. </w:t>
      </w:r>
    </w:p>
    <w:p w:rsidR="00000000" w:rsidDel="00000000" w:rsidP="00000000" w:rsidRDefault="00000000" w:rsidRPr="00000000" w14:paraId="000001AD">
      <w:pPr>
        <w:rPr/>
      </w:pPr>
      <w:r w:rsidDel="00000000" w:rsidR="00000000" w:rsidRPr="00000000">
        <w:rPr>
          <w:rtl w:val="0"/>
        </w:rPr>
        <w:t xml:space="preserve">Zhang, T., Hou, H., Yang, J., Li, X. and Wang, Y. (2017). Enterprises Short-Term Financing Management. </w:t>
      </w:r>
      <w:r w:rsidDel="00000000" w:rsidR="00000000" w:rsidRPr="00000000">
        <w:rPr>
          <w:i w:val="1"/>
          <w:iCs w:val="1"/>
          <w:rtl w:val="0"/>
        </w:rPr>
        <w:t xml:space="preserve">Proceedings of the 2017 2nd International Conference on Politics, Economics and Law (ICPEL 2017)</w:t>
      </w:r>
      <w:r w:rsidDel="00000000" w:rsidR="00000000" w:rsidRPr="00000000">
        <w:rPr>
          <w:rtl w:val="0"/>
        </w:rPr>
        <w:t xml:space="preserve">. Available at: </w:t>
      </w:r>
      <w:hyperlink r:id="rId22">
        <w:r w:rsidDel="00000000" w:rsidR="00000000" w:rsidRPr="00000000">
          <w:rPr>
            <w:color w:val="0000ff"/>
            <w:u w:val="single"/>
            <w:rtl w:val="0"/>
          </w:rPr>
          <w:t xml:space="preserve">https://doi.org/10.2991/icpel-17.2017.62</w:t>
        </w:r>
      </w:hyperlink>
      <w:r w:rsidDel="00000000" w:rsidR="00000000" w:rsidRPr="00000000">
        <w:rPr>
          <w:rtl w:val="0"/>
        </w:rPr>
        <w:t xml:space="preserve">. </w:t>
      </w:r>
    </w:p>
    <w:p w:rsidR="00000000" w:rsidDel="00000000" w:rsidP="00000000" w:rsidRDefault="00000000" w:rsidRPr="00000000" w14:paraId="000001AE">
      <w:pPr>
        <w:rPr/>
      </w:pPr>
      <w:r w:rsidDel="00000000" w:rsidR="00000000" w:rsidRPr="00000000">
        <w:br w:type="page"/>
      </w:r>
      <w:r w:rsidDel="00000000" w:rsidR="00000000" w:rsidRPr="00000000">
        <w:rPr>
          <w:rtl w:val="0"/>
        </w:rPr>
      </w:r>
    </w:p>
    <w:p w:rsidR="00000000" w:rsidDel="00000000" w:rsidP="00000000" w:rsidRDefault="00000000" w:rsidRPr="00000000" w14:paraId="000001AF">
      <w:pPr>
        <w:pStyle w:val="Heading1"/>
        <w:rPr/>
      </w:pPr>
      <w:bookmarkStart w:colFirst="0" w:colLast="0" w:name="_heading=h.fb3l5cyh6j7e" w:id="30"/>
      <w:bookmarkEnd w:id="30"/>
      <w:r w:rsidDel="00000000" w:rsidR="00000000" w:rsidRPr="00000000">
        <w:rPr>
          <w:rtl w:val="0"/>
        </w:rPr>
        <w:t xml:space="preserve">Appendix 1 Analysis of Ratios</w:t>
      </w:r>
    </w:p>
    <w:p w:rsidR="00000000" w:rsidDel="00000000" w:rsidP="00000000" w:rsidRDefault="00000000" w:rsidRPr="00000000" w14:paraId="000001B0">
      <w:pPr>
        <w:pStyle w:val="Heading2"/>
        <w:rPr/>
      </w:pPr>
      <w:bookmarkStart w:colFirst="0" w:colLast="0" w:name="_heading=h.re8vd1s0ssku" w:id="31"/>
      <w:bookmarkEnd w:id="31"/>
      <w:r w:rsidDel="00000000" w:rsidR="00000000" w:rsidRPr="00000000">
        <w:rPr>
          <w:rtl w:val="0"/>
        </w:rPr>
        <w:t xml:space="preserve">Appendix 1.1 Profitability Ratios</w:t>
      </w:r>
    </w:p>
    <w:tbl>
      <w:tblPr>
        <w:tblStyle w:val="Table11"/>
        <w:tblW w:w="9026.0" w:type="dxa"/>
        <w:jc w:val="left"/>
        <w:tblBorders>
          <w:top w:color="95b3d7" w:space="0" w:sz="4" w:val="single"/>
          <w:left w:color="95b3d7" w:space="0" w:sz="4" w:val="single"/>
          <w:bottom w:color="95b3d7" w:space="0" w:sz="4" w:val="single"/>
          <w:right w:color="95b3d7" w:space="0" w:sz="4" w:val="single"/>
          <w:insideH w:color="95b3d7" w:space="0" w:sz="4" w:val="single"/>
          <w:insideV w:color="95b3d7" w:space="0" w:sz="4" w:val="single"/>
        </w:tblBorders>
        <w:tblLayout w:type="fixed"/>
        <w:tblLook w:val="04A0"/>
      </w:tblPr>
      <w:tblGrid>
        <w:gridCol w:w="1264"/>
        <w:gridCol w:w="1556"/>
        <w:gridCol w:w="1538"/>
        <w:gridCol w:w="1556"/>
        <w:gridCol w:w="1556"/>
        <w:gridCol w:w="1556"/>
        <w:tblGridChange w:id="0">
          <w:tblGrid>
            <w:gridCol w:w="1264"/>
            <w:gridCol w:w="1556"/>
            <w:gridCol w:w="1538"/>
            <w:gridCol w:w="1556"/>
            <w:gridCol w:w="1556"/>
            <w:gridCol w:w="1556"/>
          </w:tblGrid>
        </w:tblGridChange>
      </w:tblGrid>
      <w:tr>
        <w:trPr>
          <w:cantSplit w:val="0"/>
          <w:tblHeader w:val="0"/>
        </w:trPr>
        <w:tc>
          <w:tcPr/>
          <w:p w:rsidR="00000000" w:rsidDel="00000000" w:rsidP="00000000" w:rsidRDefault="00000000" w:rsidRPr="00000000" w14:paraId="000001B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Metric</w:t>
            </w:r>
          </w:p>
        </w:tc>
        <w:tc>
          <w:tcPr/>
          <w:p w:rsidR="00000000" w:rsidDel="00000000" w:rsidP="00000000" w:rsidRDefault="00000000" w:rsidRPr="00000000" w14:paraId="000001B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1B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1B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1B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1B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2020</w:t>
            </w:r>
          </w:p>
        </w:tc>
      </w:tr>
      <w:tr>
        <w:trPr>
          <w:cantSplit w:val="0"/>
          <w:tblHeader w:val="0"/>
        </w:trPr>
        <w:tc>
          <w:tcPr/>
          <w:p w:rsidR="00000000" w:rsidDel="00000000" w:rsidP="00000000" w:rsidRDefault="00000000" w:rsidRPr="00000000" w14:paraId="000001B7">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Gross Profit (£m)</w:t>
            </w:r>
            <w:r w:rsidDel="00000000" w:rsidR="00000000" w:rsidRPr="00000000">
              <w:rPr>
                <w:rtl w:val="0"/>
              </w:rPr>
            </w:r>
          </w:p>
        </w:tc>
        <w:tc>
          <w:tcPr/>
          <w:p w:rsidR="00000000" w:rsidDel="00000000" w:rsidP="00000000" w:rsidRDefault="00000000" w:rsidRPr="00000000" w14:paraId="000001B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113,994</w:t>
            </w:r>
          </w:p>
        </w:tc>
        <w:tc>
          <w:tcPr/>
          <w:p w:rsidR="00000000" w:rsidDel="00000000" w:rsidP="00000000" w:rsidRDefault="00000000" w:rsidRPr="00000000" w14:paraId="000001B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97,560</w:t>
            </w:r>
          </w:p>
        </w:tc>
        <w:tc>
          <w:tcPr/>
          <w:p w:rsidR="00000000" w:rsidDel="00000000" w:rsidP="00000000" w:rsidRDefault="00000000" w:rsidRPr="00000000" w14:paraId="000001B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152,292</w:t>
            </w:r>
          </w:p>
        </w:tc>
        <w:tc>
          <w:tcPr/>
          <w:p w:rsidR="00000000" w:rsidDel="00000000" w:rsidP="00000000" w:rsidRDefault="00000000" w:rsidRPr="00000000" w14:paraId="000001B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173,016</w:t>
            </w:r>
          </w:p>
        </w:tc>
        <w:tc>
          <w:tcPr/>
          <w:p w:rsidR="00000000" w:rsidDel="00000000" w:rsidP="00000000" w:rsidRDefault="00000000" w:rsidRPr="00000000" w14:paraId="000001B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176,256</w:t>
            </w:r>
          </w:p>
        </w:tc>
      </w:tr>
      <w:tr>
        <w:trPr>
          <w:cantSplit w:val="0"/>
          <w:tblHeader w:val="0"/>
        </w:trPr>
        <w:tc>
          <w:tcPr/>
          <w:p w:rsidR="00000000" w:rsidDel="00000000" w:rsidP="00000000" w:rsidRDefault="00000000" w:rsidRPr="00000000" w14:paraId="000001BD">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Net Sales (£m)</w:t>
            </w:r>
            <w:r w:rsidDel="00000000" w:rsidR="00000000" w:rsidRPr="00000000">
              <w:rPr>
                <w:rtl w:val="0"/>
              </w:rPr>
            </w:r>
          </w:p>
        </w:tc>
        <w:tc>
          <w:tcPr/>
          <w:p w:rsidR="00000000" w:rsidDel="00000000" w:rsidP="00000000" w:rsidRDefault="00000000" w:rsidRPr="00000000" w14:paraId="000001B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394,879</w:t>
            </w:r>
          </w:p>
        </w:tc>
        <w:tc>
          <w:tcPr/>
          <w:p w:rsidR="00000000" w:rsidDel="00000000" w:rsidP="00000000" w:rsidRDefault="00000000" w:rsidRPr="00000000" w14:paraId="000001B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420,457</w:t>
            </w:r>
          </w:p>
        </w:tc>
        <w:tc>
          <w:tcPr/>
          <w:p w:rsidR="00000000" w:rsidDel="00000000" w:rsidP="00000000" w:rsidRDefault="00000000" w:rsidRPr="00000000" w14:paraId="000001C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542,751</w:t>
            </w:r>
          </w:p>
        </w:tc>
        <w:tc>
          <w:tcPr/>
          <w:p w:rsidR="00000000" w:rsidDel="00000000" w:rsidP="00000000" w:rsidRDefault="00000000" w:rsidRPr="00000000" w14:paraId="000001C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601,602</w:t>
            </w:r>
          </w:p>
        </w:tc>
        <w:tc>
          <w:tcPr/>
          <w:p w:rsidR="00000000" w:rsidDel="00000000" w:rsidP="00000000" w:rsidRDefault="00000000" w:rsidRPr="00000000" w14:paraId="000001C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614,680</w:t>
            </w:r>
          </w:p>
        </w:tc>
      </w:tr>
      <w:tr>
        <w:trPr>
          <w:cantSplit w:val="0"/>
          <w:tblHeader w:val="0"/>
        </w:trPr>
        <w:tc>
          <w:tcPr/>
          <w:p w:rsidR="00000000" w:rsidDel="00000000" w:rsidP="00000000" w:rsidRDefault="00000000" w:rsidRPr="00000000" w14:paraId="000001C3">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Gross Profit Margin (%)</w:t>
            </w:r>
            <w:r w:rsidDel="00000000" w:rsidR="00000000" w:rsidRPr="00000000">
              <w:rPr>
                <w:rtl w:val="0"/>
              </w:rPr>
            </w:r>
          </w:p>
        </w:tc>
        <w:tc>
          <w:tcPr/>
          <w:p w:rsidR="00000000" w:rsidDel="00000000" w:rsidP="00000000" w:rsidRDefault="00000000" w:rsidRPr="00000000" w14:paraId="000001C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(113,994 / 394,879) * 100 = </w:t>
            </w:r>
            <w:r w:rsidDel="00000000" w:rsidR="00000000" w:rsidRPr="00000000">
              <w:rPr>
                <w:rFonts w:ascii="Arial" w:cs="Arial" w:eastAsia="Arial" w:hAnsi="Arial"/>
                <w:b w:val="1"/>
                <w:bCs w:val="1"/>
                <w:rtl w:val="0"/>
              </w:rPr>
              <w:t xml:space="preserve">28.87%</w:t>
            </w:r>
            <w:r w:rsidDel="00000000" w:rsidR="00000000" w:rsidRPr="00000000">
              <w:rPr>
                <w:rtl w:val="0"/>
              </w:rPr>
            </w:r>
          </w:p>
        </w:tc>
        <w:tc>
          <w:tcPr/>
          <w:p w:rsidR="00000000" w:rsidDel="00000000" w:rsidP="00000000" w:rsidRDefault="00000000" w:rsidRPr="00000000" w14:paraId="000001C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(97,560 / 420,457) * 100 = </w:t>
            </w:r>
            <w:r w:rsidDel="00000000" w:rsidR="00000000" w:rsidRPr="00000000">
              <w:rPr>
                <w:rFonts w:ascii="Arial" w:cs="Arial" w:eastAsia="Arial" w:hAnsi="Arial"/>
                <w:b w:val="1"/>
                <w:bCs w:val="1"/>
                <w:rtl w:val="0"/>
              </w:rPr>
              <w:t xml:space="preserve">23.23%</w:t>
            </w:r>
            <w:r w:rsidDel="00000000" w:rsidR="00000000" w:rsidRPr="00000000">
              <w:rPr>
                <w:rtl w:val="0"/>
              </w:rPr>
            </w:r>
          </w:p>
        </w:tc>
        <w:tc>
          <w:tcPr/>
          <w:p w:rsidR="00000000" w:rsidDel="00000000" w:rsidP="00000000" w:rsidRDefault="00000000" w:rsidRPr="00000000" w14:paraId="000001C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(152,292 / 542,751) * 100 = </w:t>
            </w:r>
            <w:r w:rsidDel="00000000" w:rsidR="00000000" w:rsidRPr="00000000">
              <w:rPr>
                <w:rFonts w:ascii="Arial" w:cs="Arial" w:eastAsia="Arial" w:hAnsi="Arial"/>
                <w:b w:val="1"/>
                <w:bCs w:val="1"/>
                <w:rtl w:val="0"/>
              </w:rPr>
              <w:t xml:space="preserve">28.06%</w:t>
            </w:r>
            <w:r w:rsidDel="00000000" w:rsidR="00000000" w:rsidRPr="00000000">
              <w:rPr>
                <w:rtl w:val="0"/>
              </w:rPr>
            </w:r>
          </w:p>
        </w:tc>
        <w:tc>
          <w:tcPr/>
          <w:p w:rsidR="00000000" w:rsidDel="00000000" w:rsidP="00000000" w:rsidRDefault="00000000" w:rsidRPr="00000000" w14:paraId="000001C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(173,016 / 601,602) * 100 = </w:t>
            </w:r>
            <w:r w:rsidDel="00000000" w:rsidR="00000000" w:rsidRPr="00000000">
              <w:rPr>
                <w:rFonts w:ascii="Arial" w:cs="Arial" w:eastAsia="Arial" w:hAnsi="Arial"/>
                <w:b w:val="1"/>
                <w:bCs w:val="1"/>
                <w:rtl w:val="0"/>
              </w:rPr>
              <w:t xml:space="preserve">28.74%</w:t>
            </w:r>
            <w:r w:rsidDel="00000000" w:rsidR="00000000" w:rsidRPr="00000000">
              <w:rPr>
                <w:rtl w:val="0"/>
              </w:rPr>
            </w:r>
          </w:p>
        </w:tc>
        <w:tc>
          <w:tcPr/>
          <w:p w:rsidR="00000000" w:rsidDel="00000000" w:rsidP="00000000" w:rsidRDefault="00000000" w:rsidRPr="00000000" w14:paraId="000001C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(176,256 / 614,680) * 100 = </w:t>
            </w:r>
            <w:r w:rsidDel="00000000" w:rsidR="00000000" w:rsidRPr="00000000">
              <w:rPr>
                <w:rFonts w:ascii="Arial" w:cs="Arial" w:eastAsia="Arial" w:hAnsi="Arial"/>
                <w:b w:val="1"/>
                <w:bCs w:val="1"/>
                <w:rtl w:val="0"/>
              </w:rPr>
              <w:t xml:space="preserve">28.62%</w:t>
            </w:r>
            <w:r w:rsidDel="00000000" w:rsidR="00000000" w:rsidRPr="00000000">
              <w:rPr>
                <w:rtl w:val="0"/>
              </w:rPr>
            </w:r>
          </w:p>
        </w:tc>
      </w:tr>
    </w:tbl>
    <w:p w:rsidR="00000000" w:rsidDel="00000000" w:rsidP="00000000" w:rsidRDefault="00000000" w:rsidRPr="00000000" w14:paraId="000001C9">
      <w:pPr>
        <w:rPr/>
      </w:pPr>
      <w:r w:rsidDel="00000000" w:rsidR="00000000" w:rsidRPr="00000000">
        <w:rPr>
          <w:rtl w:val="0"/>
        </w:rPr>
      </w:r>
    </w:p>
    <w:tbl>
      <w:tblPr>
        <w:tblStyle w:val="Table12"/>
        <w:tblW w:w="9026.0" w:type="dxa"/>
        <w:jc w:val="left"/>
        <w:tblBorders>
          <w:top w:color="95b3d7" w:space="0" w:sz="4" w:val="single"/>
          <w:left w:color="95b3d7" w:space="0" w:sz="4" w:val="single"/>
          <w:bottom w:color="95b3d7" w:space="0" w:sz="4" w:val="single"/>
          <w:right w:color="95b3d7" w:space="0" w:sz="4" w:val="single"/>
          <w:insideH w:color="95b3d7" w:space="0" w:sz="4" w:val="single"/>
          <w:insideV w:color="95b3d7" w:space="0" w:sz="4" w:val="single"/>
        </w:tblBorders>
        <w:tblLayout w:type="fixed"/>
        <w:tblLook w:val="04A0"/>
      </w:tblPr>
      <w:tblGrid>
        <w:gridCol w:w="1590"/>
        <w:gridCol w:w="1496"/>
        <w:gridCol w:w="1512"/>
        <w:gridCol w:w="1476"/>
        <w:gridCol w:w="1476"/>
        <w:gridCol w:w="1476"/>
        <w:tblGridChange w:id="0">
          <w:tblGrid>
            <w:gridCol w:w="1590"/>
            <w:gridCol w:w="1496"/>
            <w:gridCol w:w="1512"/>
            <w:gridCol w:w="1476"/>
            <w:gridCol w:w="1476"/>
            <w:gridCol w:w="1476"/>
          </w:tblGrid>
        </w:tblGridChange>
      </w:tblGrid>
      <w:tr>
        <w:trPr>
          <w:cantSplit w:val="0"/>
          <w:tblHeader w:val="0"/>
        </w:trPr>
        <w:tc>
          <w:tcPr/>
          <w:p w:rsidR="00000000" w:rsidDel="00000000" w:rsidP="00000000" w:rsidRDefault="00000000" w:rsidRPr="00000000" w14:paraId="000001C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Metric</w:t>
            </w:r>
          </w:p>
        </w:tc>
        <w:tc>
          <w:tcPr/>
          <w:p w:rsidR="00000000" w:rsidDel="00000000" w:rsidP="00000000" w:rsidRDefault="00000000" w:rsidRPr="00000000" w14:paraId="000001C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1C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1C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1C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1C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2020</w:t>
            </w:r>
          </w:p>
        </w:tc>
      </w:tr>
      <w:tr>
        <w:trPr>
          <w:cantSplit w:val="0"/>
          <w:tblHeader w:val="0"/>
        </w:trPr>
        <w:tc>
          <w:tcPr/>
          <w:p w:rsidR="00000000" w:rsidDel="00000000" w:rsidP="00000000" w:rsidRDefault="00000000" w:rsidRPr="00000000" w14:paraId="000001D0">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Operating Income (£m)</w:t>
            </w:r>
            <w:r w:rsidDel="00000000" w:rsidR="00000000" w:rsidRPr="00000000">
              <w:rPr>
                <w:rtl w:val="0"/>
              </w:rPr>
            </w:r>
          </w:p>
        </w:tc>
        <w:tc>
          <w:tcPr/>
          <w:p w:rsidR="00000000" w:rsidDel="00000000" w:rsidP="00000000" w:rsidRDefault="00000000" w:rsidRPr="00000000" w14:paraId="000001D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-15,297</w:t>
            </w:r>
          </w:p>
        </w:tc>
        <w:tc>
          <w:tcPr/>
          <w:p w:rsidR="00000000" w:rsidDel="00000000" w:rsidP="00000000" w:rsidRDefault="00000000" w:rsidRPr="00000000" w14:paraId="000001D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-85,301</w:t>
            </w:r>
          </w:p>
        </w:tc>
        <w:tc>
          <w:tcPr/>
          <w:p w:rsidR="00000000" w:rsidDel="00000000" w:rsidP="00000000" w:rsidRDefault="00000000" w:rsidRPr="00000000" w14:paraId="000001D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14,548</w:t>
            </w:r>
          </w:p>
        </w:tc>
        <w:tc>
          <w:tcPr/>
          <w:p w:rsidR="00000000" w:rsidDel="00000000" w:rsidP="00000000" w:rsidRDefault="00000000" w:rsidRPr="00000000" w14:paraId="000001D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23,253</w:t>
            </w:r>
          </w:p>
        </w:tc>
        <w:tc>
          <w:tcPr/>
          <w:p w:rsidR="00000000" w:rsidDel="00000000" w:rsidP="00000000" w:rsidRDefault="00000000" w:rsidRPr="00000000" w14:paraId="000001D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37,267</w:t>
            </w:r>
          </w:p>
        </w:tc>
      </w:tr>
      <w:tr>
        <w:trPr>
          <w:cantSplit w:val="0"/>
          <w:tblHeader w:val="0"/>
        </w:trPr>
        <w:tc>
          <w:tcPr/>
          <w:p w:rsidR="00000000" w:rsidDel="00000000" w:rsidP="00000000" w:rsidRDefault="00000000" w:rsidRPr="00000000" w14:paraId="000001D6">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Net Sales (£m)</w:t>
            </w:r>
            <w:r w:rsidDel="00000000" w:rsidR="00000000" w:rsidRPr="00000000">
              <w:rPr>
                <w:rtl w:val="0"/>
              </w:rPr>
            </w:r>
          </w:p>
        </w:tc>
        <w:tc>
          <w:tcPr/>
          <w:p w:rsidR="00000000" w:rsidDel="00000000" w:rsidP="00000000" w:rsidRDefault="00000000" w:rsidRPr="00000000" w14:paraId="000001D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394,879</w:t>
            </w:r>
          </w:p>
        </w:tc>
        <w:tc>
          <w:tcPr/>
          <w:p w:rsidR="00000000" w:rsidDel="00000000" w:rsidP="00000000" w:rsidRDefault="00000000" w:rsidRPr="00000000" w14:paraId="000001D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420,457</w:t>
            </w:r>
          </w:p>
        </w:tc>
        <w:tc>
          <w:tcPr/>
          <w:p w:rsidR="00000000" w:rsidDel="00000000" w:rsidP="00000000" w:rsidRDefault="00000000" w:rsidRPr="00000000" w14:paraId="000001D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542,751</w:t>
            </w:r>
          </w:p>
        </w:tc>
        <w:tc>
          <w:tcPr/>
          <w:p w:rsidR="00000000" w:rsidDel="00000000" w:rsidP="00000000" w:rsidRDefault="00000000" w:rsidRPr="00000000" w14:paraId="000001D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601,602</w:t>
            </w:r>
          </w:p>
        </w:tc>
        <w:tc>
          <w:tcPr/>
          <w:p w:rsidR="00000000" w:rsidDel="00000000" w:rsidP="00000000" w:rsidRDefault="00000000" w:rsidRPr="00000000" w14:paraId="000001D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614,680</w:t>
            </w:r>
          </w:p>
        </w:tc>
      </w:tr>
      <w:tr>
        <w:trPr>
          <w:cantSplit w:val="0"/>
          <w:tblHeader w:val="0"/>
        </w:trPr>
        <w:tc>
          <w:tcPr/>
          <w:p w:rsidR="00000000" w:rsidDel="00000000" w:rsidP="00000000" w:rsidRDefault="00000000" w:rsidRPr="00000000" w14:paraId="000001DC">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Operating Profit Margin (%)</w:t>
            </w:r>
            <w:r w:rsidDel="00000000" w:rsidR="00000000" w:rsidRPr="00000000">
              <w:rPr>
                <w:rtl w:val="0"/>
              </w:rPr>
            </w:r>
          </w:p>
        </w:tc>
        <w:tc>
          <w:tcPr/>
          <w:p w:rsidR="00000000" w:rsidDel="00000000" w:rsidP="00000000" w:rsidRDefault="00000000" w:rsidRPr="00000000" w14:paraId="000001D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(-15,297 / 394,879) * 100 = </w:t>
            </w:r>
            <w:r w:rsidDel="00000000" w:rsidR="00000000" w:rsidRPr="00000000">
              <w:rPr>
                <w:rFonts w:ascii="Arial" w:cs="Arial" w:eastAsia="Arial" w:hAnsi="Arial"/>
                <w:b w:val="1"/>
                <w:bCs w:val="1"/>
                <w:rtl w:val="0"/>
              </w:rPr>
              <w:t xml:space="preserve">-3.88%</w:t>
            </w:r>
            <w:r w:rsidDel="00000000" w:rsidR="00000000" w:rsidRPr="00000000">
              <w:rPr>
                <w:rtl w:val="0"/>
              </w:rPr>
            </w:r>
          </w:p>
        </w:tc>
        <w:tc>
          <w:tcPr/>
          <w:p w:rsidR="00000000" w:rsidDel="00000000" w:rsidP="00000000" w:rsidRDefault="00000000" w:rsidRPr="00000000" w14:paraId="000001D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(-85,301 / 420,457) * 100 = </w:t>
            </w:r>
            <w:r w:rsidDel="00000000" w:rsidR="00000000" w:rsidRPr="00000000">
              <w:rPr>
                <w:rFonts w:ascii="Arial" w:cs="Arial" w:eastAsia="Arial" w:hAnsi="Arial"/>
                <w:b w:val="1"/>
                <w:bCs w:val="1"/>
                <w:rtl w:val="0"/>
              </w:rPr>
              <w:t xml:space="preserve">-20.29%</w:t>
            </w:r>
            <w:r w:rsidDel="00000000" w:rsidR="00000000" w:rsidRPr="00000000">
              <w:rPr>
                <w:rtl w:val="0"/>
              </w:rPr>
            </w:r>
          </w:p>
        </w:tc>
        <w:tc>
          <w:tcPr/>
          <w:p w:rsidR="00000000" w:rsidDel="00000000" w:rsidP="00000000" w:rsidRDefault="00000000" w:rsidRPr="00000000" w14:paraId="000001D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(14,548 / 542,751) * 100 = </w:t>
            </w:r>
            <w:r w:rsidDel="00000000" w:rsidR="00000000" w:rsidRPr="00000000">
              <w:rPr>
                <w:rFonts w:ascii="Arial" w:cs="Arial" w:eastAsia="Arial" w:hAnsi="Arial"/>
                <w:b w:val="1"/>
                <w:bCs w:val="1"/>
                <w:rtl w:val="0"/>
              </w:rPr>
              <w:t xml:space="preserve">2.68%</w:t>
            </w:r>
            <w:r w:rsidDel="00000000" w:rsidR="00000000" w:rsidRPr="00000000">
              <w:rPr>
                <w:rtl w:val="0"/>
              </w:rPr>
            </w:r>
          </w:p>
        </w:tc>
        <w:tc>
          <w:tcPr/>
          <w:p w:rsidR="00000000" w:rsidDel="00000000" w:rsidP="00000000" w:rsidRDefault="00000000" w:rsidRPr="00000000" w14:paraId="000001E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(23,253 / 601,602) * 100 = </w:t>
            </w:r>
            <w:r w:rsidDel="00000000" w:rsidR="00000000" w:rsidRPr="00000000">
              <w:rPr>
                <w:rFonts w:ascii="Arial" w:cs="Arial" w:eastAsia="Arial" w:hAnsi="Arial"/>
                <w:b w:val="1"/>
                <w:bCs w:val="1"/>
                <w:rtl w:val="0"/>
              </w:rPr>
              <w:t xml:space="preserve">3.87%</w:t>
            </w:r>
            <w:r w:rsidDel="00000000" w:rsidR="00000000" w:rsidRPr="00000000">
              <w:rPr>
                <w:rtl w:val="0"/>
              </w:rPr>
            </w:r>
          </w:p>
        </w:tc>
        <w:tc>
          <w:tcPr/>
          <w:p w:rsidR="00000000" w:rsidDel="00000000" w:rsidP="00000000" w:rsidRDefault="00000000" w:rsidRPr="00000000" w14:paraId="000001E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(37,267 / 614,680) * 100 = </w:t>
            </w:r>
            <w:r w:rsidDel="00000000" w:rsidR="00000000" w:rsidRPr="00000000">
              <w:rPr>
                <w:rFonts w:ascii="Arial" w:cs="Arial" w:eastAsia="Arial" w:hAnsi="Arial"/>
                <w:b w:val="1"/>
                <w:bCs w:val="1"/>
                <w:rtl w:val="0"/>
              </w:rPr>
              <w:t xml:space="preserve">6.05%</w:t>
            </w:r>
            <w:r w:rsidDel="00000000" w:rsidR="00000000" w:rsidRPr="00000000">
              <w:rPr>
                <w:rtl w:val="0"/>
              </w:rPr>
            </w:r>
          </w:p>
        </w:tc>
      </w:tr>
    </w:tbl>
    <w:p w:rsidR="00000000" w:rsidDel="00000000" w:rsidP="00000000" w:rsidRDefault="00000000" w:rsidRPr="00000000" w14:paraId="000001E2">
      <w:pPr>
        <w:rPr/>
      </w:pPr>
      <w:r w:rsidDel="00000000" w:rsidR="00000000" w:rsidRPr="00000000">
        <w:rPr>
          <w:rtl w:val="0"/>
        </w:rPr>
      </w:r>
    </w:p>
    <w:tbl>
      <w:tblPr>
        <w:tblStyle w:val="Table13"/>
        <w:tblW w:w="9026.0" w:type="dxa"/>
        <w:jc w:val="left"/>
        <w:tblBorders>
          <w:top w:color="95b3d7" w:space="0" w:sz="4" w:val="single"/>
          <w:left w:color="95b3d7" w:space="0" w:sz="4" w:val="single"/>
          <w:bottom w:color="95b3d7" w:space="0" w:sz="4" w:val="single"/>
          <w:right w:color="95b3d7" w:space="0" w:sz="4" w:val="single"/>
          <w:insideH w:color="95b3d7" w:space="0" w:sz="4" w:val="single"/>
          <w:insideV w:color="95b3d7" w:space="0" w:sz="4" w:val="single"/>
        </w:tblBorders>
        <w:tblLayout w:type="fixed"/>
        <w:tblLook w:val="04A0"/>
      </w:tblPr>
      <w:tblGrid>
        <w:gridCol w:w="1309"/>
        <w:gridCol w:w="1570"/>
        <w:gridCol w:w="1592"/>
        <w:gridCol w:w="1489"/>
        <w:gridCol w:w="1522"/>
        <w:gridCol w:w="1544"/>
        <w:tblGridChange w:id="0">
          <w:tblGrid>
            <w:gridCol w:w="1309"/>
            <w:gridCol w:w="1570"/>
            <w:gridCol w:w="1592"/>
            <w:gridCol w:w="1489"/>
            <w:gridCol w:w="1522"/>
            <w:gridCol w:w="1544"/>
          </w:tblGrid>
        </w:tblGridChange>
      </w:tblGrid>
      <w:tr>
        <w:trPr>
          <w:cantSplit w:val="0"/>
          <w:tblHeader w:val="0"/>
        </w:trPr>
        <w:tc>
          <w:tcPr/>
          <w:p w:rsidR="00000000" w:rsidDel="00000000" w:rsidP="00000000" w:rsidRDefault="00000000" w:rsidRPr="00000000" w14:paraId="000001E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Metric</w:t>
            </w:r>
          </w:p>
        </w:tc>
        <w:tc>
          <w:tcPr/>
          <w:p w:rsidR="00000000" w:rsidDel="00000000" w:rsidP="00000000" w:rsidRDefault="00000000" w:rsidRPr="00000000" w14:paraId="000001E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1E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1E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1E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1E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2020</w:t>
            </w:r>
          </w:p>
        </w:tc>
      </w:tr>
      <w:tr>
        <w:trPr>
          <w:cantSplit w:val="0"/>
          <w:tblHeader w:val="0"/>
        </w:trPr>
        <w:tc>
          <w:tcPr/>
          <w:p w:rsidR="00000000" w:rsidDel="00000000" w:rsidP="00000000" w:rsidRDefault="00000000" w:rsidRPr="00000000" w14:paraId="000001E9">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Net Income (£m)</w:t>
            </w:r>
            <w:r w:rsidDel="00000000" w:rsidR="00000000" w:rsidRPr="00000000">
              <w:rPr>
                <w:rtl w:val="0"/>
              </w:rPr>
            </w:r>
          </w:p>
        </w:tc>
        <w:tc>
          <w:tcPr/>
          <w:p w:rsidR="00000000" w:rsidDel="00000000" w:rsidP="00000000" w:rsidRDefault="00000000" w:rsidRPr="00000000" w14:paraId="000001E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-24,029</w:t>
            </w:r>
          </w:p>
        </w:tc>
        <w:tc>
          <w:tcPr/>
          <w:p w:rsidR="00000000" w:rsidDel="00000000" w:rsidP="00000000" w:rsidRDefault="00000000" w:rsidRPr="00000000" w14:paraId="000001E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-98,238</w:t>
            </w:r>
          </w:p>
        </w:tc>
        <w:tc>
          <w:tcPr/>
          <w:p w:rsidR="00000000" w:rsidDel="00000000" w:rsidP="00000000" w:rsidRDefault="00000000" w:rsidRPr="00000000" w14:paraId="000001E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407</w:t>
            </w:r>
          </w:p>
        </w:tc>
        <w:tc>
          <w:tcPr/>
          <w:p w:rsidR="00000000" w:rsidDel="00000000" w:rsidP="00000000" w:rsidRDefault="00000000" w:rsidRPr="00000000" w14:paraId="000001E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5,301</w:t>
            </w:r>
          </w:p>
        </w:tc>
        <w:tc>
          <w:tcPr/>
          <w:p w:rsidR="00000000" w:rsidDel="00000000" w:rsidP="00000000" w:rsidRDefault="00000000" w:rsidRPr="00000000" w14:paraId="000001E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38,572</w:t>
            </w:r>
          </w:p>
        </w:tc>
      </w:tr>
      <w:tr>
        <w:trPr>
          <w:cantSplit w:val="0"/>
          <w:tblHeader w:val="0"/>
        </w:trPr>
        <w:tc>
          <w:tcPr/>
          <w:p w:rsidR="00000000" w:rsidDel="00000000" w:rsidP="00000000" w:rsidRDefault="00000000" w:rsidRPr="00000000" w14:paraId="000001EF">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Net Sales (£m)</w:t>
            </w:r>
            <w:r w:rsidDel="00000000" w:rsidR="00000000" w:rsidRPr="00000000">
              <w:rPr>
                <w:rtl w:val="0"/>
              </w:rPr>
            </w:r>
          </w:p>
        </w:tc>
        <w:tc>
          <w:tcPr/>
          <w:p w:rsidR="00000000" w:rsidDel="00000000" w:rsidP="00000000" w:rsidRDefault="00000000" w:rsidRPr="00000000" w14:paraId="000001F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394,879</w:t>
            </w:r>
          </w:p>
        </w:tc>
        <w:tc>
          <w:tcPr/>
          <w:p w:rsidR="00000000" w:rsidDel="00000000" w:rsidP="00000000" w:rsidRDefault="00000000" w:rsidRPr="00000000" w14:paraId="000001F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420,457</w:t>
            </w:r>
          </w:p>
        </w:tc>
        <w:tc>
          <w:tcPr/>
          <w:p w:rsidR="00000000" w:rsidDel="00000000" w:rsidP="00000000" w:rsidRDefault="00000000" w:rsidRPr="00000000" w14:paraId="000001F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542,751</w:t>
            </w:r>
          </w:p>
        </w:tc>
        <w:tc>
          <w:tcPr/>
          <w:p w:rsidR="00000000" w:rsidDel="00000000" w:rsidP="00000000" w:rsidRDefault="00000000" w:rsidRPr="00000000" w14:paraId="000001F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601,602</w:t>
            </w:r>
          </w:p>
        </w:tc>
        <w:tc>
          <w:tcPr/>
          <w:p w:rsidR="00000000" w:rsidDel="00000000" w:rsidP="00000000" w:rsidRDefault="00000000" w:rsidRPr="00000000" w14:paraId="000001F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614,680</w:t>
            </w:r>
          </w:p>
        </w:tc>
      </w:tr>
      <w:tr>
        <w:trPr>
          <w:cantSplit w:val="0"/>
          <w:tblHeader w:val="0"/>
        </w:trPr>
        <w:tc>
          <w:tcPr/>
          <w:p w:rsidR="00000000" w:rsidDel="00000000" w:rsidP="00000000" w:rsidRDefault="00000000" w:rsidRPr="00000000" w14:paraId="000001F5">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Net Profit Margin (%)</w:t>
            </w:r>
            <w:r w:rsidDel="00000000" w:rsidR="00000000" w:rsidRPr="00000000">
              <w:rPr>
                <w:rtl w:val="0"/>
              </w:rPr>
            </w:r>
          </w:p>
        </w:tc>
        <w:tc>
          <w:tcPr/>
          <w:p w:rsidR="00000000" w:rsidDel="00000000" w:rsidP="00000000" w:rsidRDefault="00000000" w:rsidRPr="00000000" w14:paraId="000001F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 -24,029 / 394,879 ) * 100 = </w:t>
            </w:r>
            <w:r w:rsidDel="00000000" w:rsidR="00000000" w:rsidRPr="00000000">
              <w:rPr>
                <w:rFonts w:ascii="Arial" w:cs="Arial" w:eastAsia="Arial" w:hAnsi="Arial"/>
                <w:b w:val="1"/>
                <w:bCs w:val="1"/>
                <w:rtl w:val="0"/>
              </w:rPr>
              <w:t xml:space="preserve">-6.09%</w:t>
            </w:r>
            <w:r w:rsidDel="00000000" w:rsidR="00000000" w:rsidRPr="00000000">
              <w:rPr>
                <w:rtl w:val="0"/>
              </w:rPr>
            </w:r>
          </w:p>
        </w:tc>
        <w:tc>
          <w:tcPr/>
          <w:p w:rsidR="00000000" w:rsidDel="00000000" w:rsidP="00000000" w:rsidRDefault="00000000" w:rsidRPr="00000000" w14:paraId="000001F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 -98,238 / 420,457 ) * 100 = </w:t>
            </w:r>
            <w:r w:rsidDel="00000000" w:rsidR="00000000" w:rsidRPr="00000000">
              <w:rPr>
                <w:rFonts w:ascii="Arial" w:cs="Arial" w:eastAsia="Arial" w:hAnsi="Arial"/>
                <w:b w:val="1"/>
                <w:bCs w:val="1"/>
                <w:rtl w:val="0"/>
              </w:rPr>
              <w:t xml:space="preserve">-23.39%</w:t>
            </w:r>
            <w:r w:rsidDel="00000000" w:rsidR="00000000" w:rsidRPr="00000000">
              <w:rPr>
                <w:rtl w:val="0"/>
              </w:rPr>
            </w:r>
          </w:p>
        </w:tc>
        <w:tc>
          <w:tcPr/>
          <w:p w:rsidR="00000000" w:rsidDel="00000000" w:rsidP="00000000" w:rsidRDefault="00000000" w:rsidRPr="00000000" w14:paraId="000001F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( 407 / 542,751 ) * 100 = </w:t>
            </w:r>
            <w:r w:rsidDel="00000000" w:rsidR="00000000" w:rsidRPr="00000000">
              <w:rPr>
                <w:rFonts w:ascii="Arial" w:cs="Arial" w:eastAsia="Arial" w:hAnsi="Arial"/>
                <w:b w:val="1"/>
                <w:bCs w:val="1"/>
                <w:rtl w:val="0"/>
              </w:rPr>
              <w:t xml:space="preserve">0.08%</w:t>
            </w:r>
            <w:r w:rsidDel="00000000" w:rsidR="00000000" w:rsidRPr="00000000">
              <w:rPr>
                <w:rtl w:val="0"/>
              </w:rPr>
            </w:r>
          </w:p>
        </w:tc>
        <w:tc>
          <w:tcPr/>
          <w:p w:rsidR="00000000" w:rsidDel="00000000" w:rsidP="00000000" w:rsidRDefault="00000000" w:rsidRPr="00000000" w14:paraId="000001F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( 5,301 / 601,602 ) * 100 = </w:t>
            </w:r>
            <w:r w:rsidDel="00000000" w:rsidR="00000000" w:rsidRPr="00000000">
              <w:rPr>
                <w:rFonts w:ascii="Arial" w:cs="Arial" w:eastAsia="Arial" w:hAnsi="Arial"/>
                <w:b w:val="1"/>
                <w:bCs w:val="1"/>
                <w:rtl w:val="0"/>
              </w:rPr>
              <w:t xml:space="preserve">0.88%</w:t>
            </w:r>
            <w:r w:rsidDel="00000000" w:rsidR="00000000" w:rsidRPr="00000000">
              <w:rPr>
                <w:rtl w:val="0"/>
              </w:rPr>
            </w:r>
          </w:p>
        </w:tc>
        <w:tc>
          <w:tcPr/>
          <w:p w:rsidR="00000000" w:rsidDel="00000000" w:rsidP="00000000" w:rsidRDefault="00000000" w:rsidRPr="00000000" w14:paraId="000001F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( 38,572 / 614,680 ) * 100 = </w:t>
            </w:r>
            <w:r w:rsidDel="00000000" w:rsidR="00000000" w:rsidRPr="00000000">
              <w:rPr>
                <w:rFonts w:ascii="Arial" w:cs="Arial" w:eastAsia="Arial" w:hAnsi="Arial"/>
                <w:b w:val="1"/>
                <w:bCs w:val="1"/>
                <w:rtl w:val="0"/>
              </w:rPr>
              <w:t xml:space="preserve">6.28%</w:t>
            </w:r>
            <w:r w:rsidDel="00000000" w:rsidR="00000000" w:rsidRPr="00000000">
              <w:rPr>
                <w:rtl w:val="0"/>
              </w:rPr>
            </w:r>
          </w:p>
        </w:tc>
      </w:tr>
    </w:tbl>
    <w:p w:rsidR="00000000" w:rsidDel="00000000" w:rsidP="00000000" w:rsidRDefault="00000000" w:rsidRPr="00000000" w14:paraId="000001FB">
      <w:pPr>
        <w:rPr/>
      </w:pPr>
      <w:r w:rsidDel="00000000" w:rsidR="00000000" w:rsidRPr="00000000">
        <w:rPr>
          <w:rtl w:val="0"/>
        </w:rPr>
      </w:r>
    </w:p>
    <w:tbl>
      <w:tblPr>
        <w:tblStyle w:val="Table14"/>
        <w:tblW w:w="9026.000000000002" w:type="dxa"/>
        <w:jc w:val="left"/>
        <w:tblBorders>
          <w:top w:color="95b3d7" w:space="0" w:sz="4" w:val="single"/>
          <w:left w:color="95b3d7" w:space="0" w:sz="4" w:val="single"/>
          <w:bottom w:color="95b3d7" w:space="0" w:sz="4" w:val="single"/>
          <w:right w:color="95b3d7" w:space="0" w:sz="4" w:val="single"/>
          <w:insideH w:color="95b3d7" w:space="0" w:sz="4" w:val="single"/>
          <w:insideV w:color="95b3d7" w:space="0" w:sz="4" w:val="single"/>
        </w:tblBorders>
        <w:tblLayout w:type="fixed"/>
        <w:tblLook w:val="04A0"/>
      </w:tblPr>
      <w:tblGrid>
        <w:gridCol w:w="1316"/>
        <w:gridCol w:w="1568"/>
        <w:gridCol w:w="1590"/>
        <w:gridCol w:w="1488"/>
        <w:gridCol w:w="1521"/>
        <w:gridCol w:w="1543"/>
        <w:tblGridChange w:id="0">
          <w:tblGrid>
            <w:gridCol w:w="1316"/>
            <w:gridCol w:w="1568"/>
            <w:gridCol w:w="1590"/>
            <w:gridCol w:w="1488"/>
            <w:gridCol w:w="1521"/>
            <w:gridCol w:w="1543"/>
          </w:tblGrid>
        </w:tblGridChange>
      </w:tblGrid>
      <w:tr>
        <w:trPr>
          <w:cantSplit w:val="0"/>
          <w:tblHeader w:val="0"/>
        </w:trPr>
        <w:tc>
          <w:tcPr/>
          <w:p w:rsidR="00000000" w:rsidDel="00000000" w:rsidP="00000000" w:rsidRDefault="00000000" w:rsidRPr="00000000" w14:paraId="000001F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Metric</w:t>
            </w:r>
          </w:p>
        </w:tc>
        <w:tc>
          <w:tcPr/>
          <w:p w:rsidR="00000000" w:rsidDel="00000000" w:rsidP="00000000" w:rsidRDefault="00000000" w:rsidRPr="00000000" w14:paraId="000001F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1F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1F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20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20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2020</w:t>
            </w:r>
          </w:p>
        </w:tc>
      </w:tr>
      <w:tr>
        <w:trPr>
          <w:cantSplit w:val="0"/>
          <w:tblHeader w:val="0"/>
        </w:trPr>
        <w:tc>
          <w:tcPr/>
          <w:p w:rsidR="00000000" w:rsidDel="00000000" w:rsidP="00000000" w:rsidRDefault="00000000" w:rsidRPr="00000000" w14:paraId="00000202">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Net Income (£m)</w:t>
            </w:r>
            <w:r w:rsidDel="00000000" w:rsidR="00000000" w:rsidRPr="00000000">
              <w:rPr>
                <w:rtl w:val="0"/>
              </w:rPr>
            </w:r>
          </w:p>
        </w:tc>
        <w:tc>
          <w:tcPr/>
          <w:p w:rsidR="00000000" w:rsidDel="00000000" w:rsidP="00000000" w:rsidRDefault="00000000" w:rsidRPr="00000000" w14:paraId="0000020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-24,029</w:t>
            </w:r>
          </w:p>
        </w:tc>
        <w:tc>
          <w:tcPr/>
          <w:p w:rsidR="00000000" w:rsidDel="00000000" w:rsidP="00000000" w:rsidRDefault="00000000" w:rsidRPr="00000000" w14:paraId="0000020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-98,238</w:t>
            </w:r>
          </w:p>
        </w:tc>
        <w:tc>
          <w:tcPr/>
          <w:p w:rsidR="00000000" w:rsidDel="00000000" w:rsidP="00000000" w:rsidRDefault="00000000" w:rsidRPr="00000000" w14:paraId="0000020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407</w:t>
            </w:r>
          </w:p>
        </w:tc>
        <w:tc>
          <w:tcPr/>
          <w:p w:rsidR="00000000" w:rsidDel="00000000" w:rsidP="00000000" w:rsidRDefault="00000000" w:rsidRPr="00000000" w14:paraId="0000020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5,301</w:t>
            </w:r>
          </w:p>
        </w:tc>
        <w:tc>
          <w:tcPr/>
          <w:p w:rsidR="00000000" w:rsidDel="00000000" w:rsidP="00000000" w:rsidRDefault="00000000" w:rsidRPr="00000000" w14:paraId="0000020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38,572</w:t>
            </w:r>
          </w:p>
        </w:tc>
      </w:tr>
      <w:tr>
        <w:trPr>
          <w:cantSplit w:val="0"/>
          <w:tblHeader w:val="0"/>
        </w:trPr>
        <w:tc>
          <w:tcPr/>
          <w:p w:rsidR="00000000" w:rsidDel="00000000" w:rsidP="00000000" w:rsidRDefault="00000000" w:rsidRPr="00000000" w14:paraId="00000208">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Total Assets (£m)</w:t>
            </w:r>
            <w:r w:rsidDel="00000000" w:rsidR="00000000" w:rsidRPr="00000000">
              <w:rPr>
                <w:rtl w:val="0"/>
              </w:rPr>
            </w:r>
          </w:p>
        </w:tc>
        <w:tc>
          <w:tcPr/>
          <w:p w:rsidR="00000000" w:rsidDel="00000000" w:rsidP="00000000" w:rsidRDefault="00000000" w:rsidRPr="00000000" w14:paraId="0000020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323,354</w:t>
            </w:r>
          </w:p>
        </w:tc>
        <w:tc>
          <w:tcPr/>
          <w:p w:rsidR="00000000" w:rsidDel="00000000" w:rsidP="00000000" w:rsidRDefault="00000000" w:rsidRPr="00000000" w14:paraId="0000020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355,872</w:t>
            </w:r>
          </w:p>
        </w:tc>
        <w:tc>
          <w:tcPr/>
          <w:p w:rsidR="00000000" w:rsidDel="00000000" w:rsidP="00000000" w:rsidRDefault="00000000" w:rsidRPr="00000000" w14:paraId="0000020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504,163</w:t>
            </w:r>
          </w:p>
        </w:tc>
        <w:tc>
          <w:tcPr/>
          <w:p w:rsidR="00000000" w:rsidDel="00000000" w:rsidP="00000000" w:rsidRDefault="00000000" w:rsidRPr="00000000" w14:paraId="0000020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510,348</w:t>
            </w:r>
          </w:p>
        </w:tc>
        <w:tc>
          <w:tcPr/>
          <w:p w:rsidR="00000000" w:rsidDel="00000000" w:rsidP="00000000" w:rsidRDefault="00000000" w:rsidRPr="00000000" w14:paraId="0000020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510,290</w:t>
            </w:r>
          </w:p>
        </w:tc>
      </w:tr>
      <w:tr>
        <w:trPr>
          <w:cantSplit w:val="0"/>
          <w:tblHeader w:val="0"/>
        </w:trPr>
        <w:tc>
          <w:tcPr/>
          <w:p w:rsidR="00000000" w:rsidDel="00000000" w:rsidP="00000000" w:rsidRDefault="00000000" w:rsidRPr="00000000" w14:paraId="0000020E">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Return on Assets (%)</w:t>
            </w:r>
            <w:r w:rsidDel="00000000" w:rsidR="00000000" w:rsidRPr="00000000">
              <w:rPr>
                <w:rtl w:val="0"/>
              </w:rPr>
            </w:r>
          </w:p>
        </w:tc>
        <w:tc>
          <w:tcPr/>
          <w:p w:rsidR="00000000" w:rsidDel="00000000" w:rsidP="00000000" w:rsidRDefault="00000000" w:rsidRPr="00000000" w14:paraId="0000020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 -24,029 / 323,354 ) * 100 = </w:t>
            </w:r>
            <w:r w:rsidDel="00000000" w:rsidR="00000000" w:rsidRPr="00000000">
              <w:rPr>
                <w:rFonts w:ascii="Arial" w:cs="Arial" w:eastAsia="Arial" w:hAnsi="Arial"/>
                <w:b w:val="1"/>
                <w:bCs w:val="1"/>
                <w:rtl w:val="0"/>
              </w:rPr>
              <w:t xml:space="preserve">-7.43%</w:t>
            </w:r>
            <w:r w:rsidDel="00000000" w:rsidR="00000000" w:rsidRPr="00000000">
              <w:rPr>
                <w:rtl w:val="0"/>
              </w:rPr>
            </w:r>
          </w:p>
        </w:tc>
        <w:tc>
          <w:tcPr/>
          <w:p w:rsidR="00000000" w:rsidDel="00000000" w:rsidP="00000000" w:rsidRDefault="00000000" w:rsidRPr="00000000" w14:paraId="0000021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 -98,238 / 355,872 ) * 100 = </w:t>
            </w:r>
            <w:r w:rsidDel="00000000" w:rsidR="00000000" w:rsidRPr="00000000">
              <w:rPr>
                <w:rFonts w:ascii="Arial" w:cs="Arial" w:eastAsia="Arial" w:hAnsi="Arial"/>
                <w:b w:val="1"/>
                <w:bCs w:val="1"/>
                <w:rtl w:val="0"/>
              </w:rPr>
              <w:t xml:space="preserve">-27.63%</w:t>
            </w:r>
            <w:r w:rsidDel="00000000" w:rsidR="00000000" w:rsidRPr="00000000">
              <w:rPr>
                <w:rtl w:val="0"/>
              </w:rPr>
            </w:r>
          </w:p>
        </w:tc>
        <w:tc>
          <w:tcPr/>
          <w:p w:rsidR="00000000" w:rsidDel="00000000" w:rsidP="00000000" w:rsidRDefault="00000000" w:rsidRPr="00000000" w14:paraId="0000021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( 407 / 504,163 ) * 100 = </w:t>
            </w:r>
            <w:r w:rsidDel="00000000" w:rsidR="00000000" w:rsidRPr="00000000">
              <w:rPr>
                <w:rFonts w:ascii="Arial" w:cs="Arial" w:eastAsia="Arial" w:hAnsi="Arial"/>
                <w:b w:val="1"/>
                <w:bCs w:val="1"/>
                <w:rtl w:val="0"/>
              </w:rPr>
              <w:t xml:space="preserve">0.08%</w:t>
            </w:r>
            <w:r w:rsidDel="00000000" w:rsidR="00000000" w:rsidRPr="00000000">
              <w:rPr>
                <w:rtl w:val="0"/>
              </w:rPr>
            </w:r>
          </w:p>
        </w:tc>
        <w:tc>
          <w:tcPr/>
          <w:p w:rsidR="00000000" w:rsidDel="00000000" w:rsidP="00000000" w:rsidRDefault="00000000" w:rsidRPr="00000000" w14:paraId="0000021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( 5,301 / 510,348 ) * 100 = </w:t>
            </w:r>
            <w:r w:rsidDel="00000000" w:rsidR="00000000" w:rsidRPr="00000000">
              <w:rPr>
                <w:rFonts w:ascii="Arial" w:cs="Arial" w:eastAsia="Arial" w:hAnsi="Arial"/>
                <w:b w:val="1"/>
                <w:bCs w:val="1"/>
                <w:rtl w:val="0"/>
              </w:rPr>
              <w:t xml:space="preserve">1.04%</w:t>
            </w:r>
            <w:r w:rsidDel="00000000" w:rsidR="00000000" w:rsidRPr="00000000">
              <w:rPr>
                <w:rtl w:val="0"/>
              </w:rPr>
            </w:r>
          </w:p>
        </w:tc>
        <w:tc>
          <w:tcPr/>
          <w:p w:rsidR="00000000" w:rsidDel="00000000" w:rsidP="00000000" w:rsidRDefault="00000000" w:rsidRPr="00000000" w14:paraId="0000021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( 38,572 / 510,290 ) * 100 = </w:t>
            </w:r>
            <w:r w:rsidDel="00000000" w:rsidR="00000000" w:rsidRPr="00000000">
              <w:rPr>
                <w:rFonts w:ascii="Arial" w:cs="Arial" w:eastAsia="Arial" w:hAnsi="Arial"/>
                <w:b w:val="1"/>
                <w:bCs w:val="1"/>
                <w:rtl w:val="0"/>
              </w:rPr>
              <w:t xml:space="preserve">7.57%</w:t>
            </w:r>
            <w:r w:rsidDel="00000000" w:rsidR="00000000" w:rsidRPr="00000000">
              <w:rPr>
                <w:rtl w:val="0"/>
              </w:rPr>
            </w:r>
          </w:p>
        </w:tc>
      </w:tr>
    </w:tbl>
    <w:p w:rsidR="00000000" w:rsidDel="00000000" w:rsidP="00000000" w:rsidRDefault="00000000" w:rsidRPr="00000000" w14:paraId="00000214">
      <w:pPr>
        <w:rPr/>
      </w:pPr>
      <w:r w:rsidDel="00000000" w:rsidR="00000000" w:rsidRPr="00000000">
        <w:rPr>
          <w:rtl w:val="0"/>
        </w:rPr>
      </w:r>
    </w:p>
    <w:tbl>
      <w:tblPr>
        <w:tblStyle w:val="Table15"/>
        <w:tblW w:w="9026.0" w:type="dxa"/>
        <w:jc w:val="left"/>
        <w:tblBorders>
          <w:top w:color="95b3d7" w:space="0" w:sz="4" w:val="single"/>
          <w:left w:color="95b3d7" w:space="0" w:sz="4" w:val="single"/>
          <w:bottom w:color="95b3d7" w:space="0" w:sz="4" w:val="single"/>
          <w:right w:color="95b3d7" w:space="0" w:sz="4" w:val="single"/>
          <w:insideH w:color="95b3d7" w:space="0" w:sz="4" w:val="single"/>
          <w:insideV w:color="95b3d7" w:space="0" w:sz="4" w:val="single"/>
        </w:tblBorders>
        <w:tblLayout w:type="fixed"/>
        <w:tblLook w:val="04A0"/>
      </w:tblPr>
      <w:tblGrid>
        <w:gridCol w:w="1965"/>
        <w:gridCol w:w="1440"/>
        <w:gridCol w:w="1440"/>
        <w:gridCol w:w="1368"/>
        <w:gridCol w:w="1391"/>
        <w:gridCol w:w="1422"/>
        <w:tblGridChange w:id="0">
          <w:tblGrid>
            <w:gridCol w:w="1965"/>
            <w:gridCol w:w="1440"/>
            <w:gridCol w:w="1440"/>
            <w:gridCol w:w="1368"/>
            <w:gridCol w:w="1391"/>
            <w:gridCol w:w="1422"/>
          </w:tblGrid>
        </w:tblGridChange>
      </w:tblGrid>
      <w:tr>
        <w:trPr>
          <w:cantSplit w:val="0"/>
          <w:tblHeader w:val="0"/>
        </w:trPr>
        <w:tc>
          <w:tcPr/>
          <w:p w:rsidR="00000000" w:rsidDel="00000000" w:rsidP="00000000" w:rsidRDefault="00000000" w:rsidRPr="00000000" w14:paraId="0000021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Metric</w:t>
            </w:r>
          </w:p>
        </w:tc>
        <w:tc>
          <w:tcPr/>
          <w:p w:rsidR="00000000" w:rsidDel="00000000" w:rsidP="00000000" w:rsidRDefault="00000000" w:rsidRPr="00000000" w14:paraId="0000021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21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21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21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21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2020</w:t>
            </w:r>
          </w:p>
        </w:tc>
      </w:tr>
      <w:tr>
        <w:trPr>
          <w:cantSplit w:val="0"/>
          <w:tblHeader w:val="0"/>
        </w:trPr>
        <w:tc>
          <w:tcPr/>
          <w:p w:rsidR="00000000" w:rsidDel="00000000" w:rsidP="00000000" w:rsidRDefault="00000000" w:rsidRPr="00000000" w14:paraId="0000021B">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Net Income (£m)</w:t>
            </w:r>
            <w:r w:rsidDel="00000000" w:rsidR="00000000" w:rsidRPr="00000000">
              <w:rPr>
                <w:rtl w:val="0"/>
              </w:rPr>
            </w:r>
          </w:p>
        </w:tc>
        <w:tc>
          <w:tcPr/>
          <w:p w:rsidR="00000000" w:rsidDel="00000000" w:rsidP="00000000" w:rsidRDefault="00000000" w:rsidRPr="00000000" w14:paraId="0000021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-24,029</w:t>
            </w:r>
          </w:p>
        </w:tc>
        <w:tc>
          <w:tcPr/>
          <w:p w:rsidR="00000000" w:rsidDel="00000000" w:rsidP="00000000" w:rsidRDefault="00000000" w:rsidRPr="00000000" w14:paraId="0000021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-98,238</w:t>
            </w:r>
          </w:p>
        </w:tc>
        <w:tc>
          <w:tcPr/>
          <w:p w:rsidR="00000000" w:rsidDel="00000000" w:rsidP="00000000" w:rsidRDefault="00000000" w:rsidRPr="00000000" w14:paraId="0000021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407</w:t>
            </w:r>
          </w:p>
        </w:tc>
        <w:tc>
          <w:tcPr/>
          <w:p w:rsidR="00000000" w:rsidDel="00000000" w:rsidP="00000000" w:rsidRDefault="00000000" w:rsidRPr="00000000" w14:paraId="0000021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5,301</w:t>
            </w:r>
          </w:p>
        </w:tc>
        <w:tc>
          <w:tcPr/>
          <w:p w:rsidR="00000000" w:rsidDel="00000000" w:rsidP="00000000" w:rsidRDefault="00000000" w:rsidRPr="00000000" w14:paraId="0000022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38,572</w:t>
            </w:r>
          </w:p>
        </w:tc>
      </w:tr>
      <w:tr>
        <w:trPr>
          <w:cantSplit w:val="0"/>
          <w:tblHeader w:val="0"/>
        </w:trPr>
        <w:tc>
          <w:tcPr/>
          <w:p w:rsidR="00000000" w:rsidDel="00000000" w:rsidP="00000000" w:rsidRDefault="00000000" w:rsidRPr="00000000" w14:paraId="00000221">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Shareholders' Equity (£m)</w:t>
            </w:r>
            <w:r w:rsidDel="00000000" w:rsidR="00000000" w:rsidRPr="00000000">
              <w:rPr>
                <w:rtl w:val="0"/>
              </w:rPr>
            </w:r>
          </w:p>
        </w:tc>
        <w:tc>
          <w:tcPr/>
          <w:p w:rsidR="00000000" w:rsidDel="00000000" w:rsidP="00000000" w:rsidRDefault="00000000" w:rsidRPr="00000000" w14:paraId="0000022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153,105</w:t>
            </w:r>
          </w:p>
        </w:tc>
        <w:tc>
          <w:tcPr/>
          <w:p w:rsidR="00000000" w:rsidDel="00000000" w:rsidP="00000000" w:rsidRDefault="00000000" w:rsidRPr="00000000" w14:paraId="0000022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178,920</w:t>
            </w:r>
          </w:p>
        </w:tc>
        <w:tc>
          <w:tcPr/>
          <w:p w:rsidR="00000000" w:rsidDel="00000000" w:rsidP="00000000" w:rsidRDefault="00000000" w:rsidRPr="00000000" w14:paraId="0000022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268,406</w:t>
            </w:r>
          </w:p>
        </w:tc>
        <w:tc>
          <w:tcPr/>
          <w:p w:rsidR="00000000" w:rsidDel="00000000" w:rsidP="00000000" w:rsidRDefault="00000000" w:rsidRPr="00000000" w14:paraId="0000022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275,949</w:t>
            </w:r>
          </w:p>
        </w:tc>
        <w:tc>
          <w:tcPr/>
          <w:p w:rsidR="00000000" w:rsidDel="00000000" w:rsidP="00000000" w:rsidRDefault="00000000" w:rsidRPr="00000000" w14:paraId="0000022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313,301</w:t>
            </w:r>
          </w:p>
        </w:tc>
      </w:tr>
      <w:tr>
        <w:trPr>
          <w:cantSplit w:val="0"/>
          <w:tblHeader w:val="0"/>
        </w:trPr>
        <w:tc>
          <w:tcPr/>
          <w:p w:rsidR="00000000" w:rsidDel="00000000" w:rsidP="00000000" w:rsidRDefault="00000000" w:rsidRPr="00000000" w14:paraId="00000227">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Return on Equity (%)</w:t>
            </w:r>
            <w:r w:rsidDel="00000000" w:rsidR="00000000" w:rsidRPr="00000000">
              <w:rPr>
                <w:rtl w:val="0"/>
              </w:rPr>
            </w:r>
          </w:p>
        </w:tc>
        <w:tc>
          <w:tcPr/>
          <w:p w:rsidR="00000000" w:rsidDel="00000000" w:rsidP="00000000" w:rsidRDefault="00000000" w:rsidRPr="00000000" w14:paraId="0000022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 -24,029 / 153,105 ) * 100 = </w:t>
            </w:r>
            <w:r w:rsidDel="00000000" w:rsidR="00000000" w:rsidRPr="00000000">
              <w:rPr>
                <w:rFonts w:ascii="Arial" w:cs="Arial" w:eastAsia="Arial" w:hAnsi="Arial"/>
                <w:b w:val="1"/>
                <w:bCs w:val="1"/>
                <w:rtl w:val="0"/>
              </w:rPr>
              <w:t xml:space="preserve">-15.70%</w:t>
            </w:r>
            <w:r w:rsidDel="00000000" w:rsidR="00000000" w:rsidRPr="00000000">
              <w:rPr>
                <w:rtl w:val="0"/>
              </w:rPr>
            </w:r>
          </w:p>
        </w:tc>
        <w:tc>
          <w:tcPr/>
          <w:p w:rsidR="00000000" w:rsidDel="00000000" w:rsidP="00000000" w:rsidRDefault="00000000" w:rsidRPr="00000000" w14:paraId="0000022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 -98,238 / 178,920 ) * 100 = </w:t>
            </w:r>
            <w:r w:rsidDel="00000000" w:rsidR="00000000" w:rsidRPr="00000000">
              <w:rPr>
                <w:rFonts w:ascii="Arial" w:cs="Arial" w:eastAsia="Arial" w:hAnsi="Arial"/>
                <w:b w:val="1"/>
                <w:bCs w:val="1"/>
                <w:rtl w:val="0"/>
              </w:rPr>
              <w:t xml:space="preserve">-54.90%</w:t>
            </w:r>
            <w:r w:rsidDel="00000000" w:rsidR="00000000" w:rsidRPr="00000000">
              <w:rPr>
                <w:rtl w:val="0"/>
              </w:rPr>
            </w:r>
          </w:p>
        </w:tc>
        <w:tc>
          <w:tcPr/>
          <w:p w:rsidR="00000000" w:rsidDel="00000000" w:rsidP="00000000" w:rsidRDefault="00000000" w:rsidRPr="00000000" w14:paraId="0000022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( 407 / 268,406 ) * 100 = </w:t>
            </w:r>
            <w:r w:rsidDel="00000000" w:rsidR="00000000" w:rsidRPr="00000000">
              <w:rPr>
                <w:rFonts w:ascii="Arial" w:cs="Arial" w:eastAsia="Arial" w:hAnsi="Arial"/>
                <w:b w:val="1"/>
                <w:bCs w:val="1"/>
                <w:rtl w:val="0"/>
              </w:rPr>
              <w:t xml:space="preserve">0.15%</w:t>
            </w:r>
            <w:r w:rsidDel="00000000" w:rsidR="00000000" w:rsidRPr="00000000">
              <w:rPr>
                <w:rtl w:val="0"/>
              </w:rPr>
            </w:r>
          </w:p>
        </w:tc>
        <w:tc>
          <w:tcPr/>
          <w:p w:rsidR="00000000" w:rsidDel="00000000" w:rsidP="00000000" w:rsidRDefault="00000000" w:rsidRPr="00000000" w14:paraId="0000022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( 5,301 / 275,949 ) * 100 = </w:t>
            </w:r>
            <w:r w:rsidDel="00000000" w:rsidR="00000000" w:rsidRPr="00000000">
              <w:rPr>
                <w:rFonts w:ascii="Arial" w:cs="Arial" w:eastAsia="Arial" w:hAnsi="Arial"/>
                <w:b w:val="1"/>
                <w:bCs w:val="1"/>
                <w:rtl w:val="0"/>
              </w:rPr>
              <w:t xml:space="preserve">1.92%</w:t>
            </w:r>
            <w:r w:rsidDel="00000000" w:rsidR="00000000" w:rsidRPr="00000000">
              <w:rPr>
                <w:rtl w:val="0"/>
              </w:rPr>
            </w:r>
          </w:p>
        </w:tc>
        <w:tc>
          <w:tcPr/>
          <w:p w:rsidR="00000000" w:rsidDel="00000000" w:rsidP="00000000" w:rsidRDefault="00000000" w:rsidRPr="00000000" w14:paraId="0000022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( 38,572 / 313,301 ) * 100 = </w:t>
            </w:r>
            <w:r w:rsidDel="00000000" w:rsidR="00000000" w:rsidRPr="00000000">
              <w:rPr>
                <w:rFonts w:ascii="Arial" w:cs="Arial" w:eastAsia="Arial" w:hAnsi="Arial"/>
                <w:b w:val="1"/>
                <w:bCs w:val="1"/>
                <w:rtl w:val="0"/>
              </w:rPr>
              <w:t xml:space="preserve">12.30%</w:t>
            </w:r>
            <w:r w:rsidDel="00000000" w:rsidR="00000000" w:rsidRPr="00000000">
              <w:rPr>
                <w:rtl w:val="0"/>
              </w:rPr>
            </w:r>
          </w:p>
        </w:tc>
      </w:tr>
    </w:tbl>
    <w:p w:rsidR="00000000" w:rsidDel="00000000" w:rsidP="00000000" w:rsidRDefault="00000000" w:rsidRPr="00000000" w14:paraId="0000022D">
      <w:pPr>
        <w:rPr/>
      </w:pPr>
      <w:r w:rsidDel="00000000" w:rsidR="00000000" w:rsidRPr="00000000">
        <w:rPr>
          <w:rtl w:val="0"/>
        </w:rPr>
      </w:r>
    </w:p>
    <w:p w:rsidR="00000000" w:rsidDel="00000000" w:rsidP="00000000" w:rsidRDefault="00000000" w:rsidRPr="00000000" w14:paraId="0000022E">
      <w:pPr>
        <w:pStyle w:val="Heading2"/>
        <w:rPr/>
      </w:pPr>
      <w:bookmarkStart w:colFirst="0" w:colLast="0" w:name="_heading=h.66zz49kp7r8h" w:id="32"/>
      <w:bookmarkEnd w:id="32"/>
      <w:r w:rsidDel="00000000" w:rsidR="00000000" w:rsidRPr="00000000">
        <w:rPr>
          <w:rtl w:val="0"/>
        </w:rPr>
        <w:t xml:space="preserve">Appendix 1.2 Liquidity Ratios</w:t>
      </w:r>
    </w:p>
    <w:tbl>
      <w:tblPr>
        <w:tblStyle w:val="Table16"/>
        <w:tblW w:w="9026.0" w:type="dxa"/>
        <w:jc w:val="left"/>
        <w:tblBorders>
          <w:top w:color="95b3d7" w:space="0" w:sz="4" w:val="single"/>
          <w:left w:color="95b3d7" w:space="0" w:sz="4" w:val="single"/>
          <w:bottom w:color="95b3d7" w:space="0" w:sz="4" w:val="single"/>
          <w:right w:color="95b3d7" w:space="0" w:sz="4" w:val="single"/>
          <w:insideH w:color="95b3d7" w:space="0" w:sz="4" w:val="single"/>
          <w:insideV w:color="95b3d7" w:space="0" w:sz="4" w:val="single"/>
        </w:tblBorders>
        <w:tblLayout w:type="fixed"/>
        <w:tblLook w:val="04A0"/>
      </w:tblPr>
      <w:tblGrid>
        <w:gridCol w:w="1584"/>
        <w:gridCol w:w="1493"/>
        <w:gridCol w:w="1470"/>
        <w:gridCol w:w="1493"/>
        <w:gridCol w:w="1493"/>
        <w:gridCol w:w="1493"/>
        <w:tblGridChange w:id="0">
          <w:tblGrid>
            <w:gridCol w:w="1584"/>
            <w:gridCol w:w="1493"/>
            <w:gridCol w:w="1470"/>
            <w:gridCol w:w="1493"/>
            <w:gridCol w:w="1493"/>
            <w:gridCol w:w="1493"/>
          </w:tblGrid>
        </w:tblGridChange>
      </w:tblGrid>
      <w:tr>
        <w:trPr>
          <w:cantSplit w:val="0"/>
          <w:tblHeader w:val="0"/>
        </w:trPr>
        <w:tc>
          <w:tcPr/>
          <w:p w:rsidR="00000000" w:rsidDel="00000000" w:rsidP="00000000" w:rsidRDefault="00000000" w:rsidRPr="00000000" w14:paraId="0000022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Metric</w:t>
            </w:r>
          </w:p>
        </w:tc>
        <w:tc>
          <w:tcPr/>
          <w:p w:rsidR="00000000" w:rsidDel="00000000" w:rsidP="00000000" w:rsidRDefault="00000000" w:rsidRPr="00000000" w14:paraId="0000023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23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23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23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23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2020</w:t>
            </w:r>
          </w:p>
        </w:tc>
      </w:tr>
      <w:tr>
        <w:trPr>
          <w:cantSplit w:val="0"/>
          <w:tblHeader w:val="0"/>
        </w:trPr>
        <w:tc>
          <w:tcPr/>
          <w:p w:rsidR="00000000" w:rsidDel="00000000" w:rsidP="00000000" w:rsidRDefault="00000000" w:rsidRPr="00000000" w14:paraId="00000235">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Current Assets (£m)</w:t>
            </w:r>
            <w:r w:rsidDel="00000000" w:rsidR="00000000" w:rsidRPr="00000000">
              <w:rPr>
                <w:rtl w:val="0"/>
              </w:rPr>
            </w:r>
          </w:p>
        </w:tc>
        <w:tc>
          <w:tcPr/>
          <w:p w:rsidR="00000000" w:rsidDel="00000000" w:rsidP="00000000" w:rsidRDefault="00000000" w:rsidRPr="00000000" w14:paraId="0000023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242,494</w:t>
            </w:r>
          </w:p>
        </w:tc>
        <w:tc>
          <w:tcPr/>
          <w:p w:rsidR="00000000" w:rsidDel="00000000" w:rsidP="00000000" w:rsidRDefault="00000000" w:rsidRPr="00000000" w14:paraId="0000023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258,851</w:t>
            </w:r>
          </w:p>
        </w:tc>
        <w:tc>
          <w:tcPr/>
          <w:p w:rsidR="00000000" w:rsidDel="00000000" w:rsidP="00000000" w:rsidRDefault="00000000" w:rsidRPr="00000000" w14:paraId="0000023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338,040</w:t>
            </w:r>
          </w:p>
        </w:tc>
        <w:tc>
          <w:tcPr/>
          <w:p w:rsidR="00000000" w:rsidDel="00000000" w:rsidP="00000000" w:rsidRDefault="00000000" w:rsidRPr="00000000" w14:paraId="0000023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337,146</w:t>
            </w:r>
          </w:p>
        </w:tc>
        <w:tc>
          <w:tcPr/>
          <w:p w:rsidR="00000000" w:rsidDel="00000000" w:rsidP="00000000" w:rsidRDefault="00000000" w:rsidRPr="00000000" w14:paraId="0000023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326,843</w:t>
            </w:r>
          </w:p>
        </w:tc>
      </w:tr>
      <w:tr>
        <w:trPr>
          <w:cantSplit w:val="0"/>
          <w:tblHeader w:val="0"/>
        </w:trPr>
        <w:tc>
          <w:tcPr/>
          <w:p w:rsidR="00000000" w:rsidDel="00000000" w:rsidP="00000000" w:rsidRDefault="00000000" w:rsidRPr="00000000" w14:paraId="0000023B">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Current Liabilities (£m)</w:t>
            </w:r>
            <w:r w:rsidDel="00000000" w:rsidR="00000000" w:rsidRPr="00000000">
              <w:rPr>
                <w:rtl w:val="0"/>
              </w:rPr>
            </w:r>
          </w:p>
        </w:tc>
        <w:tc>
          <w:tcPr/>
          <w:p w:rsidR="00000000" w:rsidDel="00000000" w:rsidP="00000000" w:rsidRDefault="00000000" w:rsidRPr="00000000" w14:paraId="0000023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158,291</w:t>
            </w:r>
          </w:p>
        </w:tc>
        <w:tc>
          <w:tcPr/>
          <w:p w:rsidR="00000000" w:rsidDel="00000000" w:rsidP="00000000" w:rsidRDefault="00000000" w:rsidRPr="00000000" w14:paraId="0000023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161,148</w:t>
            </w:r>
          </w:p>
        </w:tc>
        <w:tc>
          <w:tcPr/>
          <w:p w:rsidR="00000000" w:rsidDel="00000000" w:rsidP="00000000" w:rsidRDefault="00000000" w:rsidRPr="00000000" w14:paraId="0000023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216,473</w:t>
            </w:r>
          </w:p>
        </w:tc>
        <w:tc>
          <w:tcPr/>
          <w:p w:rsidR="00000000" w:rsidDel="00000000" w:rsidP="00000000" w:rsidRDefault="00000000" w:rsidRPr="00000000" w14:paraId="0000023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216,787</w:t>
            </w:r>
          </w:p>
        </w:tc>
        <w:tc>
          <w:tcPr/>
          <w:p w:rsidR="00000000" w:rsidDel="00000000" w:rsidP="00000000" w:rsidRDefault="00000000" w:rsidRPr="00000000" w14:paraId="0000024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179,510</w:t>
            </w:r>
          </w:p>
        </w:tc>
      </w:tr>
      <w:tr>
        <w:trPr>
          <w:cantSplit w:val="0"/>
          <w:tblHeader w:val="0"/>
        </w:trPr>
        <w:tc>
          <w:tcPr/>
          <w:p w:rsidR="00000000" w:rsidDel="00000000" w:rsidP="00000000" w:rsidRDefault="00000000" w:rsidRPr="00000000" w14:paraId="00000241">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Current Ratio</w:t>
            </w:r>
            <w:r w:rsidDel="00000000" w:rsidR="00000000" w:rsidRPr="00000000">
              <w:rPr>
                <w:rtl w:val="0"/>
              </w:rPr>
            </w:r>
          </w:p>
        </w:tc>
        <w:tc>
          <w:tcPr/>
          <w:p w:rsidR="00000000" w:rsidDel="00000000" w:rsidP="00000000" w:rsidRDefault="00000000" w:rsidRPr="00000000" w14:paraId="0000024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(242,494 / 158,291) = </w:t>
            </w:r>
            <w:r w:rsidDel="00000000" w:rsidR="00000000" w:rsidRPr="00000000">
              <w:rPr>
                <w:rFonts w:ascii="Arial" w:cs="Arial" w:eastAsia="Arial" w:hAnsi="Arial"/>
                <w:b w:val="1"/>
                <w:bCs w:val="1"/>
                <w:rtl w:val="0"/>
              </w:rPr>
              <w:t xml:space="preserve">1.53</w:t>
            </w:r>
            <w:r w:rsidDel="00000000" w:rsidR="00000000" w:rsidRPr="00000000">
              <w:rPr>
                <w:rtl w:val="0"/>
              </w:rPr>
            </w:r>
          </w:p>
        </w:tc>
        <w:tc>
          <w:tcPr/>
          <w:p w:rsidR="00000000" w:rsidDel="00000000" w:rsidP="00000000" w:rsidRDefault="00000000" w:rsidRPr="00000000" w14:paraId="0000024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(258,851 / 161,148) = </w:t>
            </w:r>
            <w:r w:rsidDel="00000000" w:rsidR="00000000" w:rsidRPr="00000000">
              <w:rPr>
                <w:rFonts w:ascii="Arial" w:cs="Arial" w:eastAsia="Arial" w:hAnsi="Arial"/>
                <w:b w:val="1"/>
                <w:bCs w:val="1"/>
                <w:rtl w:val="0"/>
              </w:rPr>
              <w:t xml:space="preserve">1.6</w:t>
            </w:r>
            <w:r w:rsidDel="00000000" w:rsidR="00000000" w:rsidRPr="00000000">
              <w:rPr>
                <w:rtl w:val="0"/>
              </w:rPr>
            </w:r>
          </w:p>
        </w:tc>
        <w:tc>
          <w:tcPr/>
          <w:p w:rsidR="00000000" w:rsidDel="00000000" w:rsidP="00000000" w:rsidRDefault="00000000" w:rsidRPr="00000000" w14:paraId="0000024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(338,040 / 216,473) = </w:t>
            </w:r>
            <w:r w:rsidDel="00000000" w:rsidR="00000000" w:rsidRPr="00000000">
              <w:rPr>
                <w:rFonts w:ascii="Arial" w:cs="Arial" w:eastAsia="Arial" w:hAnsi="Arial"/>
                <w:b w:val="1"/>
                <w:bCs w:val="1"/>
                <w:rtl w:val="0"/>
              </w:rPr>
              <w:t xml:space="preserve">1.56</w:t>
            </w:r>
            <w:r w:rsidDel="00000000" w:rsidR="00000000" w:rsidRPr="00000000">
              <w:rPr>
                <w:rtl w:val="0"/>
              </w:rPr>
            </w:r>
          </w:p>
        </w:tc>
        <w:tc>
          <w:tcPr/>
          <w:p w:rsidR="00000000" w:rsidDel="00000000" w:rsidP="00000000" w:rsidRDefault="00000000" w:rsidRPr="00000000" w14:paraId="0000024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(337,146 / 216,787) = </w:t>
            </w:r>
            <w:r w:rsidDel="00000000" w:rsidR="00000000" w:rsidRPr="00000000">
              <w:rPr>
                <w:rFonts w:ascii="Arial" w:cs="Arial" w:eastAsia="Arial" w:hAnsi="Arial"/>
                <w:b w:val="1"/>
                <w:bCs w:val="1"/>
                <w:rtl w:val="0"/>
              </w:rPr>
              <w:t xml:space="preserve">1.56</w:t>
            </w:r>
            <w:r w:rsidDel="00000000" w:rsidR="00000000" w:rsidRPr="00000000">
              <w:rPr>
                <w:rtl w:val="0"/>
              </w:rPr>
            </w:r>
          </w:p>
        </w:tc>
        <w:tc>
          <w:tcPr/>
          <w:p w:rsidR="00000000" w:rsidDel="00000000" w:rsidP="00000000" w:rsidRDefault="00000000" w:rsidRPr="00000000" w14:paraId="0000024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(326,843 / 179,510) = </w:t>
            </w:r>
            <w:r w:rsidDel="00000000" w:rsidR="00000000" w:rsidRPr="00000000">
              <w:rPr>
                <w:rFonts w:ascii="Arial" w:cs="Arial" w:eastAsia="Arial" w:hAnsi="Arial"/>
                <w:b w:val="1"/>
                <w:bCs w:val="1"/>
                <w:rtl w:val="0"/>
              </w:rPr>
              <w:t xml:space="preserve">1.82</w:t>
            </w:r>
            <w:r w:rsidDel="00000000" w:rsidR="00000000" w:rsidRPr="00000000">
              <w:rPr>
                <w:rtl w:val="0"/>
              </w:rPr>
            </w:r>
          </w:p>
        </w:tc>
      </w:tr>
    </w:tbl>
    <w:p w:rsidR="00000000" w:rsidDel="00000000" w:rsidP="00000000" w:rsidRDefault="00000000" w:rsidRPr="00000000" w14:paraId="00000247">
      <w:pPr>
        <w:rPr/>
      </w:pPr>
      <w:r w:rsidDel="00000000" w:rsidR="00000000" w:rsidRPr="00000000">
        <w:rPr>
          <w:rtl w:val="0"/>
        </w:rPr>
      </w:r>
    </w:p>
    <w:tbl>
      <w:tblPr>
        <w:tblStyle w:val="Table17"/>
        <w:tblW w:w="9026.0" w:type="dxa"/>
        <w:jc w:val="left"/>
        <w:tblBorders>
          <w:top w:color="95b3d7" w:space="0" w:sz="4" w:val="single"/>
          <w:left w:color="95b3d7" w:space="0" w:sz="4" w:val="single"/>
          <w:bottom w:color="95b3d7" w:space="0" w:sz="4" w:val="single"/>
          <w:right w:color="95b3d7" w:space="0" w:sz="4" w:val="single"/>
          <w:insideH w:color="95b3d7" w:space="0" w:sz="4" w:val="single"/>
          <w:insideV w:color="95b3d7" w:space="0" w:sz="4" w:val="single"/>
        </w:tblBorders>
        <w:tblLayout w:type="fixed"/>
        <w:tblLook w:val="04A0"/>
      </w:tblPr>
      <w:tblGrid>
        <w:gridCol w:w="1639"/>
        <w:gridCol w:w="1469"/>
        <w:gridCol w:w="1469"/>
        <w:gridCol w:w="1483"/>
        <w:gridCol w:w="1483"/>
        <w:gridCol w:w="1483"/>
        <w:tblGridChange w:id="0">
          <w:tblGrid>
            <w:gridCol w:w="1639"/>
            <w:gridCol w:w="1469"/>
            <w:gridCol w:w="1469"/>
            <w:gridCol w:w="1483"/>
            <w:gridCol w:w="1483"/>
            <w:gridCol w:w="1483"/>
          </w:tblGrid>
        </w:tblGridChange>
      </w:tblGrid>
      <w:tr>
        <w:trPr>
          <w:cantSplit w:val="0"/>
          <w:tblHeader w:val="0"/>
        </w:trPr>
        <w:tc>
          <w:tcPr/>
          <w:p w:rsidR="00000000" w:rsidDel="00000000" w:rsidP="00000000" w:rsidRDefault="00000000" w:rsidRPr="00000000" w14:paraId="0000024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Metric</w:t>
            </w:r>
          </w:p>
        </w:tc>
        <w:tc>
          <w:tcPr/>
          <w:p w:rsidR="00000000" w:rsidDel="00000000" w:rsidP="00000000" w:rsidRDefault="00000000" w:rsidRPr="00000000" w14:paraId="0000024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24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24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24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24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2020</w:t>
            </w:r>
          </w:p>
        </w:tc>
      </w:tr>
      <w:tr>
        <w:trPr>
          <w:cantSplit w:val="0"/>
          <w:tblHeader w:val="0"/>
        </w:trPr>
        <w:tc>
          <w:tcPr/>
          <w:p w:rsidR="00000000" w:rsidDel="00000000" w:rsidP="00000000" w:rsidRDefault="00000000" w:rsidRPr="00000000" w14:paraId="0000024E">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Current Assets (£m)</w:t>
            </w:r>
            <w:r w:rsidDel="00000000" w:rsidR="00000000" w:rsidRPr="00000000">
              <w:rPr>
                <w:rtl w:val="0"/>
              </w:rPr>
            </w:r>
          </w:p>
        </w:tc>
        <w:tc>
          <w:tcPr/>
          <w:p w:rsidR="00000000" w:rsidDel="00000000" w:rsidP="00000000" w:rsidRDefault="00000000" w:rsidRPr="00000000" w14:paraId="0000024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242,494</w:t>
            </w:r>
          </w:p>
        </w:tc>
        <w:tc>
          <w:tcPr/>
          <w:p w:rsidR="00000000" w:rsidDel="00000000" w:rsidP="00000000" w:rsidRDefault="00000000" w:rsidRPr="00000000" w14:paraId="0000025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258,851</w:t>
            </w:r>
          </w:p>
        </w:tc>
        <w:tc>
          <w:tcPr/>
          <w:p w:rsidR="00000000" w:rsidDel="00000000" w:rsidP="00000000" w:rsidRDefault="00000000" w:rsidRPr="00000000" w14:paraId="0000025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338,040</w:t>
            </w:r>
          </w:p>
        </w:tc>
        <w:tc>
          <w:tcPr/>
          <w:p w:rsidR="00000000" w:rsidDel="00000000" w:rsidP="00000000" w:rsidRDefault="00000000" w:rsidRPr="00000000" w14:paraId="0000025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337,146</w:t>
            </w:r>
          </w:p>
        </w:tc>
        <w:tc>
          <w:tcPr/>
          <w:p w:rsidR="00000000" w:rsidDel="00000000" w:rsidP="00000000" w:rsidRDefault="00000000" w:rsidRPr="00000000" w14:paraId="0000025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326,843</w:t>
            </w:r>
          </w:p>
        </w:tc>
      </w:tr>
      <w:tr>
        <w:trPr>
          <w:cantSplit w:val="0"/>
          <w:tblHeader w:val="0"/>
        </w:trPr>
        <w:tc>
          <w:tcPr/>
          <w:p w:rsidR="00000000" w:rsidDel="00000000" w:rsidP="00000000" w:rsidRDefault="00000000" w:rsidRPr="00000000" w14:paraId="00000254">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Inventories (£m)</w:t>
            </w:r>
            <w:r w:rsidDel="00000000" w:rsidR="00000000" w:rsidRPr="00000000">
              <w:rPr>
                <w:rtl w:val="0"/>
              </w:rPr>
            </w:r>
          </w:p>
        </w:tc>
        <w:tc>
          <w:tcPr/>
          <w:p w:rsidR="00000000" w:rsidDel="00000000" w:rsidP="00000000" w:rsidRDefault="00000000" w:rsidRPr="00000000" w14:paraId="0000025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79,355</w:t>
            </w:r>
          </w:p>
        </w:tc>
        <w:tc>
          <w:tcPr/>
          <w:p w:rsidR="00000000" w:rsidDel="00000000" w:rsidP="00000000" w:rsidRDefault="00000000" w:rsidRPr="00000000" w14:paraId="0000025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88,273</w:t>
            </w:r>
          </w:p>
        </w:tc>
        <w:tc>
          <w:tcPr/>
          <w:p w:rsidR="00000000" w:rsidDel="00000000" w:rsidP="00000000" w:rsidRDefault="00000000" w:rsidRPr="00000000" w14:paraId="0000025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140,181</w:t>
            </w:r>
          </w:p>
        </w:tc>
        <w:tc>
          <w:tcPr/>
          <w:p w:rsidR="00000000" w:rsidDel="00000000" w:rsidP="00000000" w:rsidRDefault="00000000" w:rsidRPr="00000000" w14:paraId="0000025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134,469</w:t>
            </w:r>
          </w:p>
        </w:tc>
        <w:tc>
          <w:tcPr/>
          <w:p w:rsidR="00000000" w:rsidDel="00000000" w:rsidP="00000000" w:rsidRDefault="00000000" w:rsidRPr="00000000" w14:paraId="0000025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120,430</w:t>
            </w:r>
          </w:p>
        </w:tc>
      </w:tr>
      <w:tr>
        <w:trPr>
          <w:cantSplit w:val="0"/>
          <w:tblHeader w:val="0"/>
        </w:trPr>
        <w:tc>
          <w:tcPr/>
          <w:p w:rsidR="00000000" w:rsidDel="00000000" w:rsidP="00000000" w:rsidRDefault="00000000" w:rsidRPr="00000000" w14:paraId="0000025A">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Current Liabilities (£m)</w:t>
            </w:r>
            <w:r w:rsidDel="00000000" w:rsidR="00000000" w:rsidRPr="00000000">
              <w:rPr>
                <w:rtl w:val="0"/>
              </w:rPr>
            </w:r>
          </w:p>
        </w:tc>
        <w:tc>
          <w:tcPr/>
          <w:p w:rsidR="00000000" w:rsidDel="00000000" w:rsidP="00000000" w:rsidRDefault="00000000" w:rsidRPr="00000000" w14:paraId="0000025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158,291</w:t>
            </w:r>
          </w:p>
        </w:tc>
        <w:tc>
          <w:tcPr/>
          <w:p w:rsidR="00000000" w:rsidDel="00000000" w:rsidP="00000000" w:rsidRDefault="00000000" w:rsidRPr="00000000" w14:paraId="0000025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161,148</w:t>
            </w:r>
          </w:p>
        </w:tc>
        <w:tc>
          <w:tcPr/>
          <w:p w:rsidR="00000000" w:rsidDel="00000000" w:rsidP="00000000" w:rsidRDefault="00000000" w:rsidRPr="00000000" w14:paraId="0000025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216,473</w:t>
            </w:r>
          </w:p>
        </w:tc>
        <w:tc>
          <w:tcPr/>
          <w:p w:rsidR="00000000" w:rsidDel="00000000" w:rsidP="00000000" w:rsidRDefault="00000000" w:rsidRPr="00000000" w14:paraId="0000025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216,787</w:t>
            </w:r>
          </w:p>
        </w:tc>
        <w:tc>
          <w:tcPr/>
          <w:p w:rsidR="00000000" w:rsidDel="00000000" w:rsidP="00000000" w:rsidRDefault="00000000" w:rsidRPr="00000000" w14:paraId="0000025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179,510</w:t>
            </w:r>
          </w:p>
        </w:tc>
      </w:tr>
      <w:tr>
        <w:trPr>
          <w:cantSplit w:val="0"/>
          <w:tblHeader w:val="0"/>
        </w:trPr>
        <w:tc>
          <w:tcPr/>
          <w:p w:rsidR="00000000" w:rsidDel="00000000" w:rsidP="00000000" w:rsidRDefault="00000000" w:rsidRPr="00000000" w14:paraId="00000260">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Quick Ratio</w:t>
            </w:r>
            <w:r w:rsidDel="00000000" w:rsidR="00000000" w:rsidRPr="00000000">
              <w:rPr>
                <w:rtl w:val="0"/>
              </w:rPr>
            </w:r>
          </w:p>
        </w:tc>
        <w:tc>
          <w:tcPr/>
          <w:p w:rsidR="00000000" w:rsidDel="00000000" w:rsidP="00000000" w:rsidRDefault="00000000" w:rsidRPr="00000000" w14:paraId="0000026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(242,494 - 79,355) / 158,291 = </w:t>
            </w:r>
            <w:r w:rsidDel="00000000" w:rsidR="00000000" w:rsidRPr="00000000">
              <w:rPr>
                <w:rFonts w:ascii="Arial" w:cs="Arial" w:eastAsia="Arial" w:hAnsi="Arial"/>
                <w:b w:val="1"/>
                <w:bCs w:val="1"/>
                <w:rtl w:val="0"/>
              </w:rPr>
              <w:t xml:space="preserve">1.03</w:t>
            </w:r>
            <w:r w:rsidDel="00000000" w:rsidR="00000000" w:rsidRPr="00000000">
              <w:rPr>
                <w:rtl w:val="0"/>
              </w:rPr>
            </w:r>
          </w:p>
        </w:tc>
        <w:tc>
          <w:tcPr/>
          <w:p w:rsidR="00000000" w:rsidDel="00000000" w:rsidP="00000000" w:rsidRDefault="00000000" w:rsidRPr="00000000" w14:paraId="0000026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(258,851 - 88,273) / 161,148 = </w:t>
            </w:r>
            <w:r w:rsidDel="00000000" w:rsidR="00000000" w:rsidRPr="00000000">
              <w:rPr>
                <w:rFonts w:ascii="Arial" w:cs="Arial" w:eastAsia="Arial" w:hAnsi="Arial"/>
                <w:b w:val="1"/>
                <w:bCs w:val="1"/>
                <w:rtl w:val="0"/>
              </w:rPr>
              <w:t xml:space="preserve">1.06</w:t>
            </w:r>
            <w:r w:rsidDel="00000000" w:rsidR="00000000" w:rsidRPr="00000000">
              <w:rPr>
                <w:rtl w:val="0"/>
              </w:rPr>
            </w:r>
          </w:p>
        </w:tc>
        <w:tc>
          <w:tcPr/>
          <w:p w:rsidR="00000000" w:rsidDel="00000000" w:rsidP="00000000" w:rsidRDefault="00000000" w:rsidRPr="00000000" w14:paraId="0000026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(338,040 - 140,181) / 216,473 = </w:t>
            </w:r>
            <w:r w:rsidDel="00000000" w:rsidR="00000000" w:rsidRPr="00000000">
              <w:rPr>
                <w:rFonts w:ascii="Arial" w:cs="Arial" w:eastAsia="Arial" w:hAnsi="Arial"/>
                <w:b w:val="1"/>
                <w:bCs w:val="1"/>
                <w:rtl w:val="0"/>
              </w:rPr>
              <w:t xml:space="preserve">0.92</w:t>
            </w:r>
            <w:r w:rsidDel="00000000" w:rsidR="00000000" w:rsidRPr="00000000">
              <w:rPr>
                <w:rtl w:val="0"/>
              </w:rPr>
            </w:r>
          </w:p>
        </w:tc>
        <w:tc>
          <w:tcPr/>
          <w:p w:rsidR="00000000" w:rsidDel="00000000" w:rsidP="00000000" w:rsidRDefault="00000000" w:rsidRPr="00000000" w14:paraId="0000026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(337,146 - 134,469) / 216,787 = </w:t>
            </w:r>
            <w:r w:rsidDel="00000000" w:rsidR="00000000" w:rsidRPr="00000000">
              <w:rPr>
                <w:rFonts w:ascii="Arial" w:cs="Arial" w:eastAsia="Arial" w:hAnsi="Arial"/>
                <w:b w:val="1"/>
                <w:bCs w:val="1"/>
                <w:rtl w:val="0"/>
              </w:rPr>
              <w:t xml:space="preserve">0.94</w:t>
            </w:r>
            <w:r w:rsidDel="00000000" w:rsidR="00000000" w:rsidRPr="00000000">
              <w:rPr>
                <w:rtl w:val="0"/>
              </w:rPr>
            </w:r>
          </w:p>
        </w:tc>
        <w:tc>
          <w:tcPr/>
          <w:p w:rsidR="00000000" w:rsidDel="00000000" w:rsidP="00000000" w:rsidRDefault="00000000" w:rsidRPr="00000000" w14:paraId="0000026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(326,843 - 120,430) / 179,510 = </w:t>
            </w:r>
            <w:r w:rsidDel="00000000" w:rsidR="00000000" w:rsidRPr="00000000">
              <w:rPr>
                <w:rFonts w:ascii="Arial" w:cs="Arial" w:eastAsia="Arial" w:hAnsi="Arial"/>
                <w:b w:val="1"/>
                <w:bCs w:val="1"/>
                <w:rtl w:val="0"/>
              </w:rPr>
              <w:t xml:space="preserve">1.15</w:t>
            </w:r>
            <w:r w:rsidDel="00000000" w:rsidR="00000000" w:rsidRPr="00000000">
              <w:rPr>
                <w:rtl w:val="0"/>
              </w:rPr>
            </w:r>
          </w:p>
        </w:tc>
      </w:tr>
    </w:tbl>
    <w:p w:rsidR="00000000" w:rsidDel="00000000" w:rsidP="00000000" w:rsidRDefault="00000000" w:rsidRPr="00000000" w14:paraId="00000266">
      <w:pPr>
        <w:rPr/>
      </w:pPr>
      <w:r w:rsidDel="00000000" w:rsidR="00000000" w:rsidRPr="00000000">
        <w:rPr>
          <w:rtl w:val="0"/>
        </w:rPr>
      </w:r>
    </w:p>
    <w:p w:rsidR="00000000" w:rsidDel="00000000" w:rsidP="00000000" w:rsidRDefault="00000000" w:rsidRPr="00000000" w14:paraId="00000267">
      <w:pPr>
        <w:pStyle w:val="Heading2"/>
        <w:rPr/>
      </w:pPr>
      <w:bookmarkStart w:colFirst="0" w:colLast="0" w:name="_heading=h.ns6z5ctftc39" w:id="33"/>
      <w:bookmarkEnd w:id="33"/>
      <w:r w:rsidDel="00000000" w:rsidR="00000000" w:rsidRPr="00000000">
        <w:rPr>
          <w:rtl w:val="0"/>
        </w:rPr>
        <w:t xml:space="preserve">Appendix 1.3 Efficiency Ratios</w:t>
      </w:r>
    </w:p>
    <w:tbl>
      <w:tblPr>
        <w:tblStyle w:val="Table18"/>
        <w:tblW w:w="9026.0" w:type="dxa"/>
        <w:jc w:val="left"/>
        <w:tblBorders>
          <w:top w:color="95b3d7" w:space="0" w:sz="4" w:val="single"/>
          <w:left w:color="95b3d7" w:space="0" w:sz="4" w:val="single"/>
          <w:bottom w:color="95b3d7" w:space="0" w:sz="4" w:val="single"/>
          <w:right w:color="95b3d7" w:space="0" w:sz="4" w:val="single"/>
          <w:insideH w:color="95b3d7" w:space="0" w:sz="4" w:val="single"/>
          <w:insideV w:color="95b3d7" w:space="0" w:sz="4" w:val="single"/>
        </w:tblBorders>
        <w:tblLayout w:type="fixed"/>
        <w:tblLook w:val="04A0"/>
      </w:tblPr>
      <w:tblGrid>
        <w:gridCol w:w="1513"/>
        <w:gridCol w:w="1407"/>
        <w:gridCol w:w="1513"/>
        <w:gridCol w:w="1531"/>
        <w:gridCol w:w="1531"/>
        <w:gridCol w:w="1531"/>
        <w:tblGridChange w:id="0">
          <w:tblGrid>
            <w:gridCol w:w="1513"/>
            <w:gridCol w:w="1407"/>
            <w:gridCol w:w="1513"/>
            <w:gridCol w:w="1531"/>
            <w:gridCol w:w="1531"/>
            <w:gridCol w:w="1531"/>
          </w:tblGrid>
        </w:tblGridChange>
      </w:tblGrid>
      <w:tr>
        <w:trPr>
          <w:cantSplit w:val="0"/>
          <w:tblHeader w:val="0"/>
        </w:trPr>
        <w:tc>
          <w:tcPr/>
          <w:p w:rsidR="00000000" w:rsidDel="00000000" w:rsidP="00000000" w:rsidRDefault="00000000" w:rsidRPr="00000000" w14:paraId="0000026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Metric</w:t>
            </w:r>
          </w:p>
        </w:tc>
        <w:tc>
          <w:tcPr/>
          <w:p w:rsidR="00000000" w:rsidDel="00000000" w:rsidP="00000000" w:rsidRDefault="00000000" w:rsidRPr="00000000" w14:paraId="0000026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26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26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26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26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2020</w:t>
            </w:r>
          </w:p>
        </w:tc>
      </w:tr>
      <w:tr>
        <w:trPr>
          <w:cantSplit w:val="0"/>
          <w:tblHeader w:val="0"/>
        </w:trPr>
        <w:tc>
          <w:tcPr/>
          <w:p w:rsidR="00000000" w:rsidDel="00000000" w:rsidP="00000000" w:rsidRDefault="00000000" w:rsidRPr="00000000" w14:paraId="0000026E">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Cost of Sales (£m)</w:t>
            </w:r>
            <w:r w:rsidDel="00000000" w:rsidR="00000000" w:rsidRPr="00000000">
              <w:rPr>
                <w:rtl w:val="0"/>
              </w:rPr>
            </w:r>
          </w:p>
        </w:tc>
        <w:tc>
          <w:tcPr/>
          <w:p w:rsidR="00000000" w:rsidDel="00000000" w:rsidP="00000000" w:rsidRDefault="00000000" w:rsidRPr="00000000" w14:paraId="0000026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-280,885</w:t>
            </w:r>
          </w:p>
        </w:tc>
        <w:tc>
          <w:tcPr/>
          <w:p w:rsidR="00000000" w:rsidDel="00000000" w:rsidP="00000000" w:rsidRDefault="00000000" w:rsidRPr="00000000" w14:paraId="0000027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-322,897</w:t>
            </w:r>
          </w:p>
        </w:tc>
        <w:tc>
          <w:tcPr/>
          <w:p w:rsidR="00000000" w:rsidDel="00000000" w:rsidP="00000000" w:rsidRDefault="00000000" w:rsidRPr="00000000" w14:paraId="0000027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-390,459</w:t>
            </w:r>
          </w:p>
        </w:tc>
        <w:tc>
          <w:tcPr/>
          <w:p w:rsidR="00000000" w:rsidDel="00000000" w:rsidP="00000000" w:rsidRDefault="00000000" w:rsidRPr="00000000" w14:paraId="0000027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-428,586</w:t>
            </w:r>
          </w:p>
        </w:tc>
        <w:tc>
          <w:tcPr/>
          <w:p w:rsidR="00000000" w:rsidDel="00000000" w:rsidP="00000000" w:rsidRDefault="00000000" w:rsidRPr="00000000" w14:paraId="0000027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-438,424</w:t>
            </w:r>
          </w:p>
        </w:tc>
      </w:tr>
      <w:tr>
        <w:trPr>
          <w:cantSplit w:val="0"/>
          <w:tblHeader w:val="0"/>
        </w:trPr>
        <w:tc>
          <w:tcPr/>
          <w:p w:rsidR="00000000" w:rsidDel="00000000" w:rsidP="00000000" w:rsidRDefault="00000000" w:rsidRPr="00000000" w14:paraId="00000274">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Average Inventory (£m)</w:t>
            </w:r>
            <w:r w:rsidDel="00000000" w:rsidR="00000000" w:rsidRPr="00000000">
              <w:rPr>
                <w:rtl w:val="0"/>
              </w:rPr>
            </w:r>
          </w:p>
        </w:tc>
        <w:tc>
          <w:tcPr/>
          <w:p w:rsidR="00000000" w:rsidDel="00000000" w:rsidP="00000000" w:rsidRDefault="00000000" w:rsidRPr="00000000" w14:paraId="0000027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(79,355 + 88,273) / 2 = 83,314</w:t>
            </w:r>
          </w:p>
        </w:tc>
        <w:tc>
          <w:tcPr/>
          <w:p w:rsidR="00000000" w:rsidDel="00000000" w:rsidP="00000000" w:rsidRDefault="00000000" w:rsidRPr="00000000" w14:paraId="0000027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(88,273 + 140,181) / 2 = 114,227</w:t>
            </w:r>
          </w:p>
        </w:tc>
        <w:tc>
          <w:tcPr/>
          <w:p w:rsidR="00000000" w:rsidDel="00000000" w:rsidP="00000000" w:rsidRDefault="00000000" w:rsidRPr="00000000" w14:paraId="0000027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(140,181 + 134,469) / 2 = 137,325</w:t>
            </w:r>
          </w:p>
        </w:tc>
        <w:tc>
          <w:tcPr/>
          <w:p w:rsidR="00000000" w:rsidDel="00000000" w:rsidP="00000000" w:rsidRDefault="00000000" w:rsidRPr="00000000" w14:paraId="0000027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(134,469 + 120,430) / 2 = 127,450</w:t>
            </w:r>
          </w:p>
        </w:tc>
        <w:tc>
          <w:tcPr/>
          <w:p w:rsidR="00000000" w:rsidDel="00000000" w:rsidP="00000000" w:rsidRDefault="00000000" w:rsidRPr="00000000" w14:paraId="0000027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(120,430 + 120,430) / 2 = 120,430</w:t>
            </w:r>
          </w:p>
        </w:tc>
      </w:tr>
      <w:tr>
        <w:trPr>
          <w:cantSplit w:val="0"/>
          <w:tblHeader w:val="0"/>
        </w:trPr>
        <w:tc>
          <w:tcPr/>
          <w:p w:rsidR="00000000" w:rsidDel="00000000" w:rsidP="00000000" w:rsidRDefault="00000000" w:rsidRPr="00000000" w14:paraId="0000027A">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Inventory Turnover</w:t>
            </w:r>
            <w:r w:rsidDel="00000000" w:rsidR="00000000" w:rsidRPr="00000000">
              <w:rPr>
                <w:rtl w:val="0"/>
              </w:rPr>
            </w:r>
          </w:p>
        </w:tc>
        <w:tc>
          <w:tcPr/>
          <w:p w:rsidR="00000000" w:rsidDel="00000000" w:rsidP="00000000" w:rsidRDefault="00000000" w:rsidRPr="00000000" w14:paraId="0000027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(-280,885 / 83,314) = </w:t>
            </w:r>
            <w:r w:rsidDel="00000000" w:rsidR="00000000" w:rsidRPr="00000000">
              <w:rPr>
                <w:rFonts w:ascii="Arial" w:cs="Arial" w:eastAsia="Arial" w:hAnsi="Arial"/>
                <w:b w:val="1"/>
                <w:bCs w:val="1"/>
                <w:rtl w:val="0"/>
              </w:rPr>
              <w:t xml:space="preserve">3.37</w:t>
            </w:r>
            <w:r w:rsidDel="00000000" w:rsidR="00000000" w:rsidRPr="00000000">
              <w:rPr>
                <w:rtl w:val="0"/>
              </w:rPr>
            </w:r>
          </w:p>
        </w:tc>
        <w:tc>
          <w:tcPr/>
          <w:p w:rsidR="00000000" w:rsidDel="00000000" w:rsidP="00000000" w:rsidRDefault="00000000" w:rsidRPr="00000000" w14:paraId="0000027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(-322,897 / 114,227) = </w:t>
            </w:r>
            <w:r w:rsidDel="00000000" w:rsidR="00000000" w:rsidRPr="00000000">
              <w:rPr>
                <w:rFonts w:ascii="Arial" w:cs="Arial" w:eastAsia="Arial" w:hAnsi="Arial"/>
                <w:b w:val="1"/>
                <w:bCs w:val="1"/>
                <w:rtl w:val="0"/>
              </w:rPr>
              <w:t xml:space="preserve">2.82</w:t>
            </w:r>
            <w:r w:rsidDel="00000000" w:rsidR="00000000" w:rsidRPr="00000000">
              <w:rPr>
                <w:rtl w:val="0"/>
              </w:rPr>
            </w:r>
          </w:p>
        </w:tc>
        <w:tc>
          <w:tcPr/>
          <w:p w:rsidR="00000000" w:rsidDel="00000000" w:rsidP="00000000" w:rsidRDefault="00000000" w:rsidRPr="00000000" w14:paraId="0000027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(-390,459 / 137,325) = </w:t>
            </w:r>
            <w:r w:rsidDel="00000000" w:rsidR="00000000" w:rsidRPr="00000000">
              <w:rPr>
                <w:rFonts w:ascii="Arial" w:cs="Arial" w:eastAsia="Arial" w:hAnsi="Arial"/>
                <w:b w:val="1"/>
                <w:bCs w:val="1"/>
                <w:rtl w:val="0"/>
              </w:rPr>
              <w:t xml:space="preserve">2.84</w:t>
            </w:r>
            <w:r w:rsidDel="00000000" w:rsidR="00000000" w:rsidRPr="00000000">
              <w:rPr>
                <w:rtl w:val="0"/>
              </w:rPr>
            </w:r>
          </w:p>
        </w:tc>
        <w:tc>
          <w:tcPr/>
          <w:p w:rsidR="00000000" w:rsidDel="00000000" w:rsidP="00000000" w:rsidRDefault="00000000" w:rsidRPr="00000000" w14:paraId="0000027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(-428,586 / 127,450) = </w:t>
            </w:r>
            <w:r w:rsidDel="00000000" w:rsidR="00000000" w:rsidRPr="00000000">
              <w:rPr>
                <w:rFonts w:ascii="Arial" w:cs="Arial" w:eastAsia="Arial" w:hAnsi="Arial"/>
                <w:b w:val="1"/>
                <w:bCs w:val="1"/>
                <w:rtl w:val="0"/>
              </w:rPr>
              <w:t xml:space="preserve">3.36</w:t>
            </w:r>
            <w:r w:rsidDel="00000000" w:rsidR="00000000" w:rsidRPr="00000000">
              <w:rPr>
                <w:rtl w:val="0"/>
              </w:rPr>
            </w:r>
          </w:p>
        </w:tc>
        <w:tc>
          <w:tcPr/>
          <w:p w:rsidR="00000000" w:rsidDel="00000000" w:rsidP="00000000" w:rsidRDefault="00000000" w:rsidRPr="00000000" w14:paraId="0000027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(-438,424 / 120,430) = </w:t>
            </w:r>
            <w:r w:rsidDel="00000000" w:rsidR="00000000" w:rsidRPr="00000000">
              <w:rPr>
                <w:rFonts w:ascii="Arial" w:cs="Arial" w:eastAsia="Arial" w:hAnsi="Arial"/>
                <w:b w:val="1"/>
                <w:bCs w:val="1"/>
                <w:rtl w:val="0"/>
              </w:rPr>
              <w:t xml:space="preserve">3.64</w:t>
            </w:r>
            <w:r w:rsidDel="00000000" w:rsidR="00000000" w:rsidRPr="00000000">
              <w:rPr>
                <w:rtl w:val="0"/>
              </w:rPr>
            </w:r>
          </w:p>
        </w:tc>
      </w:tr>
    </w:tbl>
    <w:p w:rsidR="00000000" w:rsidDel="00000000" w:rsidP="00000000" w:rsidRDefault="00000000" w:rsidRPr="00000000" w14:paraId="00000280">
      <w:pPr>
        <w:rPr/>
      </w:pPr>
      <w:r w:rsidDel="00000000" w:rsidR="00000000" w:rsidRPr="00000000">
        <w:rPr>
          <w:rtl w:val="0"/>
        </w:rPr>
      </w:r>
    </w:p>
    <w:tbl>
      <w:tblPr>
        <w:tblStyle w:val="Table19"/>
        <w:tblW w:w="9026.0" w:type="dxa"/>
        <w:jc w:val="left"/>
        <w:tblBorders>
          <w:top w:color="95b3d7" w:space="0" w:sz="4" w:val="single"/>
          <w:left w:color="95b3d7" w:space="0" w:sz="4" w:val="single"/>
          <w:bottom w:color="95b3d7" w:space="0" w:sz="4" w:val="single"/>
          <w:right w:color="95b3d7" w:space="0" w:sz="4" w:val="single"/>
          <w:insideH w:color="95b3d7" w:space="0" w:sz="4" w:val="single"/>
          <w:insideV w:color="95b3d7" w:space="0" w:sz="4" w:val="single"/>
        </w:tblBorders>
        <w:tblLayout w:type="fixed"/>
        <w:tblLook w:val="04A0"/>
      </w:tblPr>
      <w:tblGrid>
        <w:gridCol w:w="1766"/>
        <w:gridCol w:w="1452"/>
        <w:gridCol w:w="1452"/>
        <w:gridCol w:w="1452"/>
        <w:gridCol w:w="1452"/>
        <w:gridCol w:w="1452"/>
        <w:tblGridChange w:id="0">
          <w:tblGrid>
            <w:gridCol w:w="1766"/>
            <w:gridCol w:w="1452"/>
            <w:gridCol w:w="1452"/>
            <w:gridCol w:w="1452"/>
            <w:gridCol w:w="1452"/>
            <w:gridCol w:w="1452"/>
          </w:tblGrid>
        </w:tblGridChange>
      </w:tblGrid>
      <w:tr>
        <w:trPr>
          <w:cantSplit w:val="0"/>
          <w:tblHeader w:val="0"/>
        </w:trPr>
        <w:tc>
          <w:tcPr/>
          <w:p w:rsidR="00000000" w:rsidDel="00000000" w:rsidP="00000000" w:rsidRDefault="00000000" w:rsidRPr="00000000" w14:paraId="0000028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Metric</w:t>
            </w:r>
          </w:p>
        </w:tc>
        <w:tc>
          <w:tcPr/>
          <w:p w:rsidR="00000000" w:rsidDel="00000000" w:rsidP="00000000" w:rsidRDefault="00000000" w:rsidRPr="00000000" w14:paraId="0000028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28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28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28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28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2020</w:t>
            </w:r>
          </w:p>
        </w:tc>
      </w:tr>
      <w:tr>
        <w:trPr>
          <w:cantSplit w:val="0"/>
          <w:tblHeader w:val="0"/>
        </w:trPr>
        <w:tc>
          <w:tcPr/>
          <w:p w:rsidR="00000000" w:rsidDel="00000000" w:rsidP="00000000" w:rsidRDefault="00000000" w:rsidRPr="00000000" w14:paraId="00000287">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Net Sales (£m)</w:t>
            </w:r>
            <w:r w:rsidDel="00000000" w:rsidR="00000000" w:rsidRPr="00000000">
              <w:rPr>
                <w:rtl w:val="0"/>
              </w:rPr>
            </w:r>
          </w:p>
        </w:tc>
        <w:tc>
          <w:tcPr/>
          <w:p w:rsidR="00000000" w:rsidDel="00000000" w:rsidP="00000000" w:rsidRDefault="00000000" w:rsidRPr="00000000" w14:paraId="0000028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394,879</w:t>
            </w:r>
          </w:p>
        </w:tc>
        <w:tc>
          <w:tcPr/>
          <w:p w:rsidR="00000000" w:rsidDel="00000000" w:rsidP="00000000" w:rsidRDefault="00000000" w:rsidRPr="00000000" w14:paraId="0000028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420,457</w:t>
            </w:r>
          </w:p>
        </w:tc>
        <w:tc>
          <w:tcPr/>
          <w:p w:rsidR="00000000" w:rsidDel="00000000" w:rsidP="00000000" w:rsidRDefault="00000000" w:rsidRPr="00000000" w14:paraId="0000028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542,751</w:t>
            </w:r>
          </w:p>
        </w:tc>
        <w:tc>
          <w:tcPr/>
          <w:p w:rsidR="00000000" w:rsidDel="00000000" w:rsidP="00000000" w:rsidRDefault="00000000" w:rsidRPr="00000000" w14:paraId="0000028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601,602</w:t>
            </w:r>
          </w:p>
        </w:tc>
        <w:tc>
          <w:tcPr/>
          <w:p w:rsidR="00000000" w:rsidDel="00000000" w:rsidP="00000000" w:rsidRDefault="00000000" w:rsidRPr="00000000" w14:paraId="0000028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614,680</w:t>
            </w:r>
          </w:p>
        </w:tc>
      </w:tr>
      <w:tr>
        <w:trPr>
          <w:cantSplit w:val="0"/>
          <w:tblHeader w:val="0"/>
        </w:trPr>
        <w:tc>
          <w:tcPr/>
          <w:p w:rsidR="00000000" w:rsidDel="00000000" w:rsidP="00000000" w:rsidRDefault="00000000" w:rsidRPr="00000000" w14:paraId="0000028D">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Average Accounts Receivable (£m)</w:t>
            </w:r>
            <w:r w:rsidDel="00000000" w:rsidR="00000000" w:rsidRPr="00000000">
              <w:rPr>
                <w:rtl w:val="0"/>
              </w:rPr>
            </w:r>
          </w:p>
        </w:tc>
        <w:tc>
          <w:tcPr/>
          <w:p w:rsidR="00000000" w:rsidDel="00000000" w:rsidP="00000000" w:rsidRDefault="00000000" w:rsidRPr="00000000" w14:paraId="0000028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(114,182 + 112,596) / 2 = 113,389</w:t>
            </w:r>
          </w:p>
        </w:tc>
        <w:tc>
          <w:tcPr/>
          <w:p w:rsidR="00000000" w:rsidDel="00000000" w:rsidP="00000000" w:rsidRDefault="00000000" w:rsidRPr="00000000" w14:paraId="0000028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(112,596 + 112,346) / 2 = 112,471</w:t>
            </w:r>
          </w:p>
        </w:tc>
        <w:tc>
          <w:tcPr/>
          <w:p w:rsidR="00000000" w:rsidDel="00000000" w:rsidP="00000000" w:rsidRDefault="00000000" w:rsidRPr="00000000" w14:paraId="0000029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(112,346 + 129,215) / 2 = 120,280</w:t>
            </w:r>
          </w:p>
        </w:tc>
        <w:tc>
          <w:tcPr/>
          <w:p w:rsidR="00000000" w:rsidDel="00000000" w:rsidP="00000000" w:rsidRDefault="00000000" w:rsidRPr="00000000" w14:paraId="0000029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(129,215 + 129,433) / 2 = 129,324</w:t>
            </w:r>
          </w:p>
        </w:tc>
        <w:tc>
          <w:tcPr/>
          <w:p w:rsidR="00000000" w:rsidDel="00000000" w:rsidP="00000000" w:rsidRDefault="00000000" w:rsidRPr="00000000" w14:paraId="0000029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(129,433 + 129,433) / 2 = 129,433</w:t>
            </w:r>
          </w:p>
        </w:tc>
      </w:tr>
      <w:tr>
        <w:trPr>
          <w:cantSplit w:val="0"/>
          <w:tblHeader w:val="0"/>
        </w:trPr>
        <w:tc>
          <w:tcPr/>
          <w:p w:rsidR="00000000" w:rsidDel="00000000" w:rsidP="00000000" w:rsidRDefault="00000000" w:rsidRPr="00000000" w14:paraId="00000293">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Accounts Receivable Turnover</w:t>
            </w:r>
            <w:r w:rsidDel="00000000" w:rsidR="00000000" w:rsidRPr="00000000">
              <w:rPr>
                <w:rtl w:val="0"/>
              </w:rPr>
            </w:r>
          </w:p>
        </w:tc>
        <w:tc>
          <w:tcPr/>
          <w:p w:rsidR="00000000" w:rsidDel="00000000" w:rsidP="00000000" w:rsidRDefault="00000000" w:rsidRPr="00000000" w14:paraId="0000029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(394,879 / 113,389) = </w:t>
            </w:r>
            <w:r w:rsidDel="00000000" w:rsidR="00000000" w:rsidRPr="00000000">
              <w:rPr>
                <w:rFonts w:ascii="Arial" w:cs="Arial" w:eastAsia="Arial" w:hAnsi="Arial"/>
                <w:b w:val="1"/>
                <w:bCs w:val="1"/>
                <w:rtl w:val="0"/>
              </w:rPr>
              <w:t xml:space="preserve">3.48</w:t>
            </w:r>
            <w:r w:rsidDel="00000000" w:rsidR="00000000" w:rsidRPr="00000000">
              <w:rPr>
                <w:rtl w:val="0"/>
              </w:rPr>
            </w:r>
          </w:p>
        </w:tc>
        <w:tc>
          <w:tcPr/>
          <w:p w:rsidR="00000000" w:rsidDel="00000000" w:rsidP="00000000" w:rsidRDefault="00000000" w:rsidRPr="00000000" w14:paraId="0000029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(420,457 / 112,471) = </w:t>
            </w:r>
            <w:r w:rsidDel="00000000" w:rsidR="00000000" w:rsidRPr="00000000">
              <w:rPr>
                <w:rFonts w:ascii="Arial" w:cs="Arial" w:eastAsia="Arial" w:hAnsi="Arial"/>
                <w:b w:val="1"/>
                <w:bCs w:val="1"/>
                <w:rtl w:val="0"/>
              </w:rPr>
              <w:t xml:space="preserve">3.74</w:t>
            </w:r>
            <w:r w:rsidDel="00000000" w:rsidR="00000000" w:rsidRPr="00000000">
              <w:rPr>
                <w:rtl w:val="0"/>
              </w:rPr>
            </w:r>
          </w:p>
        </w:tc>
        <w:tc>
          <w:tcPr/>
          <w:p w:rsidR="00000000" w:rsidDel="00000000" w:rsidP="00000000" w:rsidRDefault="00000000" w:rsidRPr="00000000" w14:paraId="0000029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(542,751 / 120,280) = </w:t>
            </w:r>
            <w:r w:rsidDel="00000000" w:rsidR="00000000" w:rsidRPr="00000000">
              <w:rPr>
                <w:rFonts w:ascii="Arial" w:cs="Arial" w:eastAsia="Arial" w:hAnsi="Arial"/>
                <w:b w:val="1"/>
                <w:bCs w:val="1"/>
                <w:rtl w:val="0"/>
              </w:rPr>
              <w:t xml:space="preserve">4.51</w:t>
            </w:r>
            <w:r w:rsidDel="00000000" w:rsidR="00000000" w:rsidRPr="00000000">
              <w:rPr>
                <w:rtl w:val="0"/>
              </w:rPr>
            </w:r>
          </w:p>
        </w:tc>
        <w:tc>
          <w:tcPr/>
          <w:p w:rsidR="00000000" w:rsidDel="00000000" w:rsidP="00000000" w:rsidRDefault="00000000" w:rsidRPr="00000000" w14:paraId="0000029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(601,602 / 129,324) = </w:t>
            </w:r>
            <w:r w:rsidDel="00000000" w:rsidR="00000000" w:rsidRPr="00000000">
              <w:rPr>
                <w:rFonts w:ascii="Arial" w:cs="Arial" w:eastAsia="Arial" w:hAnsi="Arial"/>
                <w:b w:val="1"/>
                <w:bCs w:val="1"/>
                <w:rtl w:val="0"/>
              </w:rPr>
              <w:t xml:space="preserve">4.65</w:t>
            </w:r>
            <w:r w:rsidDel="00000000" w:rsidR="00000000" w:rsidRPr="00000000">
              <w:rPr>
                <w:rtl w:val="0"/>
              </w:rPr>
            </w:r>
          </w:p>
        </w:tc>
        <w:tc>
          <w:tcPr/>
          <w:p w:rsidR="00000000" w:rsidDel="00000000" w:rsidP="00000000" w:rsidRDefault="00000000" w:rsidRPr="00000000" w14:paraId="0000029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(614,680 / 129,433) = </w:t>
            </w:r>
            <w:r w:rsidDel="00000000" w:rsidR="00000000" w:rsidRPr="00000000">
              <w:rPr>
                <w:rFonts w:ascii="Arial" w:cs="Arial" w:eastAsia="Arial" w:hAnsi="Arial"/>
                <w:b w:val="1"/>
                <w:bCs w:val="1"/>
                <w:rtl w:val="0"/>
              </w:rPr>
              <w:t xml:space="preserve">4.75</w:t>
            </w:r>
            <w:r w:rsidDel="00000000" w:rsidR="00000000" w:rsidRPr="00000000">
              <w:rPr>
                <w:rtl w:val="0"/>
              </w:rPr>
            </w:r>
          </w:p>
        </w:tc>
      </w:tr>
    </w:tbl>
    <w:p w:rsidR="00000000" w:rsidDel="00000000" w:rsidP="00000000" w:rsidRDefault="00000000" w:rsidRPr="00000000" w14:paraId="00000299">
      <w:pPr>
        <w:rPr/>
      </w:pPr>
      <w:r w:rsidDel="00000000" w:rsidR="00000000" w:rsidRPr="00000000">
        <w:rPr>
          <w:rtl w:val="0"/>
        </w:rPr>
      </w:r>
    </w:p>
    <w:p w:rsidR="00000000" w:rsidDel="00000000" w:rsidP="00000000" w:rsidRDefault="00000000" w:rsidRPr="00000000" w14:paraId="0000029A">
      <w:pPr>
        <w:rPr/>
      </w:pPr>
      <w:r w:rsidDel="00000000" w:rsidR="00000000" w:rsidRPr="00000000">
        <w:rPr>
          <w:rtl w:val="0"/>
        </w:rPr>
      </w:r>
    </w:p>
    <w:tbl>
      <w:tblPr>
        <w:tblStyle w:val="Table20"/>
        <w:tblW w:w="9026.0" w:type="dxa"/>
        <w:jc w:val="left"/>
        <w:tblBorders>
          <w:top w:color="95b3d7" w:space="0" w:sz="4" w:val="single"/>
          <w:left w:color="95b3d7" w:space="0" w:sz="4" w:val="single"/>
          <w:bottom w:color="95b3d7" w:space="0" w:sz="4" w:val="single"/>
          <w:right w:color="95b3d7" w:space="0" w:sz="4" w:val="single"/>
          <w:insideH w:color="95b3d7" w:space="0" w:sz="4" w:val="single"/>
          <w:insideV w:color="95b3d7" w:space="0" w:sz="4" w:val="single"/>
        </w:tblBorders>
        <w:tblLayout w:type="fixed"/>
        <w:tblLook w:val="04A0"/>
      </w:tblPr>
      <w:tblGrid>
        <w:gridCol w:w="1716"/>
        <w:gridCol w:w="1462"/>
        <w:gridCol w:w="1462"/>
        <w:gridCol w:w="1462"/>
        <w:gridCol w:w="1462"/>
        <w:gridCol w:w="1462"/>
        <w:tblGridChange w:id="0">
          <w:tblGrid>
            <w:gridCol w:w="1716"/>
            <w:gridCol w:w="1462"/>
            <w:gridCol w:w="1462"/>
            <w:gridCol w:w="1462"/>
            <w:gridCol w:w="1462"/>
            <w:gridCol w:w="1462"/>
          </w:tblGrid>
        </w:tblGridChange>
      </w:tblGrid>
      <w:tr>
        <w:trPr>
          <w:cantSplit w:val="0"/>
          <w:tblHeader w:val="0"/>
        </w:trPr>
        <w:tc>
          <w:tcPr/>
          <w:p w:rsidR="00000000" w:rsidDel="00000000" w:rsidP="00000000" w:rsidRDefault="00000000" w:rsidRPr="00000000" w14:paraId="0000029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Metric</w:t>
            </w:r>
          </w:p>
        </w:tc>
        <w:tc>
          <w:tcPr/>
          <w:p w:rsidR="00000000" w:rsidDel="00000000" w:rsidP="00000000" w:rsidRDefault="00000000" w:rsidRPr="00000000" w14:paraId="0000029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29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29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29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2A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2020</w:t>
            </w:r>
          </w:p>
        </w:tc>
      </w:tr>
      <w:tr>
        <w:trPr>
          <w:cantSplit w:val="0"/>
          <w:tblHeader w:val="0"/>
        </w:trPr>
        <w:tc>
          <w:tcPr/>
          <w:p w:rsidR="00000000" w:rsidDel="00000000" w:rsidP="00000000" w:rsidRDefault="00000000" w:rsidRPr="00000000" w14:paraId="000002A1">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Cost of Sales (£m)</w:t>
            </w:r>
            <w:r w:rsidDel="00000000" w:rsidR="00000000" w:rsidRPr="00000000">
              <w:rPr>
                <w:rtl w:val="0"/>
              </w:rPr>
            </w:r>
          </w:p>
        </w:tc>
        <w:tc>
          <w:tcPr/>
          <w:p w:rsidR="00000000" w:rsidDel="00000000" w:rsidP="00000000" w:rsidRDefault="00000000" w:rsidRPr="00000000" w14:paraId="000002A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-280,885</w:t>
            </w:r>
          </w:p>
        </w:tc>
        <w:tc>
          <w:tcPr/>
          <w:p w:rsidR="00000000" w:rsidDel="00000000" w:rsidP="00000000" w:rsidRDefault="00000000" w:rsidRPr="00000000" w14:paraId="000002A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-322,897</w:t>
            </w:r>
          </w:p>
        </w:tc>
        <w:tc>
          <w:tcPr/>
          <w:p w:rsidR="00000000" w:rsidDel="00000000" w:rsidP="00000000" w:rsidRDefault="00000000" w:rsidRPr="00000000" w14:paraId="000002A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-390,459</w:t>
            </w:r>
          </w:p>
        </w:tc>
        <w:tc>
          <w:tcPr/>
          <w:p w:rsidR="00000000" w:rsidDel="00000000" w:rsidP="00000000" w:rsidRDefault="00000000" w:rsidRPr="00000000" w14:paraId="000002A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-428,586</w:t>
            </w:r>
          </w:p>
        </w:tc>
        <w:tc>
          <w:tcPr/>
          <w:p w:rsidR="00000000" w:rsidDel="00000000" w:rsidP="00000000" w:rsidRDefault="00000000" w:rsidRPr="00000000" w14:paraId="000002A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-438,424</w:t>
            </w:r>
          </w:p>
        </w:tc>
      </w:tr>
      <w:tr>
        <w:trPr>
          <w:cantSplit w:val="0"/>
          <w:tblHeader w:val="0"/>
        </w:trPr>
        <w:tc>
          <w:tcPr/>
          <w:p w:rsidR="00000000" w:rsidDel="00000000" w:rsidP="00000000" w:rsidRDefault="00000000" w:rsidRPr="00000000" w14:paraId="000002A7">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Average Accounts Payable (£m)</w:t>
            </w:r>
            <w:r w:rsidDel="00000000" w:rsidR="00000000" w:rsidRPr="00000000">
              <w:rPr>
                <w:rtl w:val="0"/>
              </w:rPr>
            </w:r>
          </w:p>
        </w:tc>
        <w:tc>
          <w:tcPr/>
          <w:p w:rsidR="00000000" w:rsidDel="00000000" w:rsidP="00000000" w:rsidRDefault="00000000" w:rsidRPr="00000000" w14:paraId="000002A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(72,031 + 57,033) / 2 = 64,532</w:t>
            </w:r>
          </w:p>
        </w:tc>
        <w:tc>
          <w:tcPr/>
          <w:p w:rsidR="00000000" w:rsidDel="00000000" w:rsidP="00000000" w:rsidRDefault="00000000" w:rsidRPr="00000000" w14:paraId="000002A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(57,033 + 71,373) / 2 = 64,203</w:t>
            </w:r>
          </w:p>
        </w:tc>
        <w:tc>
          <w:tcPr/>
          <w:p w:rsidR="00000000" w:rsidDel="00000000" w:rsidP="00000000" w:rsidRDefault="00000000" w:rsidRPr="00000000" w14:paraId="000002A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(71,373 + 92,707) / 2 = 82,040</w:t>
            </w:r>
          </w:p>
        </w:tc>
        <w:tc>
          <w:tcPr/>
          <w:p w:rsidR="00000000" w:rsidDel="00000000" w:rsidP="00000000" w:rsidRDefault="00000000" w:rsidRPr="00000000" w14:paraId="000002A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(92,707 + 83,229) / 2 = 87,968</w:t>
            </w:r>
          </w:p>
        </w:tc>
        <w:tc>
          <w:tcPr/>
          <w:p w:rsidR="00000000" w:rsidDel="00000000" w:rsidP="00000000" w:rsidRDefault="00000000" w:rsidRPr="00000000" w14:paraId="000002A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(83,229 + 83,229) / 2 = 83,229</w:t>
            </w:r>
          </w:p>
        </w:tc>
      </w:tr>
      <w:tr>
        <w:trPr>
          <w:cantSplit w:val="0"/>
          <w:tblHeader w:val="0"/>
        </w:trPr>
        <w:tc>
          <w:tcPr/>
          <w:p w:rsidR="00000000" w:rsidDel="00000000" w:rsidP="00000000" w:rsidRDefault="00000000" w:rsidRPr="00000000" w14:paraId="000002AD">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Accounts Payable Turnover</w:t>
            </w:r>
            <w:r w:rsidDel="00000000" w:rsidR="00000000" w:rsidRPr="00000000">
              <w:rPr>
                <w:rtl w:val="0"/>
              </w:rPr>
            </w:r>
          </w:p>
        </w:tc>
        <w:tc>
          <w:tcPr/>
          <w:p w:rsidR="00000000" w:rsidDel="00000000" w:rsidP="00000000" w:rsidRDefault="00000000" w:rsidRPr="00000000" w14:paraId="000002A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(-280,885 / 64,532) = </w:t>
            </w:r>
            <w:r w:rsidDel="00000000" w:rsidR="00000000" w:rsidRPr="00000000">
              <w:rPr>
                <w:rFonts w:ascii="Arial" w:cs="Arial" w:eastAsia="Arial" w:hAnsi="Arial"/>
                <w:b w:val="1"/>
                <w:bCs w:val="1"/>
                <w:rtl w:val="0"/>
              </w:rPr>
              <w:t xml:space="preserve">4.36</w:t>
            </w:r>
            <w:r w:rsidDel="00000000" w:rsidR="00000000" w:rsidRPr="00000000">
              <w:rPr>
                <w:rtl w:val="0"/>
              </w:rPr>
            </w:r>
          </w:p>
        </w:tc>
        <w:tc>
          <w:tcPr/>
          <w:p w:rsidR="00000000" w:rsidDel="00000000" w:rsidP="00000000" w:rsidRDefault="00000000" w:rsidRPr="00000000" w14:paraId="000002A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(-322,897 / 64,203) = </w:t>
            </w:r>
            <w:r w:rsidDel="00000000" w:rsidR="00000000" w:rsidRPr="00000000">
              <w:rPr>
                <w:rFonts w:ascii="Arial" w:cs="Arial" w:eastAsia="Arial" w:hAnsi="Arial"/>
                <w:b w:val="1"/>
                <w:bCs w:val="1"/>
                <w:rtl w:val="0"/>
              </w:rPr>
              <w:t xml:space="preserve">5.03</w:t>
            </w:r>
            <w:r w:rsidDel="00000000" w:rsidR="00000000" w:rsidRPr="00000000">
              <w:rPr>
                <w:rtl w:val="0"/>
              </w:rPr>
            </w:r>
          </w:p>
        </w:tc>
        <w:tc>
          <w:tcPr/>
          <w:p w:rsidR="00000000" w:rsidDel="00000000" w:rsidP="00000000" w:rsidRDefault="00000000" w:rsidRPr="00000000" w14:paraId="000002B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(-390,459 / 82,040) = </w:t>
            </w:r>
            <w:r w:rsidDel="00000000" w:rsidR="00000000" w:rsidRPr="00000000">
              <w:rPr>
                <w:rFonts w:ascii="Arial" w:cs="Arial" w:eastAsia="Arial" w:hAnsi="Arial"/>
                <w:b w:val="1"/>
                <w:bCs w:val="1"/>
                <w:rtl w:val="0"/>
              </w:rPr>
              <w:t xml:space="preserve">4.76</w:t>
            </w:r>
            <w:r w:rsidDel="00000000" w:rsidR="00000000" w:rsidRPr="00000000">
              <w:rPr>
                <w:rtl w:val="0"/>
              </w:rPr>
            </w:r>
          </w:p>
        </w:tc>
        <w:tc>
          <w:tcPr/>
          <w:p w:rsidR="00000000" w:rsidDel="00000000" w:rsidP="00000000" w:rsidRDefault="00000000" w:rsidRPr="00000000" w14:paraId="000002B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(-428,586 / 87,968) = </w:t>
            </w:r>
            <w:r w:rsidDel="00000000" w:rsidR="00000000" w:rsidRPr="00000000">
              <w:rPr>
                <w:rFonts w:ascii="Arial" w:cs="Arial" w:eastAsia="Arial" w:hAnsi="Arial"/>
                <w:b w:val="1"/>
                <w:bCs w:val="1"/>
                <w:rtl w:val="0"/>
              </w:rPr>
              <w:t xml:space="preserve">4.87</w:t>
            </w:r>
            <w:r w:rsidDel="00000000" w:rsidR="00000000" w:rsidRPr="00000000">
              <w:rPr>
                <w:rtl w:val="0"/>
              </w:rPr>
            </w:r>
          </w:p>
        </w:tc>
        <w:tc>
          <w:tcPr/>
          <w:p w:rsidR="00000000" w:rsidDel="00000000" w:rsidP="00000000" w:rsidRDefault="00000000" w:rsidRPr="00000000" w14:paraId="000002B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(-438,424 / 83,229) = </w:t>
            </w:r>
            <w:r w:rsidDel="00000000" w:rsidR="00000000" w:rsidRPr="00000000">
              <w:rPr>
                <w:rFonts w:ascii="Arial" w:cs="Arial" w:eastAsia="Arial" w:hAnsi="Arial"/>
                <w:b w:val="1"/>
                <w:bCs w:val="1"/>
                <w:rtl w:val="0"/>
              </w:rPr>
              <w:t xml:space="preserve">5.26</w:t>
            </w:r>
            <w:r w:rsidDel="00000000" w:rsidR="00000000" w:rsidRPr="00000000">
              <w:rPr>
                <w:rtl w:val="0"/>
              </w:rPr>
            </w:r>
          </w:p>
        </w:tc>
      </w:tr>
    </w:tbl>
    <w:p w:rsidR="00000000" w:rsidDel="00000000" w:rsidP="00000000" w:rsidRDefault="00000000" w:rsidRPr="00000000" w14:paraId="000002B3">
      <w:pPr>
        <w:rPr/>
      </w:pPr>
      <w:r w:rsidDel="00000000" w:rsidR="00000000" w:rsidRPr="00000000">
        <w:rPr>
          <w:rtl w:val="0"/>
        </w:rPr>
      </w:r>
    </w:p>
    <w:tbl>
      <w:tblPr>
        <w:tblStyle w:val="Table21"/>
        <w:tblW w:w="9026.0" w:type="dxa"/>
        <w:jc w:val="left"/>
        <w:tblBorders>
          <w:top w:color="95b3d7" w:space="0" w:sz="4" w:val="single"/>
          <w:left w:color="95b3d7" w:space="0" w:sz="4" w:val="single"/>
          <w:bottom w:color="95b3d7" w:space="0" w:sz="4" w:val="single"/>
          <w:right w:color="95b3d7" w:space="0" w:sz="4" w:val="single"/>
          <w:insideH w:color="95b3d7" w:space="0" w:sz="4" w:val="single"/>
          <w:insideV w:color="95b3d7" w:space="0" w:sz="4" w:val="single"/>
        </w:tblBorders>
        <w:tblLayout w:type="fixed"/>
        <w:tblLook w:val="04A0"/>
      </w:tblPr>
      <w:tblGrid>
        <w:gridCol w:w="1436"/>
        <w:gridCol w:w="1518"/>
        <w:gridCol w:w="1518"/>
        <w:gridCol w:w="1518"/>
        <w:gridCol w:w="1518"/>
        <w:gridCol w:w="1518"/>
        <w:tblGridChange w:id="0">
          <w:tblGrid>
            <w:gridCol w:w="1436"/>
            <w:gridCol w:w="1518"/>
            <w:gridCol w:w="1518"/>
            <w:gridCol w:w="1518"/>
            <w:gridCol w:w="1518"/>
            <w:gridCol w:w="1518"/>
          </w:tblGrid>
        </w:tblGridChange>
      </w:tblGrid>
      <w:tr>
        <w:trPr>
          <w:cantSplit w:val="0"/>
          <w:tblHeader w:val="0"/>
        </w:trPr>
        <w:tc>
          <w:tcPr/>
          <w:p w:rsidR="00000000" w:rsidDel="00000000" w:rsidP="00000000" w:rsidRDefault="00000000" w:rsidRPr="00000000" w14:paraId="000002B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Metric</w:t>
            </w:r>
          </w:p>
        </w:tc>
        <w:tc>
          <w:tcPr/>
          <w:p w:rsidR="00000000" w:rsidDel="00000000" w:rsidP="00000000" w:rsidRDefault="00000000" w:rsidRPr="00000000" w14:paraId="000002B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2B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2B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2B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2B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2020</w:t>
            </w:r>
          </w:p>
        </w:tc>
      </w:tr>
      <w:tr>
        <w:trPr>
          <w:cantSplit w:val="0"/>
          <w:tblHeader w:val="0"/>
        </w:trPr>
        <w:tc>
          <w:tcPr/>
          <w:p w:rsidR="00000000" w:rsidDel="00000000" w:rsidP="00000000" w:rsidRDefault="00000000" w:rsidRPr="00000000" w14:paraId="000002BA">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Net Sales (£m)</w:t>
            </w:r>
            <w:r w:rsidDel="00000000" w:rsidR="00000000" w:rsidRPr="00000000">
              <w:rPr>
                <w:rtl w:val="0"/>
              </w:rPr>
            </w:r>
          </w:p>
        </w:tc>
        <w:tc>
          <w:tcPr/>
          <w:p w:rsidR="00000000" w:rsidDel="00000000" w:rsidP="00000000" w:rsidRDefault="00000000" w:rsidRPr="00000000" w14:paraId="000002B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394,879</w:t>
            </w:r>
          </w:p>
        </w:tc>
        <w:tc>
          <w:tcPr/>
          <w:p w:rsidR="00000000" w:rsidDel="00000000" w:rsidP="00000000" w:rsidRDefault="00000000" w:rsidRPr="00000000" w14:paraId="000002B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420,457</w:t>
            </w:r>
          </w:p>
        </w:tc>
        <w:tc>
          <w:tcPr/>
          <w:p w:rsidR="00000000" w:rsidDel="00000000" w:rsidP="00000000" w:rsidRDefault="00000000" w:rsidRPr="00000000" w14:paraId="000002B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542,751</w:t>
            </w:r>
          </w:p>
        </w:tc>
        <w:tc>
          <w:tcPr/>
          <w:p w:rsidR="00000000" w:rsidDel="00000000" w:rsidP="00000000" w:rsidRDefault="00000000" w:rsidRPr="00000000" w14:paraId="000002B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601,602</w:t>
            </w:r>
          </w:p>
        </w:tc>
        <w:tc>
          <w:tcPr/>
          <w:p w:rsidR="00000000" w:rsidDel="00000000" w:rsidP="00000000" w:rsidRDefault="00000000" w:rsidRPr="00000000" w14:paraId="000002B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614,680</w:t>
            </w:r>
          </w:p>
        </w:tc>
      </w:tr>
      <w:tr>
        <w:trPr>
          <w:cantSplit w:val="0"/>
          <w:tblHeader w:val="0"/>
        </w:trPr>
        <w:tc>
          <w:tcPr/>
          <w:p w:rsidR="00000000" w:rsidDel="00000000" w:rsidP="00000000" w:rsidRDefault="00000000" w:rsidRPr="00000000" w14:paraId="000002C0">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Total Assets (£m)</w:t>
            </w:r>
            <w:r w:rsidDel="00000000" w:rsidR="00000000" w:rsidRPr="00000000">
              <w:rPr>
                <w:rtl w:val="0"/>
              </w:rPr>
            </w:r>
          </w:p>
        </w:tc>
        <w:tc>
          <w:tcPr/>
          <w:p w:rsidR="00000000" w:rsidDel="00000000" w:rsidP="00000000" w:rsidRDefault="00000000" w:rsidRPr="00000000" w14:paraId="000002C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323,354</w:t>
            </w:r>
          </w:p>
        </w:tc>
        <w:tc>
          <w:tcPr/>
          <w:p w:rsidR="00000000" w:rsidDel="00000000" w:rsidP="00000000" w:rsidRDefault="00000000" w:rsidRPr="00000000" w14:paraId="000002C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355,872</w:t>
            </w:r>
          </w:p>
        </w:tc>
        <w:tc>
          <w:tcPr/>
          <w:p w:rsidR="00000000" w:rsidDel="00000000" w:rsidP="00000000" w:rsidRDefault="00000000" w:rsidRPr="00000000" w14:paraId="000002C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504,163</w:t>
            </w:r>
          </w:p>
        </w:tc>
        <w:tc>
          <w:tcPr/>
          <w:p w:rsidR="00000000" w:rsidDel="00000000" w:rsidP="00000000" w:rsidRDefault="00000000" w:rsidRPr="00000000" w14:paraId="000002C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510,348</w:t>
            </w:r>
          </w:p>
        </w:tc>
        <w:tc>
          <w:tcPr/>
          <w:p w:rsidR="00000000" w:rsidDel="00000000" w:rsidP="00000000" w:rsidRDefault="00000000" w:rsidRPr="00000000" w14:paraId="000002C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510,290</w:t>
            </w:r>
          </w:p>
        </w:tc>
      </w:tr>
      <w:tr>
        <w:trPr>
          <w:cantSplit w:val="0"/>
          <w:tblHeader w:val="0"/>
        </w:trPr>
        <w:tc>
          <w:tcPr/>
          <w:p w:rsidR="00000000" w:rsidDel="00000000" w:rsidP="00000000" w:rsidRDefault="00000000" w:rsidRPr="00000000" w14:paraId="000002C6">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Asset Turnover</w:t>
            </w:r>
            <w:r w:rsidDel="00000000" w:rsidR="00000000" w:rsidRPr="00000000">
              <w:rPr>
                <w:rtl w:val="0"/>
              </w:rPr>
            </w:r>
          </w:p>
        </w:tc>
        <w:tc>
          <w:tcPr/>
          <w:p w:rsidR="00000000" w:rsidDel="00000000" w:rsidP="00000000" w:rsidRDefault="00000000" w:rsidRPr="00000000" w14:paraId="000002C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(394,879 / 323,354) = </w:t>
            </w:r>
            <w:r w:rsidDel="00000000" w:rsidR="00000000" w:rsidRPr="00000000">
              <w:rPr>
                <w:rFonts w:ascii="Arial" w:cs="Arial" w:eastAsia="Arial" w:hAnsi="Arial"/>
                <w:b w:val="1"/>
                <w:bCs w:val="1"/>
                <w:rtl w:val="0"/>
              </w:rPr>
              <w:t xml:space="preserve">1.22</w:t>
            </w:r>
            <w:r w:rsidDel="00000000" w:rsidR="00000000" w:rsidRPr="00000000">
              <w:rPr>
                <w:rtl w:val="0"/>
              </w:rPr>
            </w:r>
          </w:p>
        </w:tc>
        <w:tc>
          <w:tcPr/>
          <w:p w:rsidR="00000000" w:rsidDel="00000000" w:rsidP="00000000" w:rsidRDefault="00000000" w:rsidRPr="00000000" w14:paraId="000002C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(420,457 / 355,872) = </w:t>
            </w:r>
            <w:r w:rsidDel="00000000" w:rsidR="00000000" w:rsidRPr="00000000">
              <w:rPr>
                <w:rFonts w:ascii="Arial" w:cs="Arial" w:eastAsia="Arial" w:hAnsi="Arial"/>
                <w:b w:val="1"/>
                <w:bCs w:val="1"/>
                <w:rtl w:val="0"/>
              </w:rPr>
              <w:t xml:space="preserve">1.18</w:t>
            </w:r>
            <w:r w:rsidDel="00000000" w:rsidR="00000000" w:rsidRPr="00000000">
              <w:rPr>
                <w:rtl w:val="0"/>
              </w:rPr>
            </w:r>
          </w:p>
        </w:tc>
        <w:tc>
          <w:tcPr/>
          <w:p w:rsidR="00000000" w:rsidDel="00000000" w:rsidP="00000000" w:rsidRDefault="00000000" w:rsidRPr="00000000" w14:paraId="000002C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(542,751 / 504,163) = </w:t>
            </w:r>
            <w:r w:rsidDel="00000000" w:rsidR="00000000" w:rsidRPr="00000000">
              <w:rPr>
                <w:rFonts w:ascii="Arial" w:cs="Arial" w:eastAsia="Arial" w:hAnsi="Arial"/>
                <w:b w:val="1"/>
                <w:bCs w:val="1"/>
                <w:rtl w:val="0"/>
              </w:rPr>
              <w:t xml:space="preserve">1.08</w:t>
            </w:r>
            <w:r w:rsidDel="00000000" w:rsidR="00000000" w:rsidRPr="00000000">
              <w:rPr>
                <w:rtl w:val="0"/>
              </w:rPr>
            </w:r>
          </w:p>
        </w:tc>
        <w:tc>
          <w:tcPr/>
          <w:p w:rsidR="00000000" w:rsidDel="00000000" w:rsidP="00000000" w:rsidRDefault="00000000" w:rsidRPr="00000000" w14:paraId="000002C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(601,602 / 510,348) = </w:t>
            </w:r>
            <w:r w:rsidDel="00000000" w:rsidR="00000000" w:rsidRPr="00000000">
              <w:rPr>
                <w:rFonts w:ascii="Arial" w:cs="Arial" w:eastAsia="Arial" w:hAnsi="Arial"/>
                <w:b w:val="1"/>
                <w:bCs w:val="1"/>
                <w:rtl w:val="0"/>
              </w:rPr>
              <w:t xml:space="preserve">1.18</w:t>
            </w:r>
            <w:r w:rsidDel="00000000" w:rsidR="00000000" w:rsidRPr="00000000">
              <w:rPr>
                <w:rtl w:val="0"/>
              </w:rPr>
            </w:r>
          </w:p>
        </w:tc>
        <w:tc>
          <w:tcPr/>
          <w:p w:rsidR="00000000" w:rsidDel="00000000" w:rsidP="00000000" w:rsidRDefault="00000000" w:rsidRPr="00000000" w14:paraId="000002C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(614,680 / 510,290) = </w:t>
            </w:r>
            <w:r w:rsidDel="00000000" w:rsidR="00000000" w:rsidRPr="00000000">
              <w:rPr>
                <w:rFonts w:ascii="Arial" w:cs="Arial" w:eastAsia="Arial" w:hAnsi="Arial"/>
                <w:b w:val="1"/>
                <w:bCs w:val="1"/>
                <w:rtl w:val="0"/>
              </w:rPr>
              <w:t xml:space="preserve">1.20</w:t>
            </w:r>
            <w:r w:rsidDel="00000000" w:rsidR="00000000" w:rsidRPr="00000000">
              <w:rPr>
                <w:rtl w:val="0"/>
              </w:rPr>
            </w:r>
          </w:p>
        </w:tc>
      </w:tr>
    </w:tbl>
    <w:p w:rsidR="00000000" w:rsidDel="00000000" w:rsidP="00000000" w:rsidRDefault="00000000" w:rsidRPr="00000000" w14:paraId="000002CC">
      <w:pPr>
        <w:rPr/>
      </w:pPr>
      <w:r w:rsidDel="00000000" w:rsidR="00000000" w:rsidRPr="00000000">
        <w:rPr>
          <w:rtl w:val="0"/>
        </w:rPr>
      </w:r>
    </w:p>
    <w:p w:rsidR="00000000" w:rsidDel="00000000" w:rsidP="00000000" w:rsidRDefault="00000000" w:rsidRPr="00000000" w14:paraId="000002CD">
      <w:pPr>
        <w:rPr/>
      </w:pPr>
      <w:r w:rsidDel="00000000" w:rsidR="00000000" w:rsidRPr="00000000">
        <w:rPr>
          <w:rtl w:val="0"/>
        </w:rPr>
      </w:r>
    </w:p>
    <w:p w:rsidR="00000000" w:rsidDel="00000000" w:rsidP="00000000" w:rsidRDefault="00000000" w:rsidRPr="00000000" w14:paraId="000002CE">
      <w:pPr>
        <w:pStyle w:val="Heading2"/>
        <w:rPr/>
      </w:pPr>
      <w:bookmarkStart w:colFirst="0" w:colLast="0" w:name="_heading=h.bilmcc53f03t" w:id="34"/>
      <w:bookmarkEnd w:id="34"/>
      <w:r w:rsidDel="00000000" w:rsidR="00000000" w:rsidRPr="00000000">
        <w:rPr>
          <w:rtl w:val="0"/>
        </w:rPr>
        <w:t xml:space="preserve">Appendix 1.4 Leverage Ratios</w:t>
      </w:r>
    </w:p>
    <w:tbl>
      <w:tblPr>
        <w:tblStyle w:val="Table22"/>
        <w:tblW w:w="9026.0" w:type="dxa"/>
        <w:jc w:val="left"/>
        <w:tblBorders>
          <w:top w:color="95b3d7" w:space="0" w:sz="4" w:val="single"/>
          <w:left w:color="95b3d7" w:space="0" w:sz="4" w:val="single"/>
          <w:bottom w:color="95b3d7" w:space="0" w:sz="4" w:val="single"/>
          <w:right w:color="95b3d7" w:space="0" w:sz="4" w:val="single"/>
          <w:insideH w:color="95b3d7" w:space="0" w:sz="4" w:val="single"/>
          <w:insideV w:color="95b3d7" w:space="0" w:sz="4" w:val="single"/>
        </w:tblBorders>
        <w:tblLayout w:type="fixed"/>
        <w:tblLook w:val="04A0"/>
      </w:tblPr>
      <w:tblGrid>
        <w:gridCol w:w="1986"/>
        <w:gridCol w:w="1408"/>
        <w:gridCol w:w="1408"/>
        <w:gridCol w:w="1408"/>
        <w:gridCol w:w="1408"/>
        <w:gridCol w:w="1408"/>
        <w:tblGridChange w:id="0">
          <w:tblGrid>
            <w:gridCol w:w="1986"/>
            <w:gridCol w:w="1408"/>
            <w:gridCol w:w="1408"/>
            <w:gridCol w:w="1408"/>
            <w:gridCol w:w="1408"/>
            <w:gridCol w:w="1408"/>
          </w:tblGrid>
        </w:tblGridChange>
      </w:tblGrid>
      <w:tr>
        <w:trPr>
          <w:cantSplit w:val="0"/>
          <w:tblHeader w:val="0"/>
        </w:trPr>
        <w:tc>
          <w:tcPr/>
          <w:p w:rsidR="00000000" w:rsidDel="00000000" w:rsidP="00000000" w:rsidRDefault="00000000" w:rsidRPr="00000000" w14:paraId="000002C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Metric</w:t>
            </w:r>
          </w:p>
        </w:tc>
        <w:tc>
          <w:tcPr/>
          <w:p w:rsidR="00000000" w:rsidDel="00000000" w:rsidP="00000000" w:rsidRDefault="00000000" w:rsidRPr="00000000" w14:paraId="000002D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2D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2D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2D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2D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2020</w:t>
            </w:r>
          </w:p>
        </w:tc>
      </w:tr>
      <w:tr>
        <w:trPr>
          <w:cantSplit w:val="0"/>
          <w:tblHeader w:val="0"/>
        </w:trPr>
        <w:tc>
          <w:tcPr/>
          <w:p w:rsidR="00000000" w:rsidDel="00000000" w:rsidP="00000000" w:rsidRDefault="00000000" w:rsidRPr="00000000" w14:paraId="000002D5">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Total Liabilities (£m)</w:t>
            </w:r>
            <w:r w:rsidDel="00000000" w:rsidR="00000000" w:rsidRPr="00000000">
              <w:rPr>
                <w:rtl w:val="0"/>
              </w:rPr>
            </w:r>
          </w:p>
        </w:tc>
        <w:tc>
          <w:tcPr/>
          <w:p w:rsidR="00000000" w:rsidDel="00000000" w:rsidP="00000000" w:rsidRDefault="00000000" w:rsidRPr="00000000" w14:paraId="000002D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170,249</w:t>
            </w:r>
          </w:p>
        </w:tc>
        <w:tc>
          <w:tcPr/>
          <w:p w:rsidR="00000000" w:rsidDel="00000000" w:rsidP="00000000" w:rsidRDefault="00000000" w:rsidRPr="00000000" w14:paraId="000002D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176,952</w:t>
            </w:r>
          </w:p>
        </w:tc>
        <w:tc>
          <w:tcPr/>
          <w:p w:rsidR="00000000" w:rsidDel="00000000" w:rsidP="00000000" w:rsidRDefault="00000000" w:rsidRPr="00000000" w14:paraId="000002D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235,757</w:t>
            </w:r>
          </w:p>
        </w:tc>
        <w:tc>
          <w:tcPr/>
          <w:p w:rsidR="00000000" w:rsidDel="00000000" w:rsidP="00000000" w:rsidRDefault="00000000" w:rsidRPr="00000000" w14:paraId="000002D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234,399</w:t>
            </w:r>
          </w:p>
        </w:tc>
        <w:tc>
          <w:tcPr/>
          <w:p w:rsidR="00000000" w:rsidDel="00000000" w:rsidP="00000000" w:rsidRDefault="00000000" w:rsidRPr="00000000" w14:paraId="000002D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196,989</w:t>
            </w:r>
          </w:p>
        </w:tc>
      </w:tr>
      <w:tr>
        <w:trPr>
          <w:cantSplit w:val="0"/>
          <w:tblHeader w:val="0"/>
        </w:trPr>
        <w:tc>
          <w:tcPr/>
          <w:p w:rsidR="00000000" w:rsidDel="00000000" w:rsidP="00000000" w:rsidRDefault="00000000" w:rsidRPr="00000000" w14:paraId="000002DB">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Shareholders' Equity (£m)</w:t>
            </w:r>
            <w:r w:rsidDel="00000000" w:rsidR="00000000" w:rsidRPr="00000000">
              <w:rPr>
                <w:rtl w:val="0"/>
              </w:rPr>
            </w:r>
          </w:p>
        </w:tc>
        <w:tc>
          <w:tcPr/>
          <w:p w:rsidR="00000000" w:rsidDel="00000000" w:rsidP="00000000" w:rsidRDefault="00000000" w:rsidRPr="00000000" w14:paraId="000002D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153,105</w:t>
            </w:r>
          </w:p>
        </w:tc>
        <w:tc>
          <w:tcPr/>
          <w:p w:rsidR="00000000" w:rsidDel="00000000" w:rsidP="00000000" w:rsidRDefault="00000000" w:rsidRPr="00000000" w14:paraId="000002D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178,920</w:t>
            </w:r>
          </w:p>
        </w:tc>
        <w:tc>
          <w:tcPr/>
          <w:p w:rsidR="00000000" w:rsidDel="00000000" w:rsidP="00000000" w:rsidRDefault="00000000" w:rsidRPr="00000000" w14:paraId="000002D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268,406</w:t>
            </w:r>
          </w:p>
        </w:tc>
        <w:tc>
          <w:tcPr/>
          <w:p w:rsidR="00000000" w:rsidDel="00000000" w:rsidP="00000000" w:rsidRDefault="00000000" w:rsidRPr="00000000" w14:paraId="000002D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275,949</w:t>
            </w:r>
          </w:p>
        </w:tc>
        <w:tc>
          <w:tcPr/>
          <w:p w:rsidR="00000000" w:rsidDel="00000000" w:rsidP="00000000" w:rsidRDefault="00000000" w:rsidRPr="00000000" w14:paraId="000002E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313,301</w:t>
            </w:r>
          </w:p>
        </w:tc>
      </w:tr>
      <w:tr>
        <w:trPr>
          <w:cantSplit w:val="0"/>
          <w:tblHeader w:val="0"/>
        </w:trPr>
        <w:tc>
          <w:tcPr/>
          <w:p w:rsidR="00000000" w:rsidDel="00000000" w:rsidP="00000000" w:rsidRDefault="00000000" w:rsidRPr="00000000" w14:paraId="000002E1">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Debt-to-Equity Ratio</w:t>
            </w:r>
            <w:r w:rsidDel="00000000" w:rsidR="00000000" w:rsidRPr="00000000">
              <w:rPr>
                <w:rtl w:val="0"/>
              </w:rPr>
            </w:r>
          </w:p>
        </w:tc>
        <w:tc>
          <w:tcPr/>
          <w:p w:rsidR="00000000" w:rsidDel="00000000" w:rsidP="00000000" w:rsidRDefault="00000000" w:rsidRPr="00000000" w14:paraId="000002E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(170,249 / 153,105) = </w:t>
            </w:r>
            <w:r w:rsidDel="00000000" w:rsidR="00000000" w:rsidRPr="00000000">
              <w:rPr>
                <w:rFonts w:ascii="Arial" w:cs="Arial" w:eastAsia="Arial" w:hAnsi="Arial"/>
                <w:b w:val="1"/>
                <w:bCs w:val="1"/>
                <w:rtl w:val="0"/>
              </w:rPr>
              <w:t xml:space="preserve">1.11</w:t>
            </w:r>
            <w:r w:rsidDel="00000000" w:rsidR="00000000" w:rsidRPr="00000000">
              <w:rPr>
                <w:rtl w:val="0"/>
              </w:rPr>
            </w:r>
          </w:p>
        </w:tc>
        <w:tc>
          <w:tcPr/>
          <w:p w:rsidR="00000000" w:rsidDel="00000000" w:rsidP="00000000" w:rsidRDefault="00000000" w:rsidRPr="00000000" w14:paraId="000002E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(176,952 / 178,920) = </w:t>
            </w:r>
            <w:r w:rsidDel="00000000" w:rsidR="00000000" w:rsidRPr="00000000">
              <w:rPr>
                <w:rFonts w:ascii="Arial" w:cs="Arial" w:eastAsia="Arial" w:hAnsi="Arial"/>
                <w:b w:val="1"/>
                <w:bCs w:val="1"/>
                <w:rtl w:val="0"/>
              </w:rPr>
              <w:t xml:space="preserve">0.99</w:t>
            </w:r>
            <w:r w:rsidDel="00000000" w:rsidR="00000000" w:rsidRPr="00000000">
              <w:rPr>
                <w:rtl w:val="0"/>
              </w:rPr>
            </w:r>
          </w:p>
        </w:tc>
        <w:tc>
          <w:tcPr/>
          <w:p w:rsidR="00000000" w:rsidDel="00000000" w:rsidP="00000000" w:rsidRDefault="00000000" w:rsidRPr="00000000" w14:paraId="000002E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(235,757 / 268,406) = </w:t>
            </w:r>
            <w:r w:rsidDel="00000000" w:rsidR="00000000" w:rsidRPr="00000000">
              <w:rPr>
                <w:rFonts w:ascii="Arial" w:cs="Arial" w:eastAsia="Arial" w:hAnsi="Arial"/>
                <w:b w:val="1"/>
                <w:bCs w:val="1"/>
                <w:rtl w:val="0"/>
              </w:rPr>
              <w:t xml:space="preserve">0.88</w:t>
            </w:r>
            <w:r w:rsidDel="00000000" w:rsidR="00000000" w:rsidRPr="00000000">
              <w:rPr>
                <w:rtl w:val="0"/>
              </w:rPr>
            </w:r>
          </w:p>
        </w:tc>
        <w:tc>
          <w:tcPr/>
          <w:p w:rsidR="00000000" w:rsidDel="00000000" w:rsidP="00000000" w:rsidRDefault="00000000" w:rsidRPr="00000000" w14:paraId="000002E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(234,399 / 275,949) = </w:t>
            </w:r>
            <w:r w:rsidDel="00000000" w:rsidR="00000000" w:rsidRPr="00000000">
              <w:rPr>
                <w:rFonts w:ascii="Arial" w:cs="Arial" w:eastAsia="Arial" w:hAnsi="Arial"/>
                <w:b w:val="1"/>
                <w:bCs w:val="1"/>
                <w:rtl w:val="0"/>
              </w:rPr>
              <w:t xml:space="preserve">0.85</w:t>
            </w:r>
            <w:r w:rsidDel="00000000" w:rsidR="00000000" w:rsidRPr="00000000">
              <w:rPr>
                <w:rtl w:val="0"/>
              </w:rPr>
            </w:r>
          </w:p>
        </w:tc>
        <w:tc>
          <w:tcPr/>
          <w:p w:rsidR="00000000" w:rsidDel="00000000" w:rsidP="00000000" w:rsidRDefault="00000000" w:rsidRPr="00000000" w14:paraId="000002E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(196,989 / 313,301) = </w:t>
            </w:r>
            <w:r w:rsidDel="00000000" w:rsidR="00000000" w:rsidRPr="00000000">
              <w:rPr>
                <w:rFonts w:ascii="Arial" w:cs="Arial" w:eastAsia="Arial" w:hAnsi="Arial"/>
                <w:b w:val="1"/>
                <w:bCs w:val="1"/>
                <w:rtl w:val="0"/>
              </w:rPr>
              <w:t xml:space="preserve">0.63</w:t>
            </w:r>
            <w:r w:rsidDel="00000000" w:rsidR="00000000" w:rsidRPr="00000000">
              <w:rPr>
                <w:rtl w:val="0"/>
              </w:rPr>
            </w:r>
          </w:p>
        </w:tc>
      </w:tr>
    </w:tbl>
    <w:p w:rsidR="00000000" w:rsidDel="00000000" w:rsidP="00000000" w:rsidRDefault="00000000" w:rsidRPr="00000000" w14:paraId="000002E7">
      <w:pPr>
        <w:rPr/>
      </w:pPr>
      <w:r w:rsidDel="00000000" w:rsidR="00000000" w:rsidRPr="00000000">
        <w:rPr>
          <w:rtl w:val="0"/>
        </w:rPr>
      </w:r>
    </w:p>
    <w:tbl>
      <w:tblPr>
        <w:tblStyle w:val="Table23"/>
        <w:tblW w:w="9026.0" w:type="dxa"/>
        <w:jc w:val="left"/>
        <w:tblBorders>
          <w:top w:color="95b3d7" w:space="0" w:sz="4" w:val="single"/>
          <w:left w:color="95b3d7" w:space="0" w:sz="4" w:val="single"/>
          <w:bottom w:color="95b3d7" w:space="0" w:sz="4" w:val="single"/>
          <w:right w:color="95b3d7" w:space="0" w:sz="4" w:val="single"/>
          <w:insideH w:color="95b3d7" w:space="0" w:sz="4" w:val="single"/>
          <w:insideV w:color="95b3d7" w:space="0" w:sz="4" w:val="single"/>
        </w:tblBorders>
        <w:tblLayout w:type="fixed"/>
        <w:tblLook w:val="04A0"/>
      </w:tblPr>
      <w:tblGrid>
        <w:gridCol w:w="1537"/>
        <w:gridCol w:w="1497"/>
        <w:gridCol w:w="1498"/>
        <w:gridCol w:w="1498"/>
        <w:gridCol w:w="1498"/>
        <w:gridCol w:w="1498"/>
        <w:tblGridChange w:id="0">
          <w:tblGrid>
            <w:gridCol w:w="1537"/>
            <w:gridCol w:w="1497"/>
            <w:gridCol w:w="1498"/>
            <w:gridCol w:w="1498"/>
            <w:gridCol w:w="1498"/>
            <w:gridCol w:w="1498"/>
          </w:tblGrid>
        </w:tblGridChange>
      </w:tblGrid>
      <w:tr>
        <w:trPr>
          <w:cantSplit w:val="0"/>
          <w:tblHeader w:val="0"/>
        </w:trPr>
        <w:tc>
          <w:tcPr/>
          <w:p w:rsidR="00000000" w:rsidDel="00000000" w:rsidP="00000000" w:rsidRDefault="00000000" w:rsidRPr="00000000" w14:paraId="000002E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Metric</w:t>
            </w:r>
          </w:p>
        </w:tc>
        <w:tc>
          <w:tcPr/>
          <w:p w:rsidR="00000000" w:rsidDel="00000000" w:rsidP="00000000" w:rsidRDefault="00000000" w:rsidRPr="00000000" w14:paraId="000002E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2E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2E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2E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2E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2020</w:t>
            </w:r>
          </w:p>
        </w:tc>
      </w:tr>
      <w:tr>
        <w:trPr>
          <w:cantSplit w:val="0"/>
          <w:tblHeader w:val="0"/>
        </w:trPr>
        <w:tc>
          <w:tcPr/>
          <w:p w:rsidR="00000000" w:rsidDel="00000000" w:rsidP="00000000" w:rsidRDefault="00000000" w:rsidRPr="00000000" w14:paraId="000002EE">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Total Liabilities (£m)</w:t>
            </w:r>
            <w:r w:rsidDel="00000000" w:rsidR="00000000" w:rsidRPr="00000000">
              <w:rPr>
                <w:rtl w:val="0"/>
              </w:rPr>
            </w:r>
          </w:p>
        </w:tc>
        <w:tc>
          <w:tcPr/>
          <w:p w:rsidR="00000000" w:rsidDel="00000000" w:rsidP="00000000" w:rsidRDefault="00000000" w:rsidRPr="00000000" w14:paraId="000002E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170,249</w:t>
            </w:r>
          </w:p>
        </w:tc>
        <w:tc>
          <w:tcPr/>
          <w:p w:rsidR="00000000" w:rsidDel="00000000" w:rsidP="00000000" w:rsidRDefault="00000000" w:rsidRPr="00000000" w14:paraId="000002F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176,952</w:t>
            </w:r>
          </w:p>
        </w:tc>
        <w:tc>
          <w:tcPr/>
          <w:p w:rsidR="00000000" w:rsidDel="00000000" w:rsidP="00000000" w:rsidRDefault="00000000" w:rsidRPr="00000000" w14:paraId="000002F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235,757</w:t>
            </w:r>
          </w:p>
        </w:tc>
        <w:tc>
          <w:tcPr/>
          <w:p w:rsidR="00000000" w:rsidDel="00000000" w:rsidP="00000000" w:rsidRDefault="00000000" w:rsidRPr="00000000" w14:paraId="000002F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234,399</w:t>
            </w:r>
          </w:p>
        </w:tc>
        <w:tc>
          <w:tcPr/>
          <w:p w:rsidR="00000000" w:rsidDel="00000000" w:rsidP="00000000" w:rsidRDefault="00000000" w:rsidRPr="00000000" w14:paraId="000002F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196,989</w:t>
            </w:r>
          </w:p>
        </w:tc>
      </w:tr>
      <w:tr>
        <w:trPr>
          <w:cantSplit w:val="0"/>
          <w:tblHeader w:val="0"/>
        </w:trPr>
        <w:tc>
          <w:tcPr/>
          <w:p w:rsidR="00000000" w:rsidDel="00000000" w:rsidP="00000000" w:rsidRDefault="00000000" w:rsidRPr="00000000" w14:paraId="000002F4">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Total Assets (£m)</w:t>
            </w:r>
            <w:r w:rsidDel="00000000" w:rsidR="00000000" w:rsidRPr="00000000">
              <w:rPr>
                <w:rtl w:val="0"/>
              </w:rPr>
            </w:r>
          </w:p>
        </w:tc>
        <w:tc>
          <w:tcPr/>
          <w:p w:rsidR="00000000" w:rsidDel="00000000" w:rsidP="00000000" w:rsidRDefault="00000000" w:rsidRPr="00000000" w14:paraId="000002F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323,354</w:t>
            </w:r>
          </w:p>
        </w:tc>
        <w:tc>
          <w:tcPr/>
          <w:p w:rsidR="00000000" w:rsidDel="00000000" w:rsidP="00000000" w:rsidRDefault="00000000" w:rsidRPr="00000000" w14:paraId="000002F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355,872</w:t>
            </w:r>
          </w:p>
        </w:tc>
        <w:tc>
          <w:tcPr/>
          <w:p w:rsidR="00000000" w:rsidDel="00000000" w:rsidP="00000000" w:rsidRDefault="00000000" w:rsidRPr="00000000" w14:paraId="000002F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504,163</w:t>
            </w:r>
          </w:p>
        </w:tc>
        <w:tc>
          <w:tcPr/>
          <w:p w:rsidR="00000000" w:rsidDel="00000000" w:rsidP="00000000" w:rsidRDefault="00000000" w:rsidRPr="00000000" w14:paraId="000002F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510,348</w:t>
            </w:r>
          </w:p>
        </w:tc>
        <w:tc>
          <w:tcPr/>
          <w:p w:rsidR="00000000" w:rsidDel="00000000" w:rsidP="00000000" w:rsidRDefault="00000000" w:rsidRPr="00000000" w14:paraId="000002F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510,290</w:t>
            </w:r>
          </w:p>
        </w:tc>
      </w:tr>
      <w:tr>
        <w:trPr>
          <w:cantSplit w:val="0"/>
          <w:tblHeader w:val="0"/>
        </w:trPr>
        <w:tc>
          <w:tcPr/>
          <w:p w:rsidR="00000000" w:rsidDel="00000000" w:rsidP="00000000" w:rsidRDefault="00000000" w:rsidRPr="00000000" w14:paraId="000002FA">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Debt Ratio</w:t>
            </w:r>
            <w:r w:rsidDel="00000000" w:rsidR="00000000" w:rsidRPr="00000000">
              <w:rPr>
                <w:rtl w:val="0"/>
              </w:rPr>
            </w:r>
          </w:p>
        </w:tc>
        <w:tc>
          <w:tcPr/>
          <w:p w:rsidR="00000000" w:rsidDel="00000000" w:rsidP="00000000" w:rsidRDefault="00000000" w:rsidRPr="00000000" w14:paraId="000002F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(170,249 / 323,354) = </w:t>
            </w:r>
            <w:r w:rsidDel="00000000" w:rsidR="00000000" w:rsidRPr="00000000">
              <w:rPr>
                <w:rFonts w:ascii="Arial" w:cs="Arial" w:eastAsia="Arial" w:hAnsi="Arial"/>
                <w:b w:val="1"/>
                <w:bCs w:val="1"/>
                <w:rtl w:val="0"/>
              </w:rPr>
              <w:t xml:space="preserve">0.53</w:t>
            </w:r>
            <w:r w:rsidDel="00000000" w:rsidR="00000000" w:rsidRPr="00000000">
              <w:rPr>
                <w:rtl w:val="0"/>
              </w:rPr>
            </w:r>
          </w:p>
        </w:tc>
        <w:tc>
          <w:tcPr/>
          <w:p w:rsidR="00000000" w:rsidDel="00000000" w:rsidP="00000000" w:rsidRDefault="00000000" w:rsidRPr="00000000" w14:paraId="000002F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(176,952 / 355,872) = </w:t>
            </w:r>
            <w:r w:rsidDel="00000000" w:rsidR="00000000" w:rsidRPr="00000000">
              <w:rPr>
                <w:rFonts w:ascii="Arial" w:cs="Arial" w:eastAsia="Arial" w:hAnsi="Arial"/>
                <w:b w:val="1"/>
                <w:bCs w:val="1"/>
                <w:rtl w:val="0"/>
              </w:rPr>
              <w:t xml:space="preserve">0.50</w:t>
            </w:r>
            <w:r w:rsidDel="00000000" w:rsidR="00000000" w:rsidRPr="00000000">
              <w:rPr>
                <w:rtl w:val="0"/>
              </w:rPr>
            </w:r>
          </w:p>
        </w:tc>
        <w:tc>
          <w:tcPr/>
          <w:p w:rsidR="00000000" w:rsidDel="00000000" w:rsidP="00000000" w:rsidRDefault="00000000" w:rsidRPr="00000000" w14:paraId="000002F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(235,757 / 504,163) = </w:t>
            </w:r>
            <w:r w:rsidDel="00000000" w:rsidR="00000000" w:rsidRPr="00000000">
              <w:rPr>
                <w:rFonts w:ascii="Arial" w:cs="Arial" w:eastAsia="Arial" w:hAnsi="Arial"/>
                <w:b w:val="1"/>
                <w:bCs w:val="1"/>
                <w:rtl w:val="0"/>
              </w:rPr>
              <w:t xml:space="preserve">0.47</w:t>
            </w:r>
            <w:r w:rsidDel="00000000" w:rsidR="00000000" w:rsidRPr="00000000">
              <w:rPr>
                <w:rtl w:val="0"/>
              </w:rPr>
            </w:r>
          </w:p>
        </w:tc>
        <w:tc>
          <w:tcPr/>
          <w:p w:rsidR="00000000" w:rsidDel="00000000" w:rsidP="00000000" w:rsidRDefault="00000000" w:rsidRPr="00000000" w14:paraId="000002F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(234,399 / 510,348) = </w:t>
            </w:r>
            <w:r w:rsidDel="00000000" w:rsidR="00000000" w:rsidRPr="00000000">
              <w:rPr>
                <w:rFonts w:ascii="Arial" w:cs="Arial" w:eastAsia="Arial" w:hAnsi="Arial"/>
                <w:b w:val="1"/>
                <w:bCs w:val="1"/>
                <w:rtl w:val="0"/>
              </w:rPr>
              <w:t xml:space="preserve">0.46</w:t>
            </w:r>
            <w:r w:rsidDel="00000000" w:rsidR="00000000" w:rsidRPr="00000000">
              <w:rPr>
                <w:rtl w:val="0"/>
              </w:rPr>
            </w:r>
          </w:p>
        </w:tc>
        <w:tc>
          <w:tcPr/>
          <w:p w:rsidR="00000000" w:rsidDel="00000000" w:rsidP="00000000" w:rsidRDefault="00000000" w:rsidRPr="00000000" w14:paraId="000002F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(196,989 / 510,290) = </w:t>
            </w:r>
            <w:r w:rsidDel="00000000" w:rsidR="00000000" w:rsidRPr="00000000">
              <w:rPr>
                <w:rFonts w:ascii="Arial" w:cs="Arial" w:eastAsia="Arial" w:hAnsi="Arial"/>
                <w:b w:val="1"/>
                <w:bCs w:val="1"/>
                <w:rtl w:val="0"/>
              </w:rPr>
              <w:t xml:space="preserve">0.39</w:t>
            </w:r>
            <w:r w:rsidDel="00000000" w:rsidR="00000000" w:rsidRPr="00000000">
              <w:rPr>
                <w:rtl w:val="0"/>
              </w:rPr>
            </w:r>
          </w:p>
        </w:tc>
      </w:tr>
    </w:tbl>
    <w:p w:rsidR="00000000" w:rsidDel="00000000" w:rsidP="00000000" w:rsidRDefault="00000000" w:rsidRPr="00000000" w14:paraId="00000300">
      <w:pPr>
        <w:rPr/>
      </w:pPr>
      <w:r w:rsidDel="00000000" w:rsidR="00000000" w:rsidRPr="00000000">
        <w:rPr>
          <w:rtl w:val="0"/>
        </w:rPr>
      </w:r>
    </w:p>
    <w:p w:rsidR="00000000" w:rsidDel="00000000" w:rsidP="00000000" w:rsidRDefault="00000000" w:rsidRPr="00000000" w14:paraId="00000301">
      <w:pPr>
        <w:pStyle w:val="Heading2"/>
        <w:rPr/>
      </w:pPr>
      <w:bookmarkStart w:colFirst="0" w:colLast="0" w:name="_heading=h.e9ja7m73efh" w:id="35"/>
      <w:bookmarkEnd w:id="35"/>
      <w:r w:rsidDel="00000000" w:rsidR="00000000" w:rsidRPr="00000000">
        <w:rPr>
          <w:rtl w:val="0"/>
        </w:rPr>
        <w:t xml:space="preserve">Appendix 1.5 Operating Ratios</w:t>
      </w:r>
    </w:p>
    <w:tbl>
      <w:tblPr>
        <w:tblStyle w:val="Table24"/>
        <w:tblW w:w="9026.0" w:type="dxa"/>
        <w:jc w:val="left"/>
        <w:tblBorders>
          <w:top w:color="95b3d7" w:space="0" w:sz="4" w:val="single"/>
          <w:left w:color="95b3d7" w:space="0" w:sz="4" w:val="single"/>
          <w:bottom w:color="95b3d7" w:space="0" w:sz="4" w:val="single"/>
          <w:right w:color="95b3d7" w:space="0" w:sz="4" w:val="single"/>
          <w:insideH w:color="95b3d7" w:space="0" w:sz="4" w:val="single"/>
          <w:insideV w:color="95b3d7" w:space="0" w:sz="4" w:val="single"/>
        </w:tblBorders>
        <w:tblLayout w:type="fixed"/>
        <w:tblLook w:val="04A0"/>
      </w:tblPr>
      <w:tblGrid>
        <w:gridCol w:w="1686"/>
        <w:gridCol w:w="1468"/>
        <w:gridCol w:w="1468"/>
        <w:gridCol w:w="1468"/>
        <w:gridCol w:w="1468"/>
        <w:gridCol w:w="1468"/>
        <w:tblGridChange w:id="0">
          <w:tblGrid>
            <w:gridCol w:w="1686"/>
            <w:gridCol w:w="1468"/>
            <w:gridCol w:w="1468"/>
            <w:gridCol w:w="1468"/>
            <w:gridCol w:w="1468"/>
            <w:gridCol w:w="1468"/>
          </w:tblGrid>
        </w:tblGridChange>
      </w:tblGrid>
      <w:tr>
        <w:trPr>
          <w:cantSplit w:val="0"/>
          <w:tblHeader w:val="0"/>
        </w:trPr>
        <w:tc>
          <w:tcPr/>
          <w:p w:rsidR="00000000" w:rsidDel="00000000" w:rsidP="00000000" w:rsidRDefault="00000000" w:rsidRPr="00000000" w14:paraId="0000030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Metric</w:t>
            </w:r>
          </w:p>
        </w:tc>
        <w:tc>
          <w:tcPr/>
          <w:p w:rsidR="00000000" w:rsidDel="00000000" w:rsidP="00000000" w:rsidRDefault="00000000" w:rsidRPr="00000000" w14:paraId="0000030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2024</w:t>
            </w:r>
          </w:p>
        </w:tc>
        <w:tc>
          <w:tcPr/>
          <w:p w:rsidR="00000000" w:rsidDel="00000000" w:rsidP="00000000" w:rsidRDefault="00000000" w:rsidRPr="00000000" w14:paraId="0000030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30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30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30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2020</w:t>
            </w:r>
          </w:p>
        </w:tc>
      </w:tr>
      <w:tr>
        <w:trPr>
          <w:cantSplit w:val="0"/>
          <w:tblHeader w:val="0"/>
        </w:trPr>
        <w:tc>
          <w:tcPr/>
          <w:p w:rsidR="00000000" w:rsidDel="00000000" w:rsidP="00000000" w:rsidRDefault="00000000" w:rsidRPr="00000000" w14:paraId="00000308">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Operating Cash Flow (£m)</w:t>
            </w:r>
            <w:r w:rsidDel="00000000" w:rsidR="00000000" w:rsidRPr="00000000">
              <w:rPr>
                <w:rtl w:val="0"/>
              </w:rPr>
            </w:r>
          </w:p>
        </w:tc>
        <w:tc>
          <w:tcPr/>
          <w:p w:rsidR="00000000" w:rsidDel="00000000" w:rsidP="00000000" w:rsidRDefault="00000000" w:rsidRPr="00000000" w14:paraId="0000030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14,822</w:t>
            </w:r>
          </w:p>
        </w:tc>
        <w:tc>
          <w:tcPr/>
          <w:p w:rsidR="00000000" w:rsidDel="00000000" w:rsidP="00000000" w:rsidRDefault="00000000" w:rsidRPr="00000000" w14:paraId="0000030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25,190</w:t>
            </w:r>
          </w:p>
        </w:tc>
        <w:tc>
          <w:tcPr/>
          <w:p w:rsidR="00000000" w:rsidDel="00000000" w:rsidP="00000000" w:rsidRDefault="00000000" w:rsidRPr="00000000" w14:paraId="0000030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10,926</w:t>
            </w:r>
          </w:p>
        </w:tc>
        <w:tc>
          <w:tcPr/>
          <w:p w:rsidR="00000000" w:rsidDel="00000000" w:rsidP="00000000" w:rsidRDefault="00000000" w:rsidRPr="00000000" w14:paraId="0000030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40,283</w:t>
            </w:r>
          </w:p>
        </w:tc>
        <w:tc>
          <w:tcPr/>
          <w:p w:rsidR="00000000" w:rsidDel="00000000" w:rsidP="00000000" w:rsidRDefault="00000000" w:rsidRPr="00000000" w14:paraId="0000030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73,392</w:t>
            </w:r>
          </w:p>
        </w:tc>
      </w:tr>
      <w:tr>
        <w:trPr>
          <w:cantSplit w:val="0"/>
          <w:tblHeader w:val="0"/>
        </w:trPr>
        <w:tc>
          <w:tcPr/>
          <w:p w:rsidR="00000000" w:rsidDel="00000000" w:rsidP="00000000" w:rsidRDefault="00000000" w:rsidRPr="00000000" w14:paraId="0000030E">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Current Liabilities (£m)</w:t>
            </w:r>
            <w:r w:rsidDel="00000000" w:rsidR="00000000" w:rsidRPr="00000000">
              <w:rPr>
                <w:rtl w:val="0"/>
              </w:rPr>
            </w:r>
          </w:p>
        </w:tc>
        <w:tc>
          <w:tcPr/>
          <w:p w:rsidR="00000000" w:rsidDel="00000000" w:rsidP="00000000" w:rsidRDefault="00000000" w:rsidRPr="00000000" w14:paraId="0000030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158,291</w:t>
            </w:r>
          </w:p>
        </w:tc>
        <w:tc>
          <w:tcPr/>
          <w:p w:rsidR="00000000" w:rsidDel="00000000" w:rsidP="00000000" w:rsidRDefault="00000000" w:rsidRPr="00000000" w14:paraId="0000031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161,148</w:t>
            </w:r>
          </w:p>
        </w:tc>
        <w:tc>
          <w:tcPr/>
          <w:p w:rsidR="00000000" w:rsidDel="00000000" w:rsidP="00000000" w:rsidRDefault="00000000" w:rsidRPr="00000000" w14:paraId="0000031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216,473</w:t>
            </w:r>
          </w:p>
        </w:tc>
        <w:tc>
          <w:tcPr/>
          <w:p w:rsidR="00000000" w:rsidDel="00000000" w:rsidP="00000000" w:rsidRDefault="00000000" w:rsidRPr="00000000" w14:paraId="0000031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216,787</w:t>
            </w:r>
          </w:p>
        </w:tc>
        <w:tc>
          <w:tcPr/>
          <w:p w:rsidR="00000000" w:rsidDel="00000000" w:rsidP="00000000" w:rsidRDefault="00000000" w:rsidRPr="00000000" w14:paraId="0000031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179,510</w:t>
            </w:r>
          </w:p>
        </w:tc>
      </w:tr>
      <w:tr>
        <w:trPr>
          <w:cantSplit w:val="0"/>
          <w:tblHeader w:val="0"/>
        </w:trPr>
        <w:tc>
          <w:tcPr/>
          <w:p w:rsidR="00000000" w:rsidDel="00000000" w:rsidP="00000000" w:rsidRDefault="00000000" w:rsidRPr="00000000" w14:paraId="00000314">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Operating Cash Flow Ratio</w:t>
            </w:r>
            <w:r w:rsidDel="00000000" w:rsidR="00000000" w:rsidRPr="00000000">
              <w:rPr>
                <w:rtl w:val="0"/>
              </w:rPr>
            </w:r>
          </w:p>
        </w:tc>
        <w:tc>
          <w:tcPr/>
          <w:p w:rsidR="00000000" w:rsidDel="00000000" w:rsidP="00000000" w:rsidRDefault="00000000" w:rsidRPr="00000000" w14:paraId="0000031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(14,822 / 158,291) = </w:t>
            </w:r>
            <w:r w:rsidDel="00000000" w:rsidR="00000000" w:rsidRPr="00000000">
              <w:rPr>
                <w:rFonts w:ascii="Arial" w:cs="Arial" w:eastAsia="Arial" w:hAnsi="Arial"/>
                <w:b w:val="1"/>
                <w:bCs w:val="1"/>
                <w:rtl w:val="0"/>
              </w:rPr>
              <w:t xml:space="preserve">0.09</w:t>
            </w:r>
            <w:r w:rsidDel="00000000" w:rsidR="00000000" w:rsidRPr="00000000">
              <w:rPr>
                <w:rtl w:val="0"/>
              </w:rPr>
            </w:r>
          </w:p>
        </w:tc>
        <w:tc>
          <w:tcPr/>
          <w:p w:rsidR="00000000" w:rsidDel="00000000" w:rsidP="00000000" w:rsidRDefault="00000000" w:rsidRPr="00000000" w14:paraId="0000031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(25,190 / 161,148) = </w:t>
            </w:r>
            <w:r w:rsidDel="00000000" w:rsidR="00000000" w:rsidRPr="00000000">
              <w:rPr>
                <w:rFonts w:ascii="Arial" w:cs="Arial" w:eastAsia="Arial" w:hAnsi="Arial"/>
                <w:b w:val="1"/>
                <w:bCs w:val="1"/>
                <w:rtl w:val="0"/>
              </w:rPr>
              <w:t xml:space="preserve">0.16</w:t>
            </w:r>
            <w:r w:rsidDel="00000000" w:rsidR="00000000" w:rsidRPr="00000000">
              <w:rPr>
                <w:rtl w:val="0"/>
              </w:rPr>
            </w:r>
          </w:p>
        </w:tc>
        <w:tc>
          <w:tcPr/>
          <w:p w:rsidR="00000000" w:rsidDel="00000000" w:rsidP="00000000" w:rsidRDefault="00000000" w:rsidRPr="00000000" w14:paraId="0000031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(10,926 / 216,473) = </w:t>
            </w:r>
            <w:r w:rsidDel="00000000" w:rsidR="00000000" w:rsidRPr="00000000">
              <w:rPr>
                <w:rFonts w:ascii="Arial" w:cs="Arial" w:eastAsia="Arial" w:hAnsi="Arial"/>
                <w:b w:val="1"/>
                <w:bCs w:val="1"/>
                <w:rtl w:val="0"/>
              </w:rPr>
              <w:t xml:space="preserve">0.05</w:t>
            </w:r>
            <w:r w:rsidDel="00000000" w:rsidR="00000000" w:rsidRPr="00000000">
              <w:rPr>
                <w:rtl w:val="0"/>
              </w:rPr>
            </w:r>
          </w:p>
        </w:tc>
        <w:tc>
          <w:tcPr/>
          <w:p w:rsidR="00000000" w:rsidDel="00000000" w:rsidP="00000000" w:rsidRDefault="00000000" w:rsidRPr="00000000" w14:paraId="0000031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(40,283 / 216,787) = </w:t>
            </w:r>
            <w:r w:rsidDel="00000000" w:rsidR="00000000" w:rsidRPr="00000000">
              <w:rPr>
                <w:rFonts w:ascii="Arial" w:cs="Arial" w:eastAsia="Arial" w:hAnsi="Arial"/>
                <w:b w:val="1"/>
                <w:bCs w:val="1"/>
                <w:rtl w:val="0"/>
              </w:rPr>
              <w:t xml:space="preserve">0.19</w:t>
            </w:r>
            <w:r w:rsidDel="00000000" w:rsidR="00000000" w:rsidRPr="00000000">
              <w:rPr>
                <w:rtl w:val="0"/>
              </w:rPr>
            </w:r>
          </w:p>
        </w:tc>
        <w:tc>
          <w:tcPr/>
          <w:p w:rsidR="00000000" w:rsidDel="00000000" w:rsidP="00000000" w:rsidRDefault="00000000" w:rsidRPr="00000000" w14:paraId="0000031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(73,392 / 179,510) = </w:t>
            </w:r>
            <w:r w:rsidDel="00000000" w:rsidR="00000000" w:rsidRPr="00000000">
              <w:rPr>
                <w:rFonts w:ascii="Arial" w:cs="Arial" w:eastAsia="Arial" w:hAnsi="Arial"/>
                <w:b w:val="1"/>
                <w:bCs w:val="1"/>
                <w:rtl w:val="0"/>
              </w:rPr>
              <w:t xml:space="preserve">0.41</w:t>
            </w:r>
            <w:r w:rsidDel="00000000" w:rsidR="00000000" w:rsidRPr="00000000">
              <w:rPr>
                <w:rtl w:val="0"/>
              </w:rPr>
            </w:r>
          </w:p>
        </w:tc>
      </w:tr>
    </w:tbl>
    <w:p w:rsidR="00000000" w:rsidDel="00000000" w:rsidP="00000000" w:rsidRDefault="00000000" w:rsidRPr="00000000" w14:paraId="0000031A">
      <w:pPr>
        <w:rPr/>
      </w:pPr>
      <w:r w:rsidDel="00000000" w:rsidR="00000000" w:rsidRPr="00000000">
        <w:rPr>
          <w:rtl w:val="0"/>
        </w:rPr>
      </w:r>
    </w:p>
    <w:p w:rsidR="00000000" w:rsidDel="00000000" w:rsidP="00000000" w:rsidRDefault="00000000" w:rsidRPr="00000000" w14:paraId="0000031B">
      <w:pPr>
        <w:pStyle w:val="Heading2"/>
        <w:rPr/>
      </w:pPr>
      <w:bookmarkStart w:colFirst="0" w:colLast="0" w:name="_heading=h.m6hgnyprmuyz" w:id="36"/>
      <w:bookmarkEnd w:id="36"/>
      <w:r w:rsidDel="00000000" w:rsidR="00000000" w:rsidRPr="00000000">
        <w:rPr>
          <w:rtl w:val="0"/>
        </w:rPr>
        <w:t xml:space="preserve">Appendix 1.6 The Altman Z-Score</w:t>
      </w:r>
    </w:p>
    <w:p w:rsidR="00000000" w:rsidDel="00000000" w:rsidP="00000000" w:rsidRDefault="00000000" w:rsidRPr="00000000" w14:paraId="0000031C">
      <w:pPr>
        <w:rPr/>
      </w:pPr>
      <w:r w:rsidDel="00000000" w:rsidR="00000000" w:rsidRPr="00000000">
        <w:rPr>
          <w:rtl w:val="0"/>
        </w:rPr>
        <w:t xml:space="preserve">Altman Z-Score Calculation for 2020</w:t>
      </w:r>
    </w:p>
    <w:tbl>
      <w:tblPr>
        <w:tblStyle w:val="Table25"/>
        <w:tblW w:w="9026.0" w:type="dxa"/>
        <w:jc w:val="left"/>
        <w:tblBorders>
          <w:top w:color="95b3d7" w:space="0" w:sz="4" w:val="single"/>
          <w:left w:color="95b3d7" w:space="0" w:sz="4" w:val="single"/>
          <w:bottom w:color="95b3d7" w:space="0" w:sz="4" w:val="single"/>
          <w:right w:color="95b3d7" w:space="0" w:sz="4" w:val="single"/>
          <w:insideH w:color="95b3d7" w:space="0" w:sz="4" w:val="single"/>
          <w:insideV w:color="95b3d7" w:space="0" w:sz="4" w:val="single"/>
        </w:tblBorders>
        <w:tblLayout w:type="fixed"/>
        <w:tblLook w:val="04A0"/>
      </w:tblPr>
      <w:tblGrid>
        <w:gridCol w:w="2267"/>
        <w:gridCol w:w="2886"/>
        <w:gridCol w:w="3016"/>
        <w:gridCol w:w="857"/>
        <w:tblGridChange w:id="0">
          <w:tblGrid>
            <w:gridCol w:w="2267"/>
            <w:gridCol w:w="2886"/>
            <w:gridCol w:w="3016"/>
            <w:gridCol w:w="857"/>
          </w:tblGrid>
        </w:tblGridChange>
      </w:tblGrid>
      <w:tr>
        <w:trPr>
          <w:cantSplit w:val="0"/>
          <w:tblHeader w:val="0"/>
        </w:trPr>
        <w:tc>
          <w:tcPr/>
          <w:p w:rsidR="00000000" w:rsidDel="00000000" w:rsidP="00000000" w:rsidRDefault="00000000" w:rsidRPr="00000000" w14:paraId="0000031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Metric</w:t>
            </w:r>
          </w:p>
        </w:tc>
        <w:tc>
          <w:tcPr/>
          <w:p w:rsidR="00000000" w:rsidDel="00000000" w:rsidP="00000000" w:rsidRDefault="00000000" w:rsidRPr="00000000" w14:paraId="0000031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Formula</w:t>
            </w:r>
          </w:p>
        </w:tc>
        <w:tc>
          <w:tcPr/>
          <w:p w:rsidR="00000000" w:rsidDel="00000000" w:rsidP="00000000" w:rsidRDefault="00000000" w:rsidRPr="00000000" w14:paraId="0000031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Calculation</w:t>
            </w:r>
          </w:p>
        </w:tc>
        <w:tc>
          <w:tcPr/>
          <w:p w:rsidR="00000000" w:rsidDel="00000000" w:rsidP="00000000" w:rsidRDefault="00000000" w:rsidRPr="00000000" w14:paraId="0000032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Value</w:t>
            </w:r>
          </w:p>
        </w:tc>
      </w:tr>
      <w:tr>
        <w:trPr>
          <w:cantSplit w:val="0"/>
          <w:tblHeader w:val="0"/>
        </w:trPr>
        <w:tc>
          <w:tcPr/>
          <w:p w:rsidR="00000000" w:rsidDel="00000000" w:rsidP="00000000" w:rsidRDefault="00000000" w:rsidRPr="00000000" w14:paraId="00000321">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X</w:t>
            </w:r>
            <w:r w:rsidDel="00000000" w:rsidR="00000000" w:rsidRPr="00000000">
              <w:rPr>
                <w:rFonts w:ascii="Cambria Math" w:cs="Cambria Math" w:eastAsia="Cambria Math" w:hAnsi="Cambria Math"/>
                <w:b w:val="1"/>
                <w:bCs w:val="1"/>
                <w:rtl w:val="0"/>
              </w:rPr>
              <w:t xml:space="preserve">₁</w:t>
            </w:r>
            <w:r w:rsidDel="00000000" w:rsidR="00000000" w:rsidRPr="00000000">
              <w:rPr>
                <w:rFonts w:ascii="Arial" w:cs="Arial" w:eastAsia="Arial" w:hAnsi="Arial"/>
                <w:b w:val="1"/>
                <w:bCs w:val="1"/>
                <w:rtl w:val="0"/>
              </w:rPr>
              <w:t xml:space="preserve"> Working Capital / Total Assets</w:t>
            </w:r>
            <w:r w:rsidDel="00000000" w:rsidR="00000000" w:rsidRPr="00000000">
              <w:rPr>
                <w:rtl w:val="0"/>
              </w:rPr>
            </w:r>
          </w:p>
        </w:tc>
        <w:tc>
          <w:tcPr/>
          <w:p w:rsidR="00000000" w:rsidDel="00000000" w:rsidP="00000000" w:rsidRDefault="00000000" w:rsidRPr="00000000" w14:paraId="0000032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(Current Assets - Current Liabilities) ÷ Total Assets</w:t>
            </w:r>
          </w:p>
        </w:tc>
        <w:tc>
          <w:tcPr/>
          <w:p w:rsidR="00000000" w:rsidDel="00000000" w:rsidP="00000000" w:rsidRDefault="00000000" w:rsidRPr="00000000" w14:paraId="0000032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(326,843 - 179,510) ÷ 510,290 = 147,333 ÷ 510,290</w:t>
            </w:r>
          </w:p>
        </w:tc>
        <w:tc>
          <w:tcPr/>
          <w:p w:rsidR="00000000" w:rsidDel="00000000" w:rsidP="00000000" w:rsidRDefault="00000000" w:rsidRPr="00000000" w14:paraId="0000032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0.29</w:t>
            </w:r>
          </w:p>
        </w:tc>
      </w:tr>
      <w:tr>
        <w:trPr>
          <w:cantSplit w:val="0"/>
          <w:tblHeader w:val="0"/>
        </w:trPr>
        <w:tc>
          <w:tcPr/>
          <w:p w:rsidR="00000000" w:rsidDel="00000000" w:rsidP="00000000" w:rsidRDefault="00000000" w:rsidRPr="00000000" w14:paraId="00000325">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X</w:t>
            </w:r>
            <w:r w:rsidDel="00000000" w:rsidR="00000000" w:rsidRPr="00000000">
              <w:rPr>
                <w:rFonts w:ascii="Cambria Math" w:cs="Cambria Math" w:eastAsia="Cambria Math" w:hAnsi="Cambria Math"/>
                <w:b w:val="1"/>
                <w:bCs w:val="1"/>
                <w:rtl w:val="0"/>
              </w:rPr>
              <w:t xml:space="preserve">₂</w:t>
            </w:r>
            <w:r w:rsidDel="00000000" w:rsidR="00000000" w:rsidRPr="00000000">
              <w:rPr>
                <w:rFonts w:ascii="Arial" w:cs="Arial" w:eastAsia="Arial" w:hAnsi="Arial"/>
                <w:b w:val="1"/>
                <w:bCs w:val="1"/>
                <w:rtl w:val="0"/>
              </w:rPr>
              <w:t xml:space="preserve"> Retained Earnings / Total Assets</w:t>
            </w:r>
            <w:r w:rsidDel="00000000" w:rsidR="00000000" w:rsidRPr="00000000">
              <w:rPr>
                <w:rtl w:val="0"/>
              </w:rPr>
            </w:r>
          </w:p>
        </w:tc>
        <w:tc>
          <w:tcPr/>
          <w:p w:rsidR="00000000" w:rsidDel="00000000" w:rsidP="00000000" w:rsidRDefault="00000000" w:rsidRPr="00000000" w14:paraId="0000032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Shareholders' Equity ÷ Total Assets</w:t>
            </w:r>
          </w:p>
        </w:tc>
        <w:tc>
          <w:tcPr/>
          <w:p w:rsidR="00000000" w:rsidDel="00000000" w:rsidP="00000000" w:rsidRDefault="00000000" w:rsidRPr="00000000" w14:paraId="0000032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313,301 ÷ 510,290</w:t>
            </w:r>
          </w:p>
        </w:tc>
        <w:tc>
          <w:tcPr/>
          <w:p w:rsidR="00000000" w:rsidDel="00000000" w:rsidP="00000000" w:rsidRDefault="00000000" w:rsidRPr="00000000" w14:paraId="0000032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0.61</w:t>
            </w:r>
          </w:p>
        </w:tc>
      </w:tr>
      <w:tr>
        <w:trPr>
          <w:cantSplit w:val="0"/>
          <w:tblHeader w:val="0"/>
        </w:trPr>
        <w:tc>
          <w:tcPr/>
          <w:p w:rsidR="00000000" w:rsidDel="00000000" w:rsidP="00000000" w:rsidRDefault="00000000" w:rsidRPr="00000000" w14:paraId="00000329">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X</w:t>
            </w:r>
            <w:r w:rsidDel="00000000" w:rsidR="00000000" w:rsidRPr="00000000">
              <w:rPr>
                <w:rFonts w:ascii="Cambria Math" w:cs="Cambria Math" w:eastAsia="Cambria Math" w:hAnsi="Cambria Math"/>
                <w:b w:val="1"/>
                <w:bCs w:val="1"/>
                <w:rtl w:val="0"/>
              </w:rPr>
              <w:t xml:space="preserve">₃</w:t>
            </w:r>
            <w:r w:rsidDel="00000000" w:rsidR="00000000" w:rsidRPr="00000000">
              <w:rPr>
                <w:rFonts w:ascii="Arial" w:cs="Arial" w:eastAsia="Arial" w:hAnsi="Arial"/>
                <w:b w:val="1"/>
                <w:bCs w:val="1"/>
                <w:rtl w:val="0"/>
              </w:rPr>
              <w:t xml:space="preserve"> EBIT / Total Assets</w:t>
            </w:r>
            <w:r w:rsidDel="00000000" w:rsidR="00000000" w:rsidRPr="00000000">
              <w:rPr>
                <w:rtl w:val="0"/>
              </w:rPr>
            </w:r>
          </w:p>
        </w:tc>
        <w:tc>
          <w:tcPr/>
          <w:p w:rsidR="00000000" w:rsidDel="00000000" w:rsidP="00000000" w:rsidRDefault="00000000" w:rsidRPr="00000000" w14:paraId="0000032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Operating Income ÷ Total Assets</w:t>
            </w:r>
          </w:p>
        </w:tc>
        <w:tc>
          <w:tcPr/>
          <w:p w:rsidR="00000000" w:rsidDel="00000000" w:rsidP="00000000" w:rsidRDefault="00000000" w:rsidRPr="00000000" w14:paraId="0000032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37,267 ÷ 510,290</w:t>
            </w:r>
          </w:p>
        </w:tc>
        <w:tc>
          <w:tcPr/>
          <w:p w:rsidR="00000000" w:rsidDel="00000000" w:rsidP="00000000" w:rsidRDefault="00000000" w:rsidRPr="00000000" w14:paraId="0000032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0.07</w:t>
            </w:r>
          </w:p>
        </w:tc>
      </w:tr>
      <w:tr>
        <w:trPr>
          <w:cantSplit w:val="0"/>
          <w:tblHeader w:val="0"/>
        </w:trPr>
        <w:tc>
          <w:tcPr/>
          <w:p w:rsidR="00000000" w:rsidDel="00000000" w:rsidP="00000000" w:rsidRDefault="00000000" w:rsidRPr="00000000" w14:paraId="0000032D">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X</w:t>
            </w:r>
            <w:r w:rsidDel="00000000" w:rsidR="00000000" w:rsidRPr="00000000">
              <w:rPr>
                <w:rFonts w:ascii="Cambria Math" w:cs="Cambria Math" w:eastAsia="Cambria Math" w:hAnsi="Cambria Math"/>
                <w:b w:val="1"/>
                <w:bCs w:val="1"/>
                <w:rtl w:val="0"/>
              </w:rPr>
              <w:t xml:space="preserve">₄</w:t>
            </w:r>
            <w:r w:rsidDel="00000000" w:rsidR="00000000" w:rsidRPr="00000000">
              <w:rPr>
                <w:rFonts w:ascii="Arial" w:cs="Arial" w:eastAsia="Arial" w:hAnsi="Arial"/>
                <w:b w:val="1"/>
                <w:bCs w:val="1"/>
                <w:rtl w:val="0"/>
              </w:rPr>
              <w:t xml:space="preserve"> Market Value of Equity / Total Liabilities</w:t>
            </w:r>
            <w:r w:rsidDel="00000000" w:rsidR="00000000" w:rsidRPr="00000000">
              <w:rPr>
                <w:rtl w:val="0"/>
              </w:rPr>
            </w:r>
          </w:p>
        </w:tc>
        <w:tc>
          <w:tcPr/>
          <w:p w:rsidR="00000000" w:rsidDel="00000000" w:rsidP="00000000" w:rsidRDefault="00000000" w:rsidRPr="00000000" w14:paraId="0000032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Shareholders' Equity ÷ Total Liabilities</w:t>
            </w:r>
          </w:p>
        </w:tc>
        <w:tc>
          <w:tcPr/>
          <w:p w:rsidR="00000000" w:rsidDel="00000000" w:rsidP="00000000" w:rsidRDefault="00000000" w:rsidRPr="00000000" w14:paraId="0000032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313,301 ÷ 196,989</w:t>
            </w:r>
          </w:p>
        </w:tc>
        <w:tc>
          <w:tcPr/>
          <w:p w:rsidR="00000000" w:rsidDel="00000000" w:rsidP="00000000" w:rsidRDefault="00000000" w:rsidRPr="00000000" w14:paraId="0000033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1.59</w:t>
            </w:r>
          </w:p>
        </w:tc>
      </w:tr>
      <w:tr>
        <w:trPr>
          <w:cantSplit w:val="0"/>
          <w:tblHeader w:val="0"/>
        </w:trPr>
        <w:tc>
          <w:tcPr/>
          <w:p w:rsidR="00000000" w:rsidDel="00000000" w:rsidP="00000000" w:rsidRDefault="00000000" w:rsidRPr="00000000" w14:paraId="00000331">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X</w:t>
            </w:r>
            <w:r w:rsidDel="00000000" w:rsidR="00000000" w:rsidRPr="00000000">
              <w:rPr>
                <w:rFonts w:ascii="Cambria Math" w:cs="Cambria Math" w:eastAsia="Cambria Math" w:hAnsi="Cambria Math"/>
                <w:b w:val="1"/>
                <w:bCs w:val="1"/>
                <w:rtl w:val="0"/>
              </w:rPr>
              <w:t xml:space="preserve">₅</w:t>
            </w:r>
            <w:r w:rsidDel="00000000" w:rsidR="00000000" w:rsidRPr="00000000">
              <w:rPr>
                <w:rFonts w:ascii="Arial" w:cs="Arial" w:eastAsia="Arial" w:hAnsi="Arial"/>
                <w:b w:val="1"/>
                <w:bCs w:val="1"/>
                <w:rtl w:val="0"/>
              </w:rPr>
              <w:t xml:space="preserve"> Sales / Total Assets</w:t>
            </w:r>
            <w:r w:rsidDel="00000000" w:rsidR="00000000" w:rsidRPr="00000000">
              <w:rPr>
                <w:rtl w:val="0"/>
              </w:rPr>
            </w:r>
          </w:p>
        </w:tc>
        <w:tc>
          <w:tcPr/>
          <w:p w:rsidR="00000000" w:rsidDel="00000000" w:rsidP="00000000" w:rsidRDefault="00000000" w:rsidRPr="00000000" w14:paraId="0000033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Net Sales ÷ Total Assets</w:t>
            </w:r>
          </w:p>
        </w:tc>
        <w:tc>
          <w:tcPr/>
          <w:p w:rsidR="00000000" w:rsidDel="00000000" w:rsidP="00000000" w:rsidRDefault="00000000" w:rsidRPr="00000000" w14:paraId="0000033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614,680 ÷ 510,290</w:t>
            </w:r>
          </w:p>
        </w:tc>
        <w:tc>
          <w:tcPr/>
          <w:p w:rsidR="00000000" w:rsidDel="00000000" w:rsidP="00000000" w:rsidRDefault="00000000" w:rsidRPr="00000000" w14:paraId="0000033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1.21</w:t>
            </w:r>
          </w:p>
        </w:tc>
      </w:tr>
      <w:tr>
        <w:trPr>
          <w:cantSplit w:val="0"/>
          <w:tblHeader w:val="0"/>
        </w:trPr>
        <w:tc>
          <w:tcPr/>
          <w:p w:rsidR="00000000" w:rsidDel="00000000" w:rsidP="00000000" w:rsidRDefault="00000000" w:rsidRPr="00000000" w14:paraId="00000335">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Altman Z-Score</w:t>
            </w:r>
            <w:r w:rsidDel="00000000" w:rsidR="00000000" w:rsidRPr="00000000">
              <w:rPr>
                <w:rtl w:val="0"/>
              </w:rPr>
            </w:r>
          </w:p>
        </w:tc>
        <w:tc>
          <w:tcPr/>
          <w:p w:rsidR="00000000" w:rsidDel="00000000" w:rsidP="00000000" w:rsidRDefault="00000000" w:rsidRPr="00000000" w14:paraId="0000033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(1.2 × X</w:t>
            </w:r>
            <w:r w:rsidDel="00000000" w:rsidR="00000000" w:rsidRPr="00000000">
              <w:rPr>
                <w:rFonts w:ascii="Cambria Math" w:cs="Cambria Math" w:eastAsia="Cambria Math" w:hAnsi="Cambria Math"/>
                <w:rtl w:val="0"/>
              </w:rPr>
              <w:t xml:space="preserve">₁</w:t>
            </w:r>
            <w:r w:rsidDel="00000000" w:rsidR="00000000" w:rsidRPr="00000000">
              <w:rPr>
                <w:rFonts w:ascii="Arial" w:cs="Arial" w:eastAsia="Arial" w:hAnsi="Arial"/>
                <w:rtl w:val="0"/>
              </w:rPr>
              <w:t xml:space="preserve">) + (1.4 × X</w:t>
            </w:r>
            <w:r w:rsidDel="00000000" w:rsidR="00000000" w:rsidRPr="00000000">
              <w:rPr>
                <w:rFonts w:ascii="Cambria Math" w:cs="Cambria Math" w:eastAsia="Cambria Math" w:hAnsi="Cambria Math"/>
                <w:rtl w:val="0"/>
              </w:rPr>
              <w:t xml:space="preserve">₂</w:t>
            </w:r>
            <w:r w:rsidDel="00000000" w:rsidR="00000000" w:rsidRPr="00000000">
              <w:rPr>
                <w:rFonts w:ascii="Arial" w:cs="Arial" w:eastAsia="Arial" w:hAnsi="Arial"/>
                <w:rtl w:val="0"/>
              </w:rPr>
              <w:t xml:space="preserve">) + (3.3 × X</w:t>
            </w:r>
            <w:r w:rsidDel="00000000" w:rsidR="00000000" w:rsidRPr="00000000">
              <w:rPr>
                <w:rFonts w:ascii="Cambria Math" w:cs="Cambria Math" w:eastAsia="Cambria Math" w:hAnsi="Cambria Math"/>
                <w:rtl w:val="0"/>
              </w:rPr>
              <w:t xml:space="preserve">₃</w:t>
            </w:r>
            <w:r w:rsidDel="00000000" w:rsidR="00000000" w:rsidRPr="00000000">
              <w:rPr>
                <w:rFonts w:ascii="Arial" w:cs="Arial" w:eastAsia="Arial" w:hAnsi="Arial"/>
                <w:rtl w:val="0"/>
              </w:rPr>
              <w:t xml:space="preserve">) + (0.6 × X</w:t>
            </w:r>
            <w:r w:rsidDel="00000000" w:rsidR="00000000" w:rsidRPr="00000000">
              <w:rPr>
                <w:rFonts w:ascii="Cambria Math" w:cs="Cambria Math" w:eastAsia="Cambria Math" w:hAnsi="Cambria Math"/>
                <w:rtl w:val="0"/>
              </w:rPr>
              <w:t xml:space="preserve">₄</w:t>
            </w:r>
            <w:r w:rsidDel="00000000" w:rsidR="00000000" w:rsidRPr="00000000">
              <w:rPr>
                <w:rFonts w:ascii="Arial" w:cs="Arial" w:eastAsia="Arial" w:hAnsi="Arial"/>
                <w:rtl w:val="0"/>
              </w:rPr>
              <w:t xml:space="preserve">) + (1.0 × X</w:t>
            </w:r>
            <w:r w:rsidDel="00000000" w:rsidR="00000000" w:rsidRPr="00000000">
              <w:rPr>
                <w:rFonts w:ascii="Cambria Math" w:cs="Cambria Math" w:eastAsia="Cambria Math" w:hAnsi="Cambria Math"/>
                <w:rtl w:val="0"/>
              </w:rPr>
              <w:t xml:space="preserve">₅</w:t>
            </w:r>
            <w:r w:rsidDel="00000000" w:rsidR="00000000" w:rsidRPr="00000000">
              <w:rPr>
                <w:rFonts w:ascii="Arial" w:cs="Arial" w:eastAsia="Arial" w:hAnsi="Arial"/>
                <w:rtl w:val="0"/>
              </w:rPr>
              <w:t xml:space="preserve">)</w:t>
            </w:r>
          </w:p>
        </w:tc>
        <w:tc>
          <w:tcPr/>
          <w:p w:rsidR="00000000" w:rsidDel="00000000" w:rsidP="00000000" w:rsidRDefault="00000000" w:rsidRPr="00000000" w14:paraId="0000033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(1.2 × 0.29) + (1.4 × 0.61) + (3.3 × 0.07) + (0.6 × 1.59) + (1.0 × 1.21)</w:t>
            </w:r>
          </w:p>
        </w:tc>
        <w:tc>
          <w:tcPr/>
          <w:p w:rsidR="00000000" w:rsidDel="00000000" w:rsidP="00000000" w:rsidRDefault="00000000" w:rsidRPr="00000000" w14:paraId="0000033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3.60</w:t>
            </w:r>
          </w:p>
        </w:tc>
      </w:tr>
    </w:tbl>
    <w:p w:rsidR="00000000" w:rsidDel="00000000" w:rsidP="00000000" w:rsidRDefault="00000000" w:rsidRPr="00000000" w14:paraId="00000339">
      <w:pPr>
        <w:rPr/>
      </w:pPr>
      <w:r w:rsidDel="00000000" w:rsidR="00000000" w:rsidRPr="00000000">
        <w:rPr>
          <w:rtl w:val="0"/>
        </w:rPr>
      </w:r>
    </w:p>
    <w:p w:rsidR="00000000" w:rsidDel="00000000" w:rsidP="00000000" w:rsidRDefault="00000000" w:rsidRPr="00000000" w14:paraId="0000033A">
      <w:pPr>
        <w:rPr>
          <w:b w:val="1"/>
          <w:bCs w:val="1"/>
        </w:rPr>
      </w:pPr>
      <w:r w:rsidDel="00000000" w:rsidR="00000000" w:rsidRPr="00000000">
        <w:rPr>
          <w:b w:val="1"/>
          <w:bCs w:val="1"/>
          <w:rtl w:val="0"/>
        </w:rPr>
        <w:t xml:space="preserve">Altman Z-Score Calculation for 2021</w:t>
      </w:r>
    </w:p>
    <w:tbl>
      <w:tblPr>
        <w:tblStyle w:val="Table26"/>
        <w:tblW w:w="9026.0" w:type="dxa"/>
        <w:jc w:val="left"/>
        <w:tblBorders>
          <w:top w:color="95b3d7" w:space="0" w:sz="4" w:val="single"/>
          <w:left w:color="95b3d7" w:space="0" w:sz="4" w:val="single"/>
          <w:bottom w:color="95b3d7" w:space="0" w:sz="4" w:val="single"/>
          <w:right w:color="95b3d7" w:space="0" w:sz="4" w:val="single"/>
          <w:insideH w:color="95b3d7" w:space="0" w:sz="4" w:val="single"/>
          <w:insideV w:color="95b3d7" w:space="0" w:sz="4" w:val="single"/>
        </w:tblBorders>
        <w:tblLayout w:type="fixed"/>
        <w:tblLook w:val="04A0"/>
      </w:tblPr>
      <w:tblGrid>
        <w:gridCol w:w="2267"/>
        <w:gridCol w:w="2886"/>
        <w:gridCol w:w="3016"/>
        <w:gridCol w:w="857"/>
        <w:tblGridChange w:id="0">
          <w:tblGrid>
            <w:gridCol w:w="2267"/>
            <w:gridCol w:w="2886"/>
            <w:gridCol w:w="3016"/>
            <w:gridCol w:w="857"/>
          </w:tblGrid>
        </w:tblGridChange>
      </w:tblGrid>
      <w:tr>
        <w:trPr>
          <w:cantSplit w:val="0"/>
          <w:tblHeader w:val="0"/>
        </w:trPr>
        <w:tc>
          <w:tcPr/>
          <w:p w:rsidR="00000000" w:rsidDel="00000000" w:rsidP="00000000" w:rsidRDefault="00000000" w:rsidRPr="00000000" w14:paraId="0000033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Metric</w:t>
            </w:r>
          </w:p>
        </w:tc>
        <w:tc>
          <w:tcPr/>
          <w:p w:rsidR="00000000" w:rsidDel="00000000" w:rsidP="00000000" w:rsidRDefault="00000000" w:rsidRPr="00000000" w14:paraId="0000033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Formula</w:t>
            </w:r>
          </w:p>
        </w:tc>
        <w:tc>
          <w:tcPr/>
          <w:p w:rsidR="00000000" w:rsidDel="00000000" w:rsidP="00000000" w:rsidRDefault="00000000" w:rsidRPr="00000000" w14:paraId="0000033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Calculation</w:t>
            </w:r>
          </w:p>
        </w:tc>
        <w:tc>
          <w:tcPr/>
          <w:p w:rsidR="00000000" w:rsidDel="00000000" w:rsidP="00000000" w:rsidRDefault="00000000" w:rsidRPr="00000000" w14:paraId="0000033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Value</w:t>
            </w:r>
          </w:p>
        </w:tc>
      </w:tr>
      <w:tr>
        <w:trPr>
          <w:cantSplit w:val="0"/>
          <w:tblHeader w:val="0"/>
        </w:trPr>
        <w:tc>
          <w:tcPr/>
          <w:p w:rsidR="00000000" w:rsidDel="00000000" w:rsidP="00000000" w:rsidRDefault="00000000" w:rsidRPr="00000000" w14:paraId="0000033F">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X</w:t>
            </w:r>
            <w:r w:rsidDel="00000000" w:rsidR="00000000" w:rsidRPr="00000000">
              <w:rPr>
                <w:rFonts w:ascii="Cambria Math" w:cs="Cambria Math" w:eastAsia="Cambria Math" w:hAnsi="Cambria Math"/>
                <w:b w:val="1"/>
                <w:bCs w:val="1"/>
                <w:rtl w:val="0"/>
              </w:rPr>
              <w:t xml:space="preserve">₁</w:t>
            </w:r>
            <w:r w:rsidDel="00000000" w:rsidR="00000000" w:rsidRPr="00000000">
              <w:rPr>
                <w:rFonts w:ascii="Arial" w:cs="Arial" w:eastAsia="Arial" w:hAnsi="Arial"/>
                <w:b w:val="1"/>
                <w:bCs w:val="1"/>
                <w:rtl w:val="0"/>
              </w:rPr>
              <w:t xml:space="preserve"> Working Capital / Total Assets</w:t>
            </w:r>
            <w:r w:rsidDel="00000000" w:rsidR="00000000" w:rsidRPr="00000000">
              <w:rPr>
                <w:rtl w:val="0"/>
              </w:rPr>
            </w:r>
          </w:p>
        </w:tc>
        <w:tc>
          <w:tcPr/>
          <w:p w:rsidR="00000000" w:rsidDel="00000000" w:rsidP="00000000" w:rsidRDefault="00000000" w:rsidRPr="00000000" w14:paraId="0000034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(Current Assets - Current Liabilities) ÷ Total Assets</w:t>
            </w:r>
          </w:p>
        </w:tc>
        <w:tc>
          <w:tcPr/>
          <w:p w:rsidR="00000000" w:rsidDel="00000000" w:rsidP="00000000" w:rsidRDefault="00000000" w:rsidRPr="00000000" w14:paraId="0000034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(337,146 - 216,787) ÷ 510,348 = 120,359 ÷ 510,348</w:t>
            </w:r>
          </w:p>
        </w:tc>
        <w:tc>
          <w:tcPr/>
          <w:p w:rsidR="00000000" w:rsidDel="00000000" w:rsidP="00000000" w:rsidRDefault="00000000" w:rsidRPr="00000000" w14:paraId="0000034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0.24</w:t>
            </w:r>
          </w:p>
        </w:tc>
      </w:tr>
      <w:tr>
        <w:trPr>
          <w:cantSplit w:val="0"/>
          <w:tblHeader w:val="0"/>
        </w:trPr>
        <w:tc>
          <w:tcPr/>
          <w:p w:rsidR="00000000" w:rsidDel="00000000" w:rsidP="00000000" w:rsidRDefault="00000000" w:rsidRPr="00000000" w14:paraId="00000343">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X</w:t>
            </w:r>
            <w:r w:rsidDel="00000000" w:rsidR="00000000" w:rsidRPr="00000000">
              <w:rPr>
                <w:rFonts w:ascii="Cambria Math" w:cs="Cambria Math" w:eastAsia="Cambria Math" w:hAnsi="Cambria Math"/>
                <w:b w:val="1"/>
                <w:bCs w:val="1"/>
                <w:rtl w:val="0"/>
              </w:rPr>
              <w:t xml:space="preserve">₂</w:t>
            </w:r>
            <w:r w:rsidDel="00000000" w:rsidR="00000000" w:rsidRPr="00000000">
              <w:rPr>
                <w:rFonts w:ascii="Arial" w:cs="Arial" w:eastAsia="Arial" w:hAnsi="Arial"/>
                <w:b w:val="1"/>
                <w:bCs w:val="1"/>
                <w:rtl w:val="0"/>
              </w:rPr>
              <w:t xml:space="preserve"> Retained Earnings / Total Assets</w:t>
            </w:r>
            <w:r w:rsidDel="00000000" w:rsidR="00000000" w:rsidRPr="00000000">
              <w:rPr>
                <w:rtl w:val="0"/>
              </w:rPr>
            </w:r>
          </w:p>
        </w:tc>
        <w:tc>
          <w:tcPr/>
          <w:p w:rsidR="00000000" w:rsidDel="00000000" w:rsidP="00000000" w:rsidRDefault="00000000" w:rsidRPr="00000000" w14:paraId="0000034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Shareholders' Equity ÷ Total Assets</w:t>
            </w:r>
          </w:p>
        </w:tc>
        <w:tc>
          <w:tcPr/>
          <w:p w:rsidR="00000000" w:rsidDel="00000000" w:rsidP="00000000" w:rsidRDefault="00000000" w:rsidRPr="00000000" w14:paraId="0000034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275,949 ÷ 510,348</w:t>
            </w:r>
          </w:p>
        </w:tc>
        <w:tc>
          <w:tcPr/>
          <w:p w:rsidR="00000000" w:rsidDel="00000000" w:rsidP="00000000" w:rsidRDefault="00000000" w:rsidRPr="00000000" w14:paraId="0000034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0.54</w:t>
            </w:r>
          </w:p>
        </w:tc>
      </w:tr>
      <w:tr>
        <w:trPr>
          <w:cantSplit w:val="0"/>
          <w:tblHeader w:val="0"/>
        </w:trPr>
        <w:tc>
          <w:tcPr/>
          <w:p w:rsidR="00000000" w:rsidDel="00000000" w:rsidP="00000000" w:rsidRDefault="00000000" w:rsidRPr="00000000" w14:paraId="00000347">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X</w:t>
            </w:r>
            <w:r w:rsidDel="00000000" w:rsidR="00000000" w:rsidRPr="00000000">
              <w:rPr>
                <w:rFonts w:ascii="Cambria Math" w:cs="Cambria Math" w:eastAsia="Cambria Math" w:hAnsi="Cambria Math"/>
                <w:b w:val="1"/>
                <w:bCs w:val="1"/>
                <w:rtl w:val="0"/>
              </w:rPr>
              <w:t xml:space="preserve">₃</w:t>
            </w:r>
            <w:r w:rsidDel="00000000" w:rsidR="00000000" w:rsidRPr="00000000">
              <w:rPr>
                <w:rFonts w:ascii="Arial" w:cs="Arial" w:eastAsia="Arial" w:hAnsi="Arial"/>
                <w:b w:val="1"/>
                <w:bCs w:val="1"/>
                <w:rtl w:val="0"/>
              </w:rPr>
              <w:t xml:space="preserve"> EBIT / Total Assets</w:t>
            </w:r>
            <w:r w:rsidDel="00000000" w:rsidR="00000000" w:rsidRPr="00000000">
              <w:rPr>
                <w:rtl w:val="0"/>
              </w:rPr>
            </w:r>
          </w:p>
        </w:tc>
        <w:tc>
          <w:tcPr/>
          <w:p w:rsidR="00000000" w:rsidDel="00000000" w:rsidP="00000000" w:rsidRDefault="00000000" w:rsidRPr="00000000" w14:paraId="0000034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Operating Income ÷ Total Assets</w:t>
            </w:r>
          </w:p>
        </w:tc>
        <w:tc>
          <w:tcPr/>
          <w:p w:rsidR="00000000" w:rsidDel="00000000" w:rsidP="00000000" w:rsidRDefault="00000000" w:rsidRPr="00000000" w14:paraId="0000034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23,253 ÷ 510,348</w:t>
            </w:r>
          </w:p>
        </w:tc>
        <w:tc>
          <w:tcPr/>
          <w:p w:rsidR="00000000" w:rsidDel="00000000" w:rsidP="00000000" w:rsidRDefault="00000000" w:rsidRPr="00000000" w14:paraId="0000034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0.05</w:t>
            </w:r>
          </w:p>
        </w:tc>
      </w:tr>
      <w:tr>
        <w:trPr>
          <w:cantSplit w:val="0"/>
          <w:tblHeader w:val="0"/>
        </w:trPr>
        <w:tc>
          <w:tcPr/>
          <w:p w:rsidR="00000000" w:rsidDel="00000000" w:rsidP="00000000" w:rsidRDefault="00000000" w:rsidRPr="00000000" w14:paraId="0000034B">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X</w:t>
            </w:r>
            <w:r w:rsidDel="00000000" w:rsidR="00000000" w:rsidRPr="00000000">
              <w:rPr>
                <w:rFonts w:ascii="Cambria Math" w:cs="Cambria Math" w:eastAsia="Cambria Math" w:hAnsi="Cambria Math"/>
                <w:b w:val="1"/>
                <w:bCs w:val="1"/>
                <w:rtl w:val="0"/>
              </w:rPr>
              <w:t xml:space="preserve">₄</w:t>
            </w:r>
            <w:r w:rsidDel="00000000" w:rsidR="00000000" w:rsidRPr="00000000">
              <w:rPr>
                <w:rFonts w:ascii="Arial" w:cs="Arial" w:eastAsia="Arial" w:hAnsi="Arial"/>
                <w:b w:val="1"/>
                <w:bCs w:val="1"/>
                <w:rtl w:val="0"/>
              </w:rPr>
              <w:t xml:space="preserve"> Market Value of Equity / Total Liabilities</w:t>
            </w:r>
            <w:r w:rsidDel="00000000" w:rsidR="00000000" w:rsidRPr="00000000">
              <w:rPr>
                <w:rtl w:val="0"/>
              </w:rPr>
            </w:r>
          </w:p>
        </w:tc>
        <w:tc>
          <w:tcPr/>
          <w:p w:rsidR="00000000" w:rsidDel="00000000" w:rsidP="00000000" w:rsidRDefault="00000000" w:rsidRPr="00000000" w14:paraId="0000034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Shareholders' Equity ÷ Total Liabilities</w:t>
            </w:r>
          </w:p>
        </w:tc>
        <w:tc>
          <w:tcPr/>
          <w:p w:rsidR="00000000" w:rsidDel="00000000" w:rsidP="00000000" w:rsidRDefault="00000000" w:rsidRPr="00000000" w14:paraId="0000034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275,949 ÷ 234,399</w:t>
            </w:r>
          </w:p>
        </w:tc>
        <w:tc>
          <w:tcPr/>
          <w:p w:rsidR="00000000" w:rsidDel="00000000" w:rsidP="00000000" w:rsidRDefault="00000000" w:rsidRPr="00000000" w14:paraId="0000034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1.18</w:t>
            </w:r>
          </w:p>
        </w:tc>
      </w:tr>
      <w:tr>
        <w:trPr>
          <w:cantSplit w:val="0"/>
          <w:tblHeader w:val="0"/>
        </w:trPr>
        <w:tc>
          <w:tcPr/>
          <w:p w:rsidR="00000000" w:rsidDel="00000000" w:rsidP="00000000" w:rsidRDefault="00000000" w:rsidRPr="00000000" w14:paraId="0000034F">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X</w:t>
            </w:r>
            <w:r w:rsidDel="00000000" w:rsidR="00000000" w:rsidRPr="00000000">
              <w:rPr>
                <w:rFonts w:ascii="Cambria Math" w:cs="Cambria Math" w:eastAsia="Cambria Math" w:hAnsi="Cambria Math"/>
                <w:b w:val="1"/>
                <w:bCs w:val="1"/>
                <w:rtl w:val="0"/>
              </w:rPr>
              <w:t xml:space="preserve">₅</w:t>
            </w:r>
            <w:r w:rsidDel="00000000" w:rsidR="00000000" w:rsidRPr="00000000">
              <w:rPr>
                <w:rFonts w:ascii="Arial" w:cs="Arial" w:eastAsia="Arial" w:hAnsi="Arial"/>
                <w:b w:val="1"/>
                <w:bCs w:val="1"/>
                <w:rtl w:val="0"/>
              </w:rPr>
              <w:t xml:space="preserve"> Sales / Total Assets</w:t>
            </w:r>
            <w:r w:rsidDel="00000000" w:rsidR="00000000" w:rsidRPr="00000000">
              <w:rPr>
                <w:rtl w:val="0"/>
              </w:rPr>
            </w:r>
          </w:p>
        </w:tc>
        <w:tc>
          <w:tcPr/>
          <w:p w:rsidR="00000000" w:rsidDel="00000000" w:rsidP="00000000" w:rsidRDefault="00000000" w:rsidRPr="00000000" w14:paraId="0000035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Net Sales ÷ Total Assets</w:t>
            </w:r>
          </w:p>
        </w:tc>
        <w:tc>
          <w:tcPr/>
          <w:p w:rsidR="00000000" w:rsidDel="00000000" w:rsidP="00000000" w:rsidRDefault="00000000" w:rsidRPr="00000000" w14:paraId="0000035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601,602 ÷ 510,348</w:t>
            </w:r>
          </w:p>
        </w:tc>
        <w:tc>
          <w:tcPr/>
          <w:p w:rsidR="00000000" w:rsidDel="00000000" w:rsidP="00000000" w:rsidRDefault="00000000" w:rsidRPr="00000000" w14:paraId="0000035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1.18</w:t>
            </w:r>
          </w:p>
        </w:tc>
      </w:tr>
      <w:tr>
        <w:trPr>
          <w:cantSplit w:val="0"/>
          <w:tblHeader w:val="0"/>
        </w:trPr>
        <w:tc>
          <w:tcPr/>
          <w:p w:rsidR="00000000" w:rsidDel="00000000" w:rsidP="00000000" w:rsidRDefault="00000000" w:rsidRPr="00000000" w14:paraId="00000353">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Altman Z-Score</w:t>
            </w:r>
            <w:r w:rsidDel="00000000" w:rsidR="00000000" w:rsidRPr="00000000">
              <w:rPr>
                <w:rtl w:val="0"/>
              </w:rPr>
            </w:r>
          </w:p>
        </w:tc>
        <w:tc>
          <w:tcPr/>
          <w:p w:rsidR="00000000" w:rsidDel="00000000" w:rsidP="00000000" w:rsidRDefault="00000000" w:rsidRPr="00000000" w14:paraId="0000035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(1.2 × X</w:t>
            </w:r>
            <w:r w:rsidDel="00000000" w:rsidR="00000000" w:rsidRPr="00000000">
              <w:rPr>
                <w:rFonts w:ascii="Cambria Math" w:cs="Cambria Math" w:eastAsia="Cambria Math" w:hAnsi="Cambria Math"/>
                <w:rtl w:val="0"/>
              </w:rPr>
              <w:t xml:space="preserve">₁</w:t>
            </w:r>
            <w:r w:rsidDel="00000000" w:rsidR="00000000" w:rsidRPr="00000000">
              <w:rPr>
                <w:rFonts w:ascii="Arial" w:cs="Arial" w:eastAsia="Arial" w:hAnsi="Arial"/>
                <w:rtl w:val="0"/>
              </w:rPr>
              <w:t xml:space="preserve">) + (1.4 × X</w:t>
            </w:r>
            <w:r w:rsidDel="00000000" w:rsidR="00000000" w:rsidRPr="00000000">
              <w:rPr>
                <w:rFonts w:ascii="Cambria Math" w:cs="Cambria Math" w:eastAsia="Cambria Math" w:hAnsi="Cambria Math"/>
                <w:rtl w:val="0"/>
              </w:rPr>
              <w:t xml:space="preserve">₂</w:t>
            </w:r>
            <w:r w:rsidDel="00000000" w:rsidR="00000000" w:rsidRPr="00000000">
              <w:rPr>
                <w:rFonts w:ascii="Arial" w:cs="Arial" w:eastAsia="Arial" w:hAnsi="Arial"/>
                <w:rtl w:val="0"/>
              </w:rPr>
              <w:t xml:space="preserve">) + (3.3 × X</w:t>
            </w:r>
            <w:r w:rsidDel="00000000" w:rsidR="00000000" w:rsidRPr="00000000">
              <w:rPr>
                <w:rFonts w:ascii="Cambria Math" w:cs="Cambria Math" w:eastAsia="Cambria Math" w:hAnsi="Cambria Math"/>
                <w:rtl w:val="0"/>
              </w:rPr>
              <w:t xml:space="preserve">₃</w:t>
            </w:r>
            <w:r w:rsidDel="00000000" w:rsidR="00000000" w:rsidRPr="00000000">
              <w:rPr>
                <w:rFonts w:ascii="Arial" w:cs="Arial" w:eastAsia="Arial" w:hAnsi="Arial"/>
                <w:rtl w:val="0"/>
              </w:rPr>
              <w:t xml:space="preserve">) + (0.6 × X</w:t>
            </w:r>
            <w:r w:rsidDel="00000000" w:rsidR="00000000" w:rsidRPr="00000000">
              <w:rPr>
                <w:rFonts w:ascii="Cambria Math" w:cs="Cambria Math" w:eastAsia="Cambria Math" w:hAnsi="Cambria Math"/>
                <w:rtl w:val="0"/>
              </w:rPr>
              <w:t xml:space="preserve">₄</w:t>
            </w:r>
            <w:r w:rsidDel="00000000" w:rsidR="00000000" w:rsidRPr="00000000">
              <w:rPr>
                <w:rFonts w:ascii="Arial" w:cs="Arial" w:eastAsia="Arial" w:hAnsi="Arial"/>
                <w:rtl w:val="0"/>
              </w:rPr>
              <w:t xml:space="preserve">) + (1.0 × X</w:t>
            </w:r>
            <w:r w:rsidDel="00000000" w:rsidR="00000000" w:rsidRPr="00000000">
              <w:rPr>
                <w:rFonts w:ascii="Cambria Math" w:cs="Cambria Math" w:eastAsia="Cambria Math" w:hAnsi="Cambria Math"/>
                <w:rtl w:val="0"/>
              </w:rPr>
              <w:t xml:space="preserve">₅</w:t>
            </w:r>
            <w:r w:rsidDel="00000000" w:rsidR="00000000" w:rsidRPr="00000000">
              <w:rPr>
                <w:rFonts w:ascii="Arial" w:cs="Arial" w:eastAsia="Arial" w:hAnsi="Arial"/>
                <w:rtl w:val="0"/>
              </w:rPr>
              <w:t xml:space="preserve">)</w:t>
            </w:r>
          </w:p>
        </w:tc>
        <w:tc>
          <w:tcPr/>
          <w:p w:rsidR="00000000" w:rsidDel="00000000" w:rsidP="00000000" w:rsidRDefault="00000000" w:rsidRPr="00000000" w14:paraId="0000035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(1.2 × 0.24) + (1.4 × 0.54) + (3.3 × 0.05) + (0.6 × 1.18) + (1.0 × 1.18)</w:t>
            </w:r>
          </w:p>
        </w:tc>
        <w:tc>
          <w:tcPr/>
          <w:p w:rsidR="00000000" w:rsidDel="00000000" w:rsidP="00000000" w:rsidRDefault="00000000" w:rsidRPr="00000000" w14:paraId="0000035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3.10</w:t>
            </w:r>
          </w:p>
        </w:tc>
      </w:tr>
    </w:tbl>
    <w:p w:rsidR="00000000" w:rsidDel="00000000" w:rsidP="00000000" w:rsidRDefault="00000000" w:rsidRPr="00000000" w14:paraId="00000357">
      <w:pPr>
        <w:rPr/>
      </w:pPr>
      <w:r w:rsidDel="00000000" w:rsidR="00000000" w:rsidRPr="00000000">
        <w:rPr>
          <w:rtl w:val="0"/>
        </w:rPr>
      </w:r>
    </w:p>
    <w:p w:rsidR="00000000" w:rsidDel="00000000" w:rsidP="00000000" w:rsidRDefault="00000000" w:rsidRPr="00000000" w14:paraId="00000358">
      <w:pPr>
        <w:rPr>
          <w:b w:val="1"/>
          <w:bCs w:val="1"/>
        </w:rPr>
      </w:pPr>
      <w:r w:rsidDel="00000000" w:rsidR="00000000" w:rsidRPr="00000000">
        <w:rPr>
          <w:b w:val="1"/>
          <w:bCs w:val="1"/>
          <w:rtl w:val="0"/>
        </w:rPr>
        <w:t xml:space="preserve">Altman Z-Score Calculation for 2022</w:t>
      </w:r>
    </w:p>
    <w:tbl>
      <w:tblPr>
        <w:tblStyle w:val="Table27"/>
        <w:tblW w:w="9026.0" w:type="dxa"/>
        <w:jc w:val="left"/>
        <w:tblBorders>
          <w:top w:color="95b3d7" w:space="0" w:sz="4" w:val="single"/>
          <w:left w:color="95b3d7" w:space="0" w:sz="4" w:val="single"/>
          <w:bottom w:color="95b3d7" w:space="0" w:sz="4" w:val="single"/>
          <w:right w:color="95b3d7" w:space="0" w:sz="4" w:val="single"/>
          <w:insideH w:color="95b3d7" w:space="0" w:sz="4" w:val="single"/>
          <w:insideV w:color="95b3d7" w:space="0" w:sz="4" w:val="single"/>
        </w:tblBorders>
        <w:tblLayout w:type="fixed"/>
        <w:tblLook w:val="04A0"/>
      </w:tblPr>
      <w:tblGrid>
        <w:gridCol w:w="2267"/>
        <w:gridCol w:w="2886"/>
        <w:gridCol w:w="3016"/>
        <w:gridCol w:w="857"/>
        <w:tblGridChange w:id="0">
          <w:tblGrid>
            <w:gridCol w:w="2267"/>
            <w:gridCol w:w="2886"/>
            <w:gridCol w:w="3016"/>
            <w:gridCol w:w="857"/>
          </w:tblGrid>
        </w:tblGridChange>
      </w:tblGrid>
      <w:tr>
        <w:trPr>
          <w:cantSplit w:val="0"/>
          <w:tblHeader w:val="0"/>
        </w:trPr>
        <w:tc>
          <w:tcPr/>
          <w:p w:rsidR="00000000" w:rsidDel="00000000" w:rsidP="00000000" w:rsidRDefault="00000000" w:rsidRPr="00000000" w14:paraId="0000035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Metric</w:t>
            </w:r>
          </w:p>
        </w:tc>
        <w:tc>
          <w:tcPr/>
          <w:p w:rsidR="00000000" w:rsidDel="00000000" w:rsidP="00000000" w:rsidRDefault="00000000" w:rsidRPr="00000000" w14:paraId="0000035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Formula</w:t>
            </w:r>
          </w:p>
        </w:tc>
        <w:tc>
          <w:tcPr/>
          <w:p w:rsidR="00000000" w:rsidDel="00000000" w:rsidP="00000000" w:rsidRDefault="00000000" w:rsidRPr="00000000" w14:paraId="0000035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Calculation</w:t>
            </w:r>
          </w:p>
        </w:tc>
        <w:tc>
          <w:tcPr/>
          <w:p w:rsidR="00000000" w:rsidDel="00000000" w:rsidP="00000000" w:rsidRDefault="00000000" w:rsidRPr="00000000" w14:paraId="0000035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Value</w:t>
            </w:r>
          </w:p>
        </w:tc>
      </w:tr>
      <w:tr>
        <w:trPr>
          <w:cantSplit w:val="0"/>
          <w:tblHeader w:val="0"/>
        </w:trPr>
        <w:tc>
          <w:tcPr/>
          <w:p w:rsidR="00000000" w:rsidDel="00000000" w:rsidP="00000000" w:rsidRDefault="00000000" w:rsidRPr="00000000" w14:paraId="0000035D">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X</w:t>
            </w:r>
            <w:r w:rsidDel="00000000" w:rsidR="00000000" w:rsidRPr="00000000">
              <w:rPr>
                <w:rFonts w:ascii="Cambria Math" w:cs="Cambria Math" w:eastAsia="Cambria Math" w:hAnsi="Cambria Math"/>
                <w:b w:val="1"/>
                <w:bCs w:val="1"/>
                <w:rtl w:val="0"/>
              </w:rPr>
              <w:t xml:space="preserve">₁</w:t>
            </w:r>
            <w:r w:rsidDel="00000000" w:rsidR="00000000" w:rsidRPr="00000000">
              <w:rPr>
                <w:rFonts w:ascii="Arial" w:cs="Arial" w:eastAsia="Arial" w:hAnsi="Arial"/>
                <w:b w:val="1"/>
                <w:bCs w:val="1"/>
                <w:rtl w:val="0"/>
              </w:rPr>
              <w:t xml:space="preserve"> Working Capital / Total Assets</w:t>
            </w:r>
            <w:r w:rsidDel="00000000" w:rsidR="00000000" w:rsidRPr="00000000">
              <w:rPr>
                <w:rtl w:val="0"/>
              </w:rPr>
            </w:r>
          </w:p>
        </w:tc>
        <w:tc>
          <w:tcPr/>
          <w:p w:rsidR="00000000" w:rsidDel="00000000" w:rsidP="00000000" w:rsidRDefault="00000000" w:rsidRPr="00000000" w14:paraId="0000035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(Current Assets - Current Liabilities) ÷ Total Assets</w:t>
            </w:r>
          </w:p>
        </w:tc>
        <w:tc>
          <w:tcPr/>
          <w:p w:rsidR="00000000" w:rsidDel="00000000" w:rsidP="00000000" w:rsidRDefault="00000000" w:rsidRPr="00000000" w14:paraId="0000035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(338,040 - 216,473) ÷ 504,163 = 121,567 ÷ 504,163</w:t>
            </w:r>
          </w:p>
        </w:tc>
        <w:tc>
          <w:tcPr/>
          <w:p w:rsidR="00000000" w:rsidDel="00000000" w:rsidP="00000000" w:rsidRDefault="00000000" w:rsidRPr="00000000" w14:paraId="0000036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0.24</w:t>
            </w:r>
          </w:p>
        </w:tc>
      </w:tr>
      <w:tr>
        <w:trPr>
          <w:cantSplit w:val="0"/>
          <w:tblHeader w:val="0"/>
        </w:trPr>
        <w:tc>
          <w:tcPr/>
          <w:p w:rsidR="00000000" w:rsidDel="00000000" w:rsidP="00000000" w:rsidRDefault="00000000" w:rsidRPr="00000000" w14:paraId="00000361">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X</w:t>
            </w:r>
            <w:r w:rsidDel="00000000" w:rsidR="00000000" w:rsidRPr="00000000">
              <w:rPr>
                <w:rFonts w:ascii="Cambria Math" w:cs="Cambria Math" w:eastAsia="Cambria Math" w:hAnsi="Cambria Math"/>
                <w:b w:val="1"/>
                <w:bCs w:val="1"/>
                <w:rtl w:val="0"/>
              </w:rPr>
              <w:t xml:space="preserve">₂</w:t>
            </w:r>
            <w:r w:rsidDel="00000000" w:rsidR="00000000" w:rsidRPr="00000000">
              <w:rPr>
                <w:rFonts w:ascii="Arial" w:cs="Arial" w:eastAsia="Arial" w:hAnsi="Arial"/>
                <w:b w:val="1"/>
                <w:bCs w:val="1"/>
                <w:rtl w:val="0"/>
              </w:rPr>
              <w:t xml:space="preserve"> Retained Earnings / Total Assets</w:t>
            </w:r>
            <w:r w:rsidDel="00000000" w:rsidR="00000000" w:rsidRPr="00000000">
              <w:rPr>
                <w:rtl w:val="0"/>
              </w:rPr>
            </w:r>
          </w:p>
        </w:tc>
        <w:tc>
          <w:tcPr/>
          <w:p w:rsidR="00000000" w:rsidDel="00000000" w:rsidP="00000000" w:rsidRDefault="00000000" w:rsidRPr="00000000" w14:paraId="0000036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Shareholders' Equity ÷ Total Assets</w:t>
            </w:r>
          </w:p>
        </w:tc>
        <w:tc>
          <w:tcPr/>
          <w:p w:rsidR="00000000" w:rsidDel="00000000" w:rsidP="00000000" w:rsidRDefault="00000000" w:rsidRPr="00000000" w14:paraId="0000036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268,406 ÷ 504,163</w:t>
            </w:r>
          </w:p>
        </w:tc>
        <w:tc>
          <w:tcPr/>
          <w:p w:rsidR="00000000" w:rsidDel="00000000" w:rsidP="00000000" w:rsidRDefault="00000000" w:rsidRPr="00000000" w14:paraId="0000036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0.53</w:t>
            </w:r>
          </w:p>
        </w:tc>
      </w:tr>
      <w:tr>
        <w:trPr>
          <w:cantSplit w:val="0"/>
          <w:tblHeader w:val="0"/>
        </w:trPr>
        <w:tc>
          <w:tcPr/>
          <w:p w:rsidR="00000000" w:rsidDel="00000000" w:rsidP="00000000" w:rsidRDefault="00000000" w:rsidRPr="00000000" w14:paraId="00000365">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X</w:t>
            </w:r>
            <w:r w:rsidDel="00000000" w:rsidR="00000000" w:rsidRPr="00000000">
              <w:rPr>
                <w:rFonts w:ascii="Cambria Math" w:cs="Cambria Math" w:eastAsia="Cambria Math" w:hAnsi="Cambria Math"/>
                <w:b w:val="1"/>
                <w:bCs w:val="1"/>
                <w:rtl w:val="0"/>
              </w:rPr>
              <w:t xml:space="preserve">₃</w:t>
            </w:r>
            <w:r w:rsidDel="00000000" w:rsidR="00000000" w:rsidRPr="00000000">
              <w:rPr>
                <w:rFonts w:ascii="Arial" w:cs="Arial" w:eastAsia="Arial" w:hAnsi="Arial"/>
                <w:b w:val="1"/>
                <w:bCs w:val="1"/>
                <w:rtl w:val="0"/>
              </w:rPr>
              <w:t xml:space="preserve"> EBIT / Total Assets</w:t>
            </w:r>
            <w:r w:rsidDel="00000000" w:rsidR="00000000" w:rsidRPr="00000000">
              <w:rPr>
                <w:rtl w:val="0"/>
              </w:rPr>
            </w:r>
          </w:p>
        </w:tc>
        <w:tc>
          <w:tcPr/>
          <w:p w:rsidR="00000000" w:rsidDel="00000000" w:rsidP="00000000" w:rsidRDefault="00000000" w:rsidRPr="00000000" w14:paraId="0000036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Operating Income ÷ Total Assets</w:t>
            </w:r>
          </w:p>
        </w:tc>
        <w:tc>
          <w:tcPr/>
          <w:p w:rsidR="00000000" w:rsidDel="00000000" w:rsidP="00000000" w:rsidRDefault="00000000" w:rsidRPr="00000000" w14:paraId="0000036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14,548 ÷ 504,163</w:t>
            </w:r>
          </w:p>
        </w:tc>
        <w:tc>
          <w:tcPr/>
          <w:p w:rsidR="00000000" w:rsidDel="00000000" w:rsidP="00000000" w:rsidRDefault="00000000" w:rsidRPr="00000000" w14:paraId="0000036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0.03</w:t>
            </w:r>
          </w:p>
        </w:tc>
      </w:tr>
      <w:tr>
        <w:trPr>
          <w:cantSplit w:val="0"/>
          <w:tblHeader w:val="0"/>
        </w:trPr>
        <w:tc>
          <w:tcPr/>
          <w:p w:rsidR="00000000" w:rsidDel="00000000" w:rsidP="00000000" w:rsidRDefault="00000000" w:rsidRPr="00000000" w14:paraId="00000369">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X</w:t>
            </w:r>
            <w:r w:rsidDel="00000000" w:rsidR="00000000" w:rsidRPr="00000000">
              <w:rPr>
                <w:rFonts w:ascii="Cambria Math" w:cs="Cambria Math" w:eastAsia="Cambria Math" w:hAnsi="Cambria Math"/>
                <w:b w:val="1"/>
                <w:bCs w:val="1"/>
                <w:rtl w:val="0"/>
              </w:rPr>
              <w:t xml:space="preserve">₄</w:t>
            </w:r>
            <w:r w:rsidDel="00000000" w:rsidR="00000000" w:rsidRPr="00000000">
              <w:rPr>
                <w:rFonts w:ascii="Arial" w:cs="Arial" w:eastAsia="Arial" w:hAnsi="Arial"/>
                <w:b w:val="1"/>
                <w:bCs w:val="1"/>
                <w:rtl w:val="0"/>
              </w:rPr>
              <w:t xml:space="preserve"> Market Value of Equity / Total Liabilities</w:t>
            </w:r>
            <w:r w:rsidDel="00000000" w:rsidR="00000000" w:rsidRPr="00000000">
              <w:rPr>
                <w:rtl w:val="0"/>
              </w:rPr>
            </w:r>
          </w:p>
        </w:tc>
        <w:tc>
          <w:tcPr/>
          <w:p w:rsidR="00000000" w:rsidDel="00000000" w:rsidP="00000000" w:rsidRDefault="00000000" w:rsidRPr="00000000" w14:paraId="0000036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Shareholders' Equity ÷ Total Liabilities</w:t>
            </w:r>
          </w:p>
        </w:tc>
        <w:tc>
          <w:tcPr/>
          <w:p w:rsidR="00000000" w:rsidDel="00000000" w:rsidP="00000000" w:rsidRDefault="00000000" w:rsidRPr="00000000" w14:paraId="0000036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268,406 ÷ 235,757</w:t>
            </w:r>
          </w:p>
        </w:tc>
        <w:tc>
          <w:tcPr/>
          <w:p w:rsidR="00000000" w:rsidDel="00000000" w:rsidP="00000000" w:rsidRDefault="00000000" w:rsidRPr="00000000" w14:paraId="0000036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1.14</w:t>
            </w:r>
          </w:p>
        </w:tc>
      </w:tr>
      <w:tr>
        <w:trPr>
          <w:cantSplit w:val="0"/>
          <w:tblHeader w:val="0"/>
        </w:trPr>
        <w:tc>
          <w:tcPr/>
          <w:p w:rsidR="00000000" w:rsidDel="00000000" w:rsidP="00000000" w:rsidRDefault="00000000" w:rsidRPr="00000000" w14:paraId="0000036D">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X</w:t>
            </w:r>
            <w:r w:rsidDel="00000000" w:rsidR="00000000" w:rsidRPr="00000000">
              <w:rPr>
                <w:rFonts w:ascii="Cambria Math" w:cs="Cambria Math" w:eastAsia="Cambria Math" w:hAnsi="Cambria Math"/>
                <w:b w:val="1"/>
                <w:bCs w:val="1"/>
                <w:rtl w:val="0"/>
              </w:rPr>
              <w:t xml:space="preserve">₅</w:t>
            </w:r>
            <w:r w:rsidDel="00000000" w:rsidR="00000000" w:rsidRPr="00000000">
              <w:rPr>
                <w:rFonts w:ascii="Arial" w:cs="Arial" w:eastAsia="Arial" w:hAnsi="Arial"/>
                <w:b w:val="1"/>
                <w:bCs w:val="1"/>
                <w:rtl w:val="0"/>
              </w:rPr>
              <w:t xml:space="preserve"> Sales / Total Assets</w:t>
            </w:r>
            <w:r w:rsidDel="00000000" w:rsidR="00000000" w:rsidRPr="00000000">
              <w:rPr>
                <w:rtl w:val="0"/>
              </w:rPr>
            </w:r>
          </w:p>
        </w:tc>
        <w:tc>
          <w:tcPr/>
          <w:p w:rsidR="00000000" w:rsidDel="00000000" w:rsidP="00000000" w:rsidRDefault="00000000" w:rsidRPr="00000000" w14:paraId="0000036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Net Sales ÷ Total Assets</w:t>
            </w:r>
          </w:p>
        </w:tc>
        <w:tc>
          <w:tcPr/>
          <w:p w:rsidR="00000000" w:rsidDel="00000000" w:rsidP="00000000" w:rsidRDefault="00000000" w:rsidRPr="00000000" w14:paraId="0000036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542,751 ÷ 504,163</w:t>
            </w:r>
          </w:p>
        </w:tc>
        <w:tc>
          <w:tcPr/>
          <w:p w:rsidR="00000000" w:rsidDel="00000000" w:rsidP="00000000" w:rsidRDefault="00000000" w:rsidRPr="00000000" w14:paraId="0000037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1.08</w:t>
            </w:r>
          </w:p>
        </w:tc>
      </w:tr>
      <w:tr>
        <w:trPr>
          <w:cantSplit w:val="0"/>
          <w:tblHeader w:val="0"/>
        </w:trPr>
        <w:tc>
          <w:tcPr/>
          <w:p w:rsidR="00000000" w:rsidDel="00000000" w:rsidP="00000000" w:rsidRDefault="00000000" w:rsidRPr="00000000" w14:paraId="00000371">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Altman Z-Score</w:t>
            </w:r>
            <w:r w:rsidDel="00000000" w:rsidR="00000000" w:rsidRPr="00000000">
              <w:rPr>
                <w:rtl w:val="0"/>
              </w:rPr>
            </w:r>
          </w:p>
        </w:tc>
        <w:tc>
          <w:tcPr/>
          <w:p w:rsidR="00000000" w:rsidDel="00000000" w:rsidP="00000000" w:rsidRDefault="00000000" w:rsidRPr="00000000" w14:paraId="0000037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(1.2 × X</w:t>
            </w:r>
            <w:r w:rsidDel="00000000" w:rsidR="00000000" w:rsidRPr="00000000">
              <w:rPr>
                <w:rFonts w:ascii="Cambria Math" w:cs="Cambria Math" w:eastAsia="Cambria Math" w:hAnsi="Cambria Math"/>
                <w:rtl w:val="0"/>
              </w:rPr>
              <w:t xml:space="preserve">₁</w:t>
            </w:r>
            <w:r w:rsidDel="00000000" w:rsidR="00000000" w:rsidRPr="00000000">
              <w:rPr>
                <w:rFonts w:ascii="Arial" w:cs="Arial" w:eastAsia="Arial" w:hAnsi="Arial"/>
                <w:rtl w:val="0"/>
              </w:rPr>
              <w:t xml:space="preserve">) + (1.4 × X</w:t>
            </w:r>
            <w:r w:rsidDel="00000000" w:rsidR="00000000" w:rsidRPr="00000000">
              <w:rPr>
                <w:rFonts w:ascii="Cambria Math" w:cs="Cambria Math" w:eastAsia="Cambria Math" w:hAnsi="Cambria Math"/>
                <w:rtl w:val="0"/>
              </w:rPr>
              <w:t xml:space="preserve">₂</w:t>
            </w:r>
            <w:r w:rsidDel="00000000" w:rsidR="00000000" w:rsidRPr="00000000">
              <w:rPr>
                <w:rFonts w:ascii="Arial" w:cs="Arial" w:eastAsia="Arial" w:hAnsi="Arial"/>
                <w:rtl w:val="0"/>
              </w:rPr>
              <w:t xml:space="preserve">) + (3.3 × X</w:t>
            </w:r>
            <w:r w:rsidDel="00000000" w:rsidR="00000000" w:rsidRPr="00000000">
              <w:rPr>
                <w:rFonts w:ascii="Cambria Math" w:cs="Cambria Math" w:eastAsia="Cambria Math" w:hAnsi="Cambria Math"/>
                <w:rtl w:val="0"/>
              </w:rPr>
              <w:t xml:space="preserve">₃</w:t>
            </w:r>
            <w:r w:rsidDel="00000000" w:rsidR="00000000" w:rsidRPr="00000000">
              <w:rPr>
                <w:rFonts w:ascii="Arial" w:cs="Arial" w:eastAsia="Arial" w:hAnsi="Arial"/>
                <w:rtl w:val="0"/>
              </w:rPr>
              <w:t xml:space="preserve">) + (0.6 × X</w:t>
            </w:r>
            <w:r w:rsidDel="00000000" w:rsidR="00000000" w:rsidRPr="00000000">
              <w:rPr>
                <w:rFonts w:ascii="Cambria Math" w:cs="Cambria Math" w:eastAsia="Cambria Math" w:hAnsi="Cambria Math"/>
                <w:rtl w:val="0"/>
              </w:rPr>
              <w:t xml:space="preserve">₄</w:t>
            </w:r>
            <w:r w:rsidDel="00000000" w:rsidR="00000000" w:rsidRPr="00000000">
              <w:rPr>
                <w:rFonts w:ascii="Arial" w:cs="Arial" w:eastAsia="Arial" w:hAnsi="Arial"/>
                <w:rtl w:val="0"/>
              </w:rPr>
              <w:t xml:space="preserve">) + (1.0 × X</w:t>
            </w:r>
            <w:r w:rsidDel="00000000" w:rsidR="00000000" w:rsidRPr="00000000">
              <w:rPr>
                <w:rFonts w:ascii="Cambria Math" w:cs="Cambria Math" w:eastAsia="Cambria Math" w:hAnsi="Cambria Math"/>
                <w:rtl w:val="0"/>
              </w:rPr>
              <w:t xml:space="preserve">₅</w:t>
            </w:r>
            <w:r w:rsidDel="00000000" w:rsidR="00000000" w:rsidRPr="00000000">
              <w:rPr>
                <w:rFonts w:ascii="Arial" w:cs="Arial" w:eastAsia="Arial" w:hAnsi="Arial"/>
                <w:rtl w:val="0"/>
              </w:rPr>
              <w:t xml:space="preserve">)</w:t>
            </w:r>
          </w:p>
        </w:tc>
        <w:tc>
          <w:tcPr/>
          <w:p w:rsidR="00000000" w:rsidDel="00000000" w:rsidP="00000000" w:rsidRDefault="00000000" w:rsidRPr="00000000" w14:paraId="0000037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(1.2 × 0.24) + (1.4 × 0.53) + (3.3 × 0.03) + (0.6 × 1.14) + (1.0 × 1.08)</w:t>
            </w:r>
          </w:p>
        </w:tc>
        <w:tc>
          <w:tcPr/>
          <w:p w:rsidR="00000000" w:rsidDel="00000000" w:rsidP="00000000" w:rsidRDefault="00000000" w:rsidRPr="00000000" w14:paraId="0000037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3.19</w:t>
            </w:r>
          </w:p>
        </w:tc>
      </w:tr>
    </w:tbl>
    <w:p w:rsidR="00000000" w:rsidDel="00000000" w:rsidP="00000000" w:rsidRDefault="00000000" w:rsidRPr="00000000" w14:paraId="00000375">
      <w:pPr>
        <w:rPr/>
      </w:pPr>
      <w:r w:rsidDel="00000000" w:rsidR="00000000" w:rsidRPr="00000000">
        <w:rPr>
          <w:rtl w:val="0"/>
        </w:rPr>
      </w:r>
    </w:p>
    <w:p w:rsidR="00000000" w:rsidDel="00000000" w:rsidP="00000000" w:rsidRDefault="00000000" w:rsidRPr="00000000" w14:paraId="00000376">
      <w:pPr>
        <w:rPr/>
      </w:pPr>
      <w:r w:rsidDel="00000000" w:rsidR="00000000" w:rsidRPr="00000000">
        <w:rPr>
          <w:rtl w:val="0"/>
        </w:rPr>
        <w:t xml:space="preserve">Altman Z-Score Calculation for 2023</w:t>
      </w:r>
    </w:p>
    <w:tbl>
      <w:tblPr>
        <w:tblStyle w:val="Table28"/>
        <w:tblW w:w="9026.000000000002" w:type="dxa"/>
        <w:jc w:val="left"/>
        <w:tblBorders>
          <w:top w:color="95b3d7" w:space="0" w:sz="4" w:val="single"/>
          <w:left w:color="95b3d7" w:space="0" w:sz="4" w:val="single"/>
          <w:bottom w:color="95b3d7" w:space="0" w:sz="4" w:val="single"/>
          <w:right w:color="95b3d7" w:space="0" w:sz="4" w:val="single"/>
          <w:insideH w:color="95b3d7" w:space="0" w:sz="4" w:val="single"/>
          <w:insideV w:color="95b3d7" w:space="0" w:sz="4" w:val="single"/>
        </w:tblBorders>
        <w:tblLayout w:type="fixed"/>
        <w:tblLook w:val="04A0"/>
      </w:tblPr>
      <w:tblGrid>
        <w:gridCol w:w="2262"/>
        <w:gridCol w:w="2880"/>
        <w:gridCol w:w="3027"/>
        <w:gridCol w:w="857"/>
        <w:tblGridChange w:id="0">
          <w:tblGrid>
            <w:gridCol w:w="2262"/>
            <w:gridCol w:w="2880"/>
            <w:gridCol w:w="3027"/>
            <w:gridCol w:w="857"/>
          </w:tblGrid>
        </w:tblGridChange>
      </w:tblGrid>
      <w:tr>
        <w:trPr>
          <w:cantSplit w:val="0"/>
          <w:tblHeader w:val="0"/>
        </w:trPr>
        <w:tc>
          <w:tcPr/>
          <w:p w:rsidR="00000000" w:rsidDel="00000000" w:rsidP="00000000" w:rsidRDefault="00000000" w:rsidRPr="00000000" w14:paraId="0000037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Metric</w:t>
            </w:r>
          </w:p>
        </w:tc>
        <w:tc>
          <w:tcPr/>
          <w:p w:rsidR="00000000" w:rsidDel="00000000" w:rsidP="00000000" w:rsidRDefault="00000000" w:rsidRPr="00000000" w14:paraId="0000037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Formula</w:t>
            </w:r>
          </w:p>
        </w:tc>
        <w:tc>
          <w:tcPr/>
          <w:p w:rsidR="00000000" w:rsidDel="00000000" w:rsidP="00000000" w:rsidRDefault="00000000" w:rsidRPr="00000000" w14:paraId="0000037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Calculation</w:t>
            </w:r>
          </w:p>
        </w:tc>
        <w:tc>
          <w:tcPr/>
          <w:p w:rsidR="00000000" w:rsidDel="00000000" w:rsidP="00000000" w:rsidRDefault="00000000" w:rsidRPr="00000000" w14:paraId="0000037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Value</w:t>
            </w:r>
          </w:p>
        </w:tc>
      </w:tr>
      <w:tr>
        <w:trPr>
          <w:cantSplit w:val="0"/>
          <w:tblHeader w:val="0"/>
        </w:trPr>
        <w:tc>
          <w:tcPr/>
          <w:p w:rsidR="00000000" w:rsidDel="00000000" w:rsidP="00000000" w:rsidRDefault="00000000" w:rsidRPr="00000000" w14:paraId="0000037B">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X</w:t>
            </w:r>
            <w:r w:rsidDel="00000000" w:rsidR="00000000" w:rsidRPr="00000000">
              <w:rPr>
                <w:rFonts w:ascii="Cambria Math" w:cs="Cambria Math" w:eastAsia="Cambria Math" w:hAnsi="Cambria Math"/>
                <w:b w:val="1"/>
                <w:bCs w:val="1"/>
                <w:rtl w:val="0"/>
              </w:rPr>
              <w:t xml:space="preserve">₁</w:t>
            </w:r>
            <w:r w:rsidDel="00000000" w:rsidR="00000000" w:rsidRPr="00000000">
              <w:rPr>
                <w:rFonts w:ascii="Arial" w:cs="Arial" w:eastAsia="Arial" w:hAnsi="Arial"/>
                <w:b w:val="1"/>
                <w:bCs w:val="1"/>
                <w:rtl w:val="0"/>
              </w:rPr>
              <w:t xml:space="preserve"> Working Capital / Total Assets</w:t>
            </w:r>
            <w:r w:rsidDel="00000000" w:rsidR="00000000" w:rsidRPr="00000000">
              <w:rPr>
                <w:rtl w:val="0"/>
              </w:rPr>
            </w:r>
          </w:p>
        </w:tc>
        <w:tc>
          <w:tcPr/>
          <w:p w:rsidR="00000000" w:rsidDel="00000000" w:rsidP="00000000" w:rsidRDefault="00000000" w:rsidRPr="00000000" w14:paraId="0000037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(Current Assets - Current Liabilities) ÷ Total Assets</w:t>
            </w:r>
          </w:p>
        </w:tc>
        <w:tc>
          <w:tcPr/>
          <w:p w:rsidR="00000000" w:rsidDel="00000000" w:rsidP="00000000" w:rsidRDefault="00000000" w:rsidRPr="00000000" w14:paraId="0000037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(258,851 - 161,148) ÷ 355,872 = 97,703 ÷ 355,872</w:t>
            </w:r>
          </w:p>
        </w:tc>
        <w:tc>
          <w:tcPr/>
          <w:p w:rsidR="00000000" w:rsidDel="00000000" w:rsidP="00000000" w:rsidRDefault="00000000" w:rsidRPr="00000000" w14:paraId="0000037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0.27</w:t>
            </w:r>
          </w:p>
        </w:tc>
      </w:tr>
      <w:tr>
        <w:trPr>
          <w:cantSplit w:val="0"/>
          <w:tblHeader w:val="0"/>
        </w:trPr>
        <w:tc>
          <w:tcPr/>
          <w:p w:rsidR="00000000" w:rsidDel="00000000" w:rsidP="00000000" w:rsidRDefault="00000000" w:rsidRPr="00000000" w14:paraId="0000037F">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X</w:t>
            </w:r>
            <w:r w:rsidDel="00000000" w:rsidR="00000000" w:rsidRPr="00000000">
              <w:rPr>
                <w:rFonts w:ascii="Cambria Math" w:cs="Cambria Math" w:eastAsia="Cambria Math" w:hAnsi="Cambria Math"/>
                <w:b w:val="1"/>
                <w:bCs w:val="1"/>
                <w:rtl w:val="0"/>
              </w:rPr>
              <w:t xml:space="preserve">₂</w:t>
            </w:r>
            <w:r w:rsidDel="00000000" w:rsidR="00000000" w:rsidRPr="00000000">
              <w:rPr>
                <w:rFonts w:ascii="Arial" w:cs="Arial" w:eastAsia="Arial" w:hAnsi="Arial"/>
                <w:b w:val="1"/>
                <w:bCs w:val="1"/>
                <w:rtl w:val="0"/>
              </w:rPr>
              <w:t xml:space="preserve"> Retained Earnings / Total Assets</w:t>
            </w:r>
            <w:r w:rsidDel="00000000" w:rsidR="00000000" w:rsidRPr="00000000">
              <w:rPr>
                <w:rtl w:val="0"/>
              </w:rPr>
            </w:r>
          </w:p>
        </w:tc>
        <w:tc>
          <w:tcPr/>
          <w:p w:rsidR="00000000" w:rsidDel="00000000" w:rsidP="00000000" w:rsidRDefault="00000000" w:rsidRPr="00000000" w14:paraId="0000038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Shareholders' Equity ÷ Total Assets</w:t>
            </w:r>
          </w:p>
        </w:tc>
        <w:tc>
          <w:tcPr/>
          <w:p w:rsidR="00000000" w:rsidDel="00000000" w:rsidP="00000000" w:rsidRDefault="00000000" w:rsidRPr="00000000" w14:paraId="0000038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178,920 ÷ 355,872</w:t>
            </w:r>
          </w:p>
        </w:tc>
        <w:tc>
          <w:tcPr/>
          <w:p w:rsidR="00000000" w:rsidDel="00000000" w:rsidP="00000000" w:rsidRDefault="00000000" w:rsidRPr="00000000" w14:paraId="0000038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0.50</w:t>
            </w:r>
          </w:p>
        </w:tc>
      </w:tr>
      <w:tr>
        <w:trPr>
          <w:cantSplit w:val="0"/>
          <w:tblHeader w:val="0"/>
        </w:trPr>
        <w:tc>
          <w:tcPr/>
          <w:p w:rsidR="00000000" w:rsidDel="00000000" w:rsidP="00000000" w:rsidRDefault="00000000" w:rsidRPr="00000000" w14:paraId="00000383">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X</w:t>
            </w:r>
            <w:r w:rsidDel="00000000" w:rsidR="00000000" w:rsidRPr="00000000">
              <w:rPr>
                <w:rFonts w:ascii="Cambria Math" w:cs="Cambria Math" w:eastAsia="Cambria Math" w:hAnsi="Cambria Math"/>
                <w:b w:val="1"/>
                <w:bCs w:val="1"/>
                <w:rtl w:val="0"/>
              </w:rPr>
              <w:t xml:space="preserve">₃</w:t>
            </w:r>
            <w:r w:rsidDel="00000000" w:rsidR="00000000" w:rsidRPr="00000000">
              <w:rPr>
                <w:rFonts w:ascii="Arial" w:cs="Arial" w:eastAsia="Arial" w:hAnsi="Arial"/>
                <w:b w:val="1"/>
                <w:bCs w:val="1"/>
                <w:rtl w:val="0"/>
              </w:rPr>
              <w:t xml:space="preserve"> EBIT / Total Assets</w:t>
            </w:r>
            <w:r w:rsidDel="00000000" w:rsidR="00000000" w:rsidRPr="00000000">
              <w:rPr>
                <w:rtl w:val="0"/>
              </w:rPr>
            </w:r>
          </w:p>
        </w:tc>
        <w:tc>
          <w:tcPr/>
          <w:p w:rsidR="00000000" w:rsidDel="00000000" w:rsidP="00000000" w:rsidRDefault="00000000" w:rsidRPr="00000000" w14:paraId="0000038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Operating Income ÷ Total Assets</w:t>
            </w:r>
          </w:p>
        </w:tc>
        <w:tc>
          <w:tcPr/>
          <w:p w:rsidR="00000000" w:rsidDel="00000000" w:rsidP="00000000" w:rsidRDefault="00000000" w:rsidRPr="00000000" w14:paraId="0000038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-85,301 ÷ 355,872</w:t>
            </w:r>
          </w:p>
        </w:tc>
        <w:tc>
          <w:tcPr/>
          <w:p w:rsidR="00000000" w:rsidDel="00000000" w:rsidP="00000000" w:rsidRDefault="00000000" w:rsidRPr="00000000" w14:paraId="0000038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-0.24</w:t>
            </w:r>
          </w:p>
        </w:tc>
      </w:tr>
      <w:tr>
        <w:trPr>
          <w:cantSplit w:val="0"/>
          <w:tblHeader w:val="0"/>
        </w:trPr>
        <w:tc>
          <w:tcPr/>
          <w:p w:rsidR="00000000" w:rsidDel="00000000" w:rsidP="00000000" w:rsidRDefault="00000000" w:rsidRPr="00000000" w14:paraId="00000387">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X</w:t>
            </w:r>
            <w:r w:rsidDel="00000000" w:rsidR="00000000" w:rsidRPr="00000000">
              <w:rPr>
                <w:rFonts w:ascii="Cambria Math" w:cs="Cambria Math" w:eastAsia="Cambria Math" w:hAnsi="Cambria Math"/>
                <w:b w:val="1"/>
                <w:bCs w:val="1"/>
                <w:rtl w:val="0"/>
              </w:rPr>
              <w:t xml:space="preserve">₄</w:t>
            </w:r>
            <w:r w:rsidDel="00000000" w:rsidR="00000000" w:rsidRPr="00000000">
              <w:rPr>
                <w:rFonts w:ascii="Arial" w:cs="Arial" w:eastAsia="Arial" w:hAnsi="Arial"/>
                <w:b w:val="1"/>
                <w:bCs w:val="1"/>
                <w:rtl w:val="0"/>
              </w:rPr>
              <w:t xml:space="preserve"> Market Value of Equity / Total Liabilities</w:t>
            </w:r>
            <w:r w:rsidDel="00000000" w:rsidR="00000000" w:rsidRPr="00000000">
              <w:rPr>
                <w:rtl w:val="0"/>
              </w:rPr>
            </w:r>
          </w:p>
        </w:tc>
        <w:tc>
          <w:tcPr/>
          <w:p w:rsidR="00000000" w:rsidDel="00000000" w:rsidP="00000000" w:rsidRDefault="00000000" w:rsidRPr="00000000" w14:paraId="0000038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Shareholders' Equity ÷ Total Liabilities</w:t>
            </w:r>
          </w:p>
        </w:tc>
        <w:tc>
          <w:tcPr/>
          <w:p w:rsidR="00000000" w:rsidDel="00000000" w:rsidP="00000000" w:rsidRDefault="00000000" w:rsidRPr="00000000" w14:paraId="0000038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178,920 ÷ 176,952</w:t>
            </w:r>
          </w:p>
        </w:tc>
        <w:tc>
          <w:tcPr/>
          <w:p w:rsidR="00000000" w:rsidDel="00000000" w:rsidP="00000000" w:rsidRDefault="00000000" w:rsidRPr="00000000" w14:paraId="0000038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1.01</w:t>
            </w:r>
          </w:p>
        </w:tc>
      </w:tr>
      <w:tr>
        <w:trPr>
          <w:cantSplit w:val="0"/>
          <w:tblHeader w:val="0"/>
        </w:trPr>
        <w:tc>
          <w:tcPr/>
          <w:p w:rsidR="00000000" w:rsidDel="00000000" w:rsidP="00000000" w:rsidRDefault="00000000" w:rsidRPr="00000000" w14:paraId="0000038B">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X</w:t>
            </w:r>
            <w:r w:rsidDel="00000000" w:rsidR="00000000" w:rsidRPr="00000000">
              <w:rPr>
                <w:rFonts w:ascii="Cambria Math" w:cs="Cambria Math" w:eastAsia="Cambria Math" w:hAnsi="Cambria Math"/>
                <w:b w:val="1"/>
                <w:bCs w:val="1"/>
                <w:rtl w:val="0"/>
              </w:rPr>
              <w:t xml:space="preserve">₅</w:t>
            </w:r>
            <w:r w:rsidDel="00000000" w:rsidR="00000000" w:rsidRPr="00000000">
              <w:rPr>
                <w:rFonts w:ascii="Arial" w:cs="Arial" w:eastAsia="Arial" w:hAnsi="Arial"/>
                <w:b w:val="1"/>
                <w:bCs w:val="1"/>
                <w:rtl w:val="0"/>
              </w:rPr>
              <w:t xml:space="preserve"> Sales / Total Assets</w:t>
            </w:r>
            <w:r w:rsidDel="00000000" w:rsidR="00000000" w:rsidRPr="00000000">
              <w:rPr>
                <w:rtl w:val="0"/>
              </w:rPr>
            </w:r>
          </w:p>
        </w:tc>
        <w:tc>
          <w:tcPr/>
          <w:p w:rsidR="00000000" w:rsidDel="00000000" w:rsidP="00000000" w:rsidRDefault="00000000" w:rsidRPr="00000000" w14:paraId="0000038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Net Sales ÷ Total Assets</w:t>
            </w:r>
          </w:p>
        </w:tc>
        <w:tc>
          <w:tcPr/>
          <w:p w:rsidR="00000000" w:rsidDel="00000000" w:rsidP="00000000" w:rsidRDefault="00000000" w:rsidRPr="00000000" w14:paraId="0000038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420,457 ÷ 355,872</w:t>
            </w:r>
          </w:p>
        </w:tc>
        <w:tc>
          <w:tcPr/>
          <w:p w:rsidR="00000000" w:rsidDel="00000000" w:rsidP="00000000" w:rsidRDefault="00000000" w:rsidRPr="00000000" w14:paraId="0000038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1.18</w:t>
            </w:r>
          </w:p>
        </w:tc>
      </w:tr>
      <w:tr>
        <w:trPr>
          <w:cantSplit w:val="0"/>
          <w:tblHeader w:val="0"/>
        </w:trPr>
        <w:tc>
          <w:tcPr/>
          <w:p w:rsidR="00000000" w:rsidDel="00000000" w:rsidP="00000000" w:rsidRDefault="00000000" w:rsidRPr="00000000" w14:paraId="0000038F">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Altman Z-Score</w:t>
            </w:r>
            <w:r w:rsidDel="00000000" w:rsidR="00000000" w:rsidRPr="00000000">
              <w:rPr>
                <w:rtl w:val="0"/>
              </w:rPr>
            </w:r>
          </w:p>
        </w:tc>
        <w:tc>
          <w:tcPr/>
          <w:p w:rsidR="00000000" w:rsidDel="00000000" w:rsidP="00000000" w:rsidRDefault="00000000" w:rsidRPr="00000000" w14:paraId="0000039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(1.2 × X</w:t>
            </w:r>
            <w:r w:rsidDel="00000000" w:rsidR="00000000" w:rsidRPr="00000000">
              <w:rPr>
                <w:rFonts w:ascii="Cambria Math" w:cs="Cambria Math" w:eastAsia="Cambria Math" w:hAnsi="Cambria Math"/>
                <w:rtl w:val="0"/>
              </w:rPr>
              <w:t xml:space="preserve">₁</w:t>
            </w:r>
            <w:r w:rsidDel="00000000" w:rsidR="00000000" w:rsidRPr="00000000">
              <w:rPr>
                <w:rFonts w:ascii="Arial" w:cs="Arial" w:eastAsia="Arial" w:hAnsi="Arial"/>
                <w:rtl w:val="0"/>
              </w:rPr>
              <w:t xml:space="preserve">) + (1.4 × X</w:t>
            </w:r>
            <w:r w:rsidDel="00000000" w:rsidR="00000000" w:rsidRPr="00000000">
              <w:rPr>
                <w:rFonts w:ascii="Cambria Math" w:cs="Cambria Math" w:eastAsia="Cambria Math" w:hAnsi="Cambria Math"/>
                <w:rtl w:val="0"/>
              </w:rPr>
              <w:t xml:space="preserve">₂</w:t>
            </w:r>
            <w:r w:rsidDel="00000000" w:rsidR="00000000" w:rsidRPr="00000000">
              <w:rPr>
                <w:rFonts w:ascii="Arial" w:cs="Arial" w:eastAsia="Arial" w:hAnsi="Arial"/>
                <w:rtl w:val="0"/>
              </w:rPr>
              <w:t xml:space="preserve">) + (3.3 × X</w:t>
            </w:r>
            <w:r w:rsidDel="00000000" w:rsidR="00000000" w:rsidRPr="00000000">
              <w:rPr>
                <w:rFonts w:ascii="Cambria Math" w:cs="Cambria Math" w:eastAsia="Cambria Math" w:hAnsi="Cambria Math"/>
                <w:rtl w:val="0"/>
              </w:rPr>
              <w:t xml:space="preserve">₃</w:t>
            </w:r>
            <w:r w:rsidDel="00000000" w:rsidR="00000000" w:rsidRPr="00000000">
              <w:rPr>
                <w:rFonts w:ascii="Arial" w:cs="Arial" w:eastAsia="Arial" w:hAnsi="Arial"/>
                <w:rtl w:val="0"/>
              </w:rPr>
              <w:t xml:space="preserve">) + (0.6 × X</w:t>
            </w:r>
            <w:r w:rsidDel="00000000" w:rsidR="00000000" w:rsidRPr="00000000">
              <w:rPr>
                <w:rFonts w:ascii="Cambria Math" w:cs="Cambria Math" w:eastAsia="Cambria Math" w:hAnsi="Cambria Math"/>
                <w:rtl w:val="0"/>
              </w:rPr>
              <w:t xml:space="preserve">₄</w:t>
            </w:r>
            <w:r w:rsidDel="00000000" w:rsidR="00000000" w:rsidRPr="00000000">
              <w:rPr>
                <w:rFonts w:ascii="Arial" w:cs="Arial" w:eastAsia="Arial" w:hAnsi="Arial"/>
                <w:rtl w:val="0"/>
              </w:rPr>
              <w:t xml:space="preserve">) + (1.0 × X</w:t>
            </w:r>
            <w:r w:rsidDel="00000000" w:rsidR="00000000" w:rsidRPr="00000000">
              <w:rPr>
                <w:rFonts w:ascii="Cambria Math" w:cs="Cambria Math" w:eastAsia="Cambria Math" w:hAnsi="Cambria Math"/>
                <w:rtl w:val="0"/>
              </w:rPr>
              <w:t xml:space="preserve">₅</w:t>
            </w:r>
            <w:r w:rsidDel="00000000" w:rsidR="00000000" w:rsidRPr="00000000">
              <w:rPr>
                <w:rFonts w:ascii="Arial" w:cs="Arial" w:eastAsia="Arial" w:hAnsi="Arial"/>
                <w:rtl w:val="0"/>
              </w:rPr>
              <w:t xml:space="preserve">)</w:t>
            </w:r>
          </w:p>
        </w:tc>
        <w:tc>
          <w:tcPr/>
          <w:p w:rsidR="00000000" w:rsidDel="00000000" w:rsidP="00000000" w:rsidRDefault="00000000" w:rsidRPr="00000000" w14:paraId="0000039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(1.2 × 0.27) + (1.4 × 0.50) + (3.3 × -0.24) + (0.6 × 1.01) + (1.0 × 1.18)</w:t>
            </w:r>
          </w:p>
        </w:tc>
        <w:tc>
          <w:tcPr/>
          <w:p w:rsidR="00000000" w:rsidDel="00000000" w:rsidP="00000000" w:rsidRDefault="00000000" w:rsidRPr="00000000" w14:paraId="0000039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2.06</w:t>
            </w:r>
          </w:p>
        </w:tc>
      </w:tr>
    </w:tbl>
    <w:p w:rsidR="00000000" w:rsidDel="00000000" w:rsidP="00000000" w:rsidRDefault="00000000" w:rsidRPr="00000000" w14:paraId="00000393">
      <w:pPr>
        <w:rPr/>
      </w:pPr>
      <w:r w:rsidDel="00000000" w:rsidR="00000000" w:rsidRPr="00000000">
        <w:rPr>
          <w:rtl w:val="0"/>
        </w:rPr>
      </w:r>
    </w:p>
    <w:p w:rsidR="00000000" w:rsidDel="00000000" w:rsidP="00000000" w:rsidRDefault="00000000" w:rsidRPr="00000000" w14:paraId="00000394">
      <w:pPr>
        <w:rPr/>
      </w:pPr>
      <w:r w:rsidDel="00000000" w:rsidR="00000000" w:rsidRPr="00000000">
        <w:rPr>
          <w:rtl w:val="0"/>
        </w:rPr>
        <w:t xml:space="preserve">Altman Z-Score Calculation for 2024</w:t>
      </w:r>
    </w:p>
    <w:tbl>
      <w:tblPr>
        <w:tblStyle w:val="Table29"/>
        <w:tblW w:w="9026.000000000002" w:type="dxa"/>
        <w:jc w:val="left"/>
        <w:tblBorders>
          <w:top w:color="95b3d7" w:space="0" w:sz="4" w:val="single"/>
          <w:left w:color="95b3d7" w:space="0" w:sz="4" w:val="single"/>
          <w:bottom w:color="95b3d7" w:space="0" w:sz="4" w:val="single"/>
          <w:right w:color="95b3d7" w:space="0" w:sz="4" w:val="single"/>
          <w:insideH w:color="95b3d7" w:space="0" w:sz="4" w:val="single"/>
          <w:insideV w:color="95b3d7" w:space="0" w:sz="4" w:val="single"/>
        </w:tblBorders>
        <w:tblLayout w:type="fixed"/>
        <w:tblLook w:val="04A0"/>
      </w:tblPr>
      <w:tblGrid>
        <w:gridCol w:w="2262"/>
        <w:gridCol w:w="2880"/>
        <w:gridCol w:w="3027"/>
        <w:gridCol w:w="857"/>
        <w:tblGridChange w:id="0">
          <w:tblGrid>
            <w:gridCol w:w="2262"/>
            <w:gridCol w:w="2880"/>
            <w:gridCol w:w="3027"/>
            <w:gridCol w:w="857"/>
          </w:tblGrid>
        </w:tblGridChange>
      </w:tblGrid>
      <w:tr>
        <w:trPr>
          <w:cantSplit w:val="0"/>
          <w:tblHeader w:val="0"/>
        </w:trPr>
        <w:tc>
          <w:tcPr/>
          <w:p w:rsidR="00000000" w:rsidDel="00000000" w:rsidP="00000000" w:rsidRDefault="00000000" w:rsidRPr="00000000" w14:paraId="0000039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Metric</w:t>
            </w:r>
          </w:p>
        </w:tc>
        <w:tc>
          <w:tcPr/>
          <w:p w:rsidR="00000000" w:rsidDel="00000000" w:rsidP="00000000" w:rsidRDefault="00000000" w:rsidRPr="00000000" w14:paraId="0000039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Formula</w:t>
            </w:r>
          </w:p>
        </w:tc>
        <w:tc>
          <w:tcPr/>
          <w:p w:rsidR="00000000" w:rsidDel="00000000" w:rsidP="00000000" w:rsidRDefault="00000000" w:rsidRPr="00000000" w14:paraId="0000039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Calculation</w:t>
            </w:r>
          </w:p>
        </w:tc>
        <w:tc>
          <w:tcPr/>
          <w:p w:rsidR="00000000" w:rsidDel="00000000" w:rsidP="00000000" w:rsidRDefault="00000000" w:rsidRPr="00000000" w14:paraId="0000039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Value</w:t>
            </w:r>
          </w:p>
        </w:tc>
      </w:tr>
      <w:tr>
        <w:trPr>
          <w:cantSplit w:val="0"/>
          <w:tblHeader w:val="0"/>
        </w:trPr>
        <w:tc>
          <w:tcPr/>
          <w:p w:rsidR="00000000" w:rsidDel="00000000" w:rsidP="00000000" w:rsidRDefault="00000000" w:rsidRPr="00000000" w14:paraId="00000399">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X</w:t>
            </w:r>
            <w:r w:rsidDel="00000000" w:rsidR="00000000" w:rsidRPr="00000000">
              <w:rPr>
                <w:rFonts w:ascii="Cambria Math" w:cs="Cambria Math" w:eastAsia="Cambria Math" w:hAnsi="Cambria Math"/>
                <w:b w:val="1"/>
                <w:bCs w:val="1"/>
                <w:rtl w:val="0"/>
              </w:rPr>
              <w:t xml:space="preserve">₁</w:t>
            </w:r>
            <w:r w:rsidDel="00000000" w:rsidR="00000000" w:rsidRPr="00000000">
              <w:rPr>
                <w:rFonts w:ascii="Arial" w:cs="Arial" w:eastAsia="Arial" w:hAnsi="Arial"/>
                <w:b w:val="1"/>
                <w:bCs w:val="1"/>
                <w:rtl w:val="0"/>
              </w:rPr>
              <w:t xml:space="preserve"> Working Capital / Total Assets</w:t>
            </w:r>
            <w:r w:rsidDel="00000000" w:rsidR="00000000" w:rsidRPr="00000000">
              <w:rPr>
                <w:rtl w:val="0"/>
              </w:rPr>
            </w:r>
          </w:p>
        </w:tc>
        <w:tc>
          <w:tcPr/>
          <w:p w:rsidR="00000000" w:rsidDel="00000000" w:rsidP="00000000" w:rsidRDefault="00000000" w:rsidRPr="00000000" w14:paraId="0000039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(Current Assets - Current Liabilities) ÷ Total Assets</w:t>
            </w:r>
          </w:p>
        </w:tc>
        <w:tc>
          <w:tcPr/>
          <w:p w:rsidR="00000000" w:rsidDel="00000000" w:rsidP="00000000" w:rsidRDefault="00000000" w:rsidRPr="00000000" w14:paraId="0000039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(242,494 - 158,291) ÷ 323,354 = 84,203 ÷ 323,354</w:t>
            </w:r>
          </w:p>
        </w:tc>
        <w:tc>
          <w:tcPr/>
          <w:p w:rsidR="00000000" w:rsidDel="00000000" w:rsidP="00000000" w:rsidRDefault="00000000" w:rsidRPr="00000000" w14:paraId="0000039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0.26</w:t>
            </w:r>
          </w:p>
        </w:tc>
      </w:tr>
      <w:tr>
        <w:trPr>
          <w:cantSplit w:val="0"/>
          <w:tblHeader w:val="0"/>
        </w:trPr>
        <w:tc>
          <w:tcPr/>
          <w:p w:rsidR="00000000" w:rsidDel="00000000" w:rsidP="00000000" w:rsidRDefault="00000000" w:rsidRPr="00000000" w14:paraId="0000039D">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X</w:t>
            </w:r>
            <w:r w:rsidDel="00000000" w:rsidR="00000000" w:rsidRPr="00000000">
              <w:rPr>
                <w:rFonts w:ascii="Cambria Math" w:cs="Cambria Math" w:eastAsia="Cambria Math" w:hAnsi="Cambria Math"/>
                <w:b w:val="1"/>
                <w:bCs w:val="1"/>
                <w:rtl w:val="0"/>
              </w:rPr>
              <w:t xml:space="preserve">₂</w:t>
            </w:r>
            <w:r w:rsidDel="00000000" w:rsidR="00000000" w:rsidRPr="00000000">
              <w:rPr>
                <w:rFonts w:ascii="Arial" w:cs="Arial" w:eastAsia="Arial" w:hAnsi="Arial"/>
                <w:b w:val="1"/>
                <w:bCs w:val="1"/>
                <w:rtl w:val="0"/>
              </w:rPr>
              <w:t xml:space="preserve"> Retained Earnings / Total Assets</w:t>
            </w:r>
            <w:r w:rsidDel="00000000" w:rsidR="00000000" w:rsidRPr="00000000">
              <w:rPr>
                <w:rtl w:val="0"/>
              </w:rPr>
            </w:r>
          </w:p>
        </w:tc>
        <w:tc>
          <w:tcPr/>
          <w:p w:rsidR="00000000" w:rsidDel="00000000" w:rsidP="00000000" w:rsidRDefault="00000000" w:rsidRPr="00000000" w14:paraId="0000039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Shareholders' Equity ÷ Total Assets</w:t>
            </w:r>
          </w:p>
        </w:tc>
        <w:tc>
          <w:tcPr/>
          <w:p w:rsidR="00000000" w:rsidDel="00000000" w:rsidP="00000000" w:rsidRDefault="00000000" w:rsidRPr="00000000" w14:paraId="0000039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153,105 ÷ 323,354</w:t>
            </w:r>
          </w:p>
        </w:tc>
        <w:tc>
          <w:tcPr/>
          <w:p w:rsidR="00000000" w:rsidDel="00000000" w:rsidP="00000000" w:rsidRDefault="00000000" w:rsidRPr="00000000" w14:paraId="000003A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0.47</w:t>
            </w:r>
          </w:p>
        </w:tc>
      </w:tr>
      <w:tr>
        <w:trPr>
          <w:cantSplit w:val="0"/>
          <w:tblHeader w:val="0"/>
        </w:trPr>
        <w:tc>
          <w:tcPr/>
          <w:p w:rsidR="00000000" w:rsidDel="00000000" w:rsidP="00000000" w:rsidRDefault="00000000" w:rsidRPr="00000000" w14:paraId="000003A1">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X</w:t>
            </w:r>
            <w:r w:rsidDel="00000000" w:rsidR="00000000" w:rsidRPr="00000000">
              <w:rPr>
                <w:rFonts w:ascii="Cambria Math" w:cs="Cambria Math" w:eastAsia="Cambria Math" w:hAnsi="Cambria Math"/>
                <w:b w:val="1"/>
                <w:bCs w:val="1"/>
                <w:rtl w:val="0"/>
              </w:rPr>
              <w:t xml:space="preserve">₃</w:t>
            </w:r>
            <w:r w:rsidDel="00000000" w:rsidR="00000000" w:rsidRPr="00000000">
              <w:rPr>
                <w:rFonts w:ascii="Arial" w:cs="Arial" w:eastAsia="Arial" w:hAnsi="Arial"/>
                <w:b w:val="1"/>
                <w:bCs w:val="1"/>
                <w:rtl w:val="0"/>
              </w:rPr>
              <w:t xml:space="preserve"> EBIT / Total Assets</w:t>
            </w:r>
            <w:r w:rsidDel="00000000" w:rsidR="00000000" w:rsidRPr="00000000">
              <w:rPr>
                <w:rtl w:val="0"/>
              </w:rPr>
            </w:r>
          </w:p>
        </w:tc>
        <w:tc>
          <w:tcPr/>
          <w:p w:rsidR="00000000" w:rsidDel="00000000" w:rsidP="00000000" w:rsidRDefault="00000000" w:rsidRPr="00000000" w14:paraId="000003A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Operating Income ÷ Total Assets</w:t>
            </w:r>
          </w:p>
        </w:tc>
        <w:tc>
          <w:tcPr/>
          <w:p w:rsidR="00000000" w:rsidDel="00000000" w:rsidP="00000000" w:rsidRDefault="00000000" w:rsidRPr="00000000" w14:paraId="000003A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-15,297 ÷ 323,354</w:t>
            </w:r>
          </w:p>
        </w:tc>
        <w:tc>
          <w:tcPr/>
          <w:p w:rsidR="00000000" w:rsidDel="00000000" w:rsidP="00000000" w:rsidRDefault="00000000" w:rsidRPr="00000000" w14:paraId="000003A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-0.05</w:t>
            </w:r>
          </w:p>
        </w:tc>
      </w:tr>
      <w:tr>
        <w:trPr>
          <w:cantSplit w:val="0"/>
          <w:tblHeader w:val="0"/>
        </w:trPr>
        <w:tc>
          <w:tcPr/>
          <w:p w:rsidR="00000000" w:rsidDel="00000000" w:rsidP="00000000" w:rsidRDefault="00000000" w:rsidRPr="00000000" w14:paraId="000003A5">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X</w:t>
            </w:r>
            <w:r w:rsidDel="00000000" w:rsidR="00000000" w:rsidRPr="00000000">
              <w:rPr>
                <w:rFonts w:ascii="Cambria Math" w:cs="Cambria Math" w:eastAsia="Cambria Math" w:hAnsi="Cambria Math"/>
                <w:b w:val="1"/>
                <w:bCs w:val="1"/>
                <w:rtl w:val="0"/>
              </w:rPr>
              <w:t xml:space="preserve">₄</w:t>
            </w:r>
            <w:r w:rsidDel="00000000" w:rsidR="00000000" w:rsidRPr="00000000">
              <w:rPr>
                <w:rFonts w:ascii="Arial" w:cs="Arial" w:eastAsia="Arial" w:hAnsi="Arial"/>
                <w:b w:val="1"/>
                <w:bCs w:val="1"/>
                <w:rtl w:val="0"/>
              </w:rPr>
              <w:t xml:space="preserve"> Market Value of Equity / Total Liabilities</w:t>
            </w:r>
            <w:r w:rsidDel="00000000" w:rsidR="00000000" w:rsidRPr="00000000">
              <w:rPr>
                <w:rtl w:val="0"/>
              </w:rPr>
            </w:r>
          </w:p>
        </w:tc>
        <w:tc>
          <w:tcPr/>
          <w:p w:rsidR="00000000" w:rsidDel="00000000" w:rsidP="00000000" w:rsidRDefault="00000000" w:rsidRPr="00000000" w14:paraId="000003A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Shareholders' Equity ÷ Total Liabilities</w:t>
            </w:r>
          </w:p>
        </w:tc>
        <w:tc>
          <w:tcPr/>
          <w:p w:rsidR="00000000" w:rsidDel="00000000" w:rsidP="00000000" w:rsidRDefault="00000000" w:rsidRPr="00000000" w14:paraId="000003A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153,105 ÷ 170,249</w:t>
            </w:r>
          </w:p>
        </w:tc>
        <w:tc>
          <w:tcPr/>
          <w:p w:rsidR="00000000" w:rsidDel="00000000" w:rsidP="00000000" w:rsidRDefault="00000000" w:rsidRPr="00000000" w14:paraId="000003A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0.90</w:t>
            </w:r>
          </w:p>
        </w:tc>
      </w:tr>
      <w:tr>
        <w:trPr>
          <w:cantSplit w:val="0"/>
          <w:tblHeader w:val="0"/>
        </w:trPr>
        <w:tc>
          <w:tcPr/>
          <w:p w:rsidR="00000000" w:rsidDel="00000000" w:rsidP="00000000" w:rsidRDefault="00000000" w:rsidRPr="00000000" w14:paraId="000003A9">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X</w:t>
            </w:r>
            <w:r w:rsidDel="00000000" w:rsidR="00000000" w:rsidRPr="00000000">
              <w:rPr>
                <w:rFonts w:ascii="Cambria Math" w:cs="Cambria Math" w:eastAsia="Cambria Math" w:hAnsi="Cambria Math"/>
                <w:b w:val="1"/>
                <w:bCs w:val="1"/>
                <w:rtl w:val="0"/>
              </w:rPr>
              <w:t xml:space="preserve">₅</w:t>
            </w:r>
            <w:r w:rsidDel="00000000" w:rsidR="00000000" w:rsidRPr="00000000">
              <w:rPr>
                <w:rFonts w:ascii="Arial" w:cs="Arial" w:eastAsia="Arial" w:hAnsi="Arial"/>
                <w:b w:val="1"/>
                <w:bCs w:val="1"/>
                <w:rtl w:val="0"/>
              </w:rPr>
              <w:t xml:space="preserve"> Sales / Total Assets</w:t>
            </w:r>
            <w:r w:rsidDel="00000000" w:rsidR="00000000" w:rsidRPr="00000000">
              <w:rPr>
                <w:rtl w:val="0"/>
              </w:rPr>
            </w:r>
          </w:p>
        </w:tc>
        <w:tc>
          <w:tcPr/>
          <w:p w:rsidR="00000000" w:rsidDel="00000000" w:rsidP="00000000" w:rsidRDefault="00000000" w:rsidRPr="00000000" w14:paraId="000003A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Net Sales ÷ Total Assets</w:t>
            </w:r>
          </w:p>
        </w:tc>
        <w:tc>
          <w:tcPr/>
          <w:p w:rsidR="00000000" w:rsidDel="00000000" w:rsidP="00000000" w:rsidRDefault="00000000" w:rsidRPr="00000000" w14:paraId="000003A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394,879 ÷ 323,354</w:t>
            </w:r>
          </w:p>
        </w:tc>
        <w:tc>
          <w:tcPr/>
          <w:p w:rsidR="00000000" w:rsidDel="00000000" w:rsidP="00000000" w:rsidRDefault="00000000" w:rsidRPr="00000000" w14:paraId="000003A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1.22</w:t>
            </w:r>
          </w:p>
        </w:tc>
      </w:tr>
      <w:tr>
        <w:trPr>
          <w:cantSplit w:val="0"/>
          <w:tblHeader w:val="0"/>
        </w:trPr>
        <w:tc>
          <w:tcPr/>
          <w:p w:rsidR="00000000" w:rsidDel="00000000" w:rsidP="00000000" w:rsidRDefault="00000000" w:rsidRPr="00000000" w14:paraId="000003AD">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Altman Z-Score</w:t>
            </w:r>
            <w:r w:rsidDel="00000000" w:rsidR="00000000" w:rsidRPr="00000000">
              <w:rPr>
                <w:rtl w:val="0"/>
              </w:rPr>
            </w:r>
          </w:p>
        </w:tc>
        <w:tc>
          <w:tcPr/>
          <w:p w:rsidR="00000000" w:rsidDel="00000000" w:rsidP="00000000" w:rsidRDefault="00000000" w:rsidRPr="00000000" w14:paraId="000003A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(1.2 × X</w:t>
            </w:r>
            <w:r w:rsidDel="00000000" w:rsidR="00000000" w:rsidRPr="00000000">
              <w:rPr>
                <w:rFonts w:ascii="Cambria Math" w:cs="Cambria Math" w:eastAsia="Cambria Math" w:hAnsi="Cambria Math"/>
                <w:rtl w:val="0"/>
              </w:rPr>
              <w:t xml:space="preserve">₁</w:t>
            </w:r>
            <w:r w:rsidDel="00000000" w:rsidR="00000000" w:rsidRPr="00000000">
              <w:rPr>
                <w:rFonts w:ascii="Arial" w:cs="Arial" w:eastAsia="Arial" w:hAnsi="Arial"/>
                <w:rtl w:val="0"/>
              </w:rPr>
              <w:t xml:space="preserve">) + (1.4 × X</w:t>
            </w:r>
            <w:r w:rsidDel="00000000" w:rsidR="00000000" w:rsidRPr="00000000">
              <w:rPr>
                <w:rFonts w:ascii="Cambria Math" w:cs="Cambria Math" w:eastAsia="Cambria Math" w:hAnsi="Cambria Math"/>
                <w:rtl w:val="0"/>
              </w:rPr>
              <w:t xml:space="preserve">₂</w:t>
            </w:r>
            <w:r w:rsidDel="00000000" w:rsidR="00000000" w:rsidRPr="00000000">
              <w:rPr>
                <w:rFonts w:ascii="Arial" w:cs="Arial" w:eastAsia="Arial" w:hAnsi="Arial"/>
                <w:rtl w:val="0"/>
              </w:rPr>
              <w:t xml:space="preserve">) + (3.3 × X</w:t>
            </w:r>
            <w:r w:rsidDel="00000000" w:rsidR="00000000" w:rsidRPr="00000000">
              <w:rPr>
                <w:rFonts w:ascii="Cambria Math" w:cs="Cambria Math" w:eastAsia="Cambria Math" w:hAnsi="Cambria Math"/>
                <w:rtl w:val="0"/>
              </w:rPr>
              <w:t xml:space="preserve">₃</w:t>
            </w:r>
            <w:r w:rsidDel="00000000" w:rsidR="00000000" w:rsidRPr="00000000">
              <w:rPr>
                <w:rFonts w:ascii="Arial" w:cs="Arial" w:eastAsia="Arial" w:hAnsi="Arial"/>
                <w:rtl w:val="0"/>
              </w:rPr>
              <w:t xml:space="preserve">) + (0.6 × X</w:t>
            </w:r>
            <w:r w:rsidDel="00000000" w:rsidR="00000000" w:rsidRPr="00000000">
              <w:rPr>
                <w:rFonts w:ascii="Cambria Math" w:cs="Cambria Math" w:eastAsia="Cambria Math" w:hAnsi="Cambria Math"/>
                <w:rtl w:val="0"/>
              </w:rPr>
              <w:t xml:space="preserve">₄</w:t>
            </w:r>
            <w:r w:rsidDel="00000000" w:rsidR="00000000" w:rsidRPr="00000000">
              <w:rPr>
                <w:rFonts w:ascii="Arial" w:cs="Arial" w:eastAsia="Arial" w:hAnsi="Arial"/>
                <w:rtl w:val="0"/>
              </w:rPr>
              <w:t xml:space="preserve">) + (1.0 × X</w:t>
            </w:r>
            <w:r w:rsidDel="00000000" w:rsidR="00000000" w:rsidRPr="00000000">
              <w:rPr>
                <w:rFonts w:ascii="Cambria Math" w:cs="Cambria Math" w:eastAsia="Cambria Math" w:hAnsi="Cambria Math"/>
                <w:rtl w:val="0"/>
              </w:rPr>
              <w:t xml:space="preserve">₅</w:t>
            </w:r>
            <w:r w:rsidDel="00000000" w:rsidR="00000000" w:rsidRPr="00000000">
              <w:rPr>
                <w:rFonts w:ascii="Arial" w:cs="Arial" w:eastAsia="Arial" w:hAnsi="Arial"/>
                <w:rtl w:val="0"/>
              </w:rPr>
              <w:t xml:space="preserve">)</w:t>
            </w:r>
          </w:p>
        </w:tc>
        <w:tc>
          <w:tcPr/>
          <w:p w:rsidR="00000000" w:rsidDel="00000000" w:rsidP="00000000" w:rsidRDefault="00000000" w:rsidRPr="00000000" w14:paraId="000003A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(1.2 × 0.26) + (1.4 × 0.47) + (3.3 × -0.05) + (0.6 × 0.90) + (1.0 × 1.22)</w:t>
            </w:r>
          </w:p>
        </w:tc>
        <w:tc>
          <w:tcPr/>
          <w:p w:rsidR="00000000" w:rsidDel="00000000" w:rsidP="00000000" w:rsidRDefault="00000000" w:rsidRPr="00000000" w14:paraId="000003B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2.23</w:t>
            </w:r>
          </w:p>
        </w:tc>
      </w:tr>
    </w:tbl>
    <w:p w:rsidR="00000000" w:rsidDel="00000000" w:rsidP="00000000" w:rsidRDefault="00000000" w:rsidRPr="00000000" w14:paraId="000003B1">
      <w:pPr>
        <w:rPr/>
      </w:pPr>
      <w:r w:rsidDel="00000000" w:rsidR="00000000" w:rsidRPr="00000000">
        <w:rPr>
          <w:rtl w:val="0"/>
        </w:rPr>
      </w:r>
    </w:p>
    <w:p w:rsidR="00000000" w:rsidDel="00000000" w:rsidP="00000000" w:rsidRDefault="00000000" w:rsidRPr="00000000" w14:paraId="000003B2">
      <w:pPr>
        <w:rPr/>
      </w:pPr>
      <w:r w:rsidDel="00000000" w:rsidR="00000000" w:rsidRPr="00000000">
        <w:rPr>
          <w:rtl w:val="0"/>
        </w:rPr>
        <w:t xml:space="preserve"> </w:t>
      </w:r>
    </w:p>
    <w:p w:rsidR="00000000" w:rsidDel="00000000" w:rsidP="00000000" w:rsidRDefault="00000000" w:rsidRPr="00000000" w14:paraId="000003B3">
      <w:pPr>
        <w:rPr/>
      </w:pPr>
      <w:r w:rsidDel="00000000" w:rsidR="00000000" w:rsidRPr="00000000">
        <w:rPr>
          <w:rtl w:val="0"/>
        </w:rPr>
        <w:t xml:space="preserve"> </w:t>
      </w:r>
      <w:r w:rsidDel="00000000" w:rsidR="00000000" w:rsidRPr="00000000">
        <w:br w:type="page"/>
      </w:r>
      <w:r w:rsidDel="00000000" w:rsidR="00000000" w:rsidRPr="00000000">
        <w:rPr>
          <w:rtl w:val="0"/>
        </w:rPr>
      </w:r>
    </w:p>
    <w:p w:rsidR="00000000" w:rsidDel="00000000" w:rsidP="00000000" w:rsidRDefault="00000000" w:rsidRPr="00000000" w14:paraId="000003B4">
      <w:pPr>
        <w:pStyle w:val="Heading1"/>
        <w:rPr/>
      </w:pPr>
      <w:bookmarkStart w:colFirst="0" w:colLast="0" w:name="_heading=h.w10mmsdjxv6i" w:id="37"/>
      <w:bookmarkEnd w:id="37"/>
      <w:r w:rsidDel="00000000" w:rsidR="00000000" w:rsidRPr="00000000">
        <w:rPr>
          <w:rtl w:val="0"/>
        </w:rPr>
        <w:t xml:space="preserve">Appendix 2 Working Capital Analysis</w:t>
      </w:r>
    </w:p>
    <w:p w:rsidR="00000000" w:rsidDel="00000000" w:rsidP="00000000" w:rsidRDefault="00000000" w:rsidRPr="00000000" w14:paraId="000003B5">
      <w:pPr>
        <w:pStyle w:val="Heading2"/>
        <w:rPr/>
      </w:pPr>
      <w:bookmarkStart w:colFirst="0" w:colLast="0" w:name="_heading=h.l8e10pg1m6qm" w:id="38"/>
      <w:bookmarkEnd w:id="38"/>
      <w:r w:rsidDel="00000000" w:rsidR="00000000" w:rsidRPr="00000000">
        <w:rPr>
          <w:rtl w:val="0"/>
        </w:rPr>
        <w:t xml:space="preserve">Appendix 2.1 </w:t>
      </w:r>
      <w:r w:rsidDel="00000000" w:rsidR="00000000" w:rsidRPr="00000000">
        <w:rPr>
          <w:color w:val="000000"/>
          <w:rtl w:val="0"/>
        </w:rPr>
        <w:t xml:space="preserve">Inventory Days </w:t>
      </w:r>
      <w:r w:rsidDel="00000000" w:rsidR="00000000" w:rsidRPr="00000000">
        <w:rPr>
          <w:rtl w:val="0"/>
        </w:rPr>
        <w:t xml:space="preserve">(DIO)</w:t>
      </w:r>
    </w:p>
    <w:tbl>
      <w:tblPr>
        <w:tblStyle w:val="Table30"/>
        <w:tblW w:w="9026.0" w:type="dxa"/>
        <w:jc w:val="left"/>
        <w:tblBorders>
          <w:top w:color="95b3d7" w:space="0" w:sz="4" w:val="single"/>
          <w:left w:color="95b3d7" w:space="0" w:sz="4" w:val="single"/>
          <w:bottom w:color="95b3d7" w:space="0" w:sz="4" w:val="single"/>
          <w:right w:color="95b3d7" w:space="0" w:sz="4" w:val="single"/>
          <w:insideH w:color="95b3d7" w:space="0" w:sz="4" w:val="single"/>
          <w:insideV w:color="95b3d7" w:space="0" w:sz="4" w:val="single"/>
        </w:tblBorders>
        <w:tblLayout w:type="fixed"/>
        <w:tblLook w:val="04A0"/>
      </w:tblPr>
      <w:tblGrid>
        <w:gridCol w:w="1435"/>
        <w:gridCol w:w="1519"/>
        <w:gridCol w:w="1518"/>
        <w:gridCol w:w="1518"/>
        <w:gridCol w:w="1518"/>
        <w:gridCol w:w="1518"/>
        <w:tblGridChange w:id="0">
          <w:tblGrid>
            <w:gridCol w:w="1435"/>
            <w:gridCol w:w="1519"/>
            <w:gridCol w:w="1518"/>
            <w:gridCol w:w="1518"/>
            <w:gridCol w:w="1518"/>
            <w:gridCol w:w="1518"/>
          </w:tblGrid>
        </w:tblGridChange>
      </w:tblGrid>
      <w:tr>
        <w:trPr>
          <w:cantSplit w:val="0"/>
          <w:tblHeader w:val="0"/>
        </w:trPr>
        <w:tc>
          <w:tcPr/>
          <w:p w:rsidR="00000000" w:rsidDel="00000000" w:rsidP="00000000" w:rsidRDefault="00000000" w:rsidRPr="00000000" w14:paraId="000003B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Inventory Days</w:t>
            </w:r>
          </w:p>
        </w:tc>
        <w:tc>
          <w:tcPr/>
          <w:p w:rsidR="00000000" w:rsidDel="00000000" w:rsidP="00000000" w:rsidRDefault="00000000" w:rsidRPr="00000000" w14:paraId="000003B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2020</w:t>
            </w:r>
          </w:p>
        </w:tc>
        <w:tc>
          <w:tcPr/>
          <w:p w:rsidR="00000000" w:rsidDel="00000000" w:rsidP="00000000" w:rsidRDefault="00000000" w:rsidRPr="00000000" w14:paraId="000003B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3B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3B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3B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2024</w:t>
            </w:r>
          </w:p>
        </w:tc>
      </w:tr>
      <w:tr>
        <w:trPr>
          <w:cantSplit w:val="0"/>
          <w:tblHeader w:val="0"/>
        </w:trPr>
        <w:tc>
          <w:tcPr/>
          <w:p w:rsidR="00000000" w:rsidDel="00000000" w:rsidP="00000000" w:rsidRDefault="00000000" w:rsidRPr="00000000" w14:paraId="000003BC">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Formula</w:t>
            </w:r>
            <w:r w:rsidDel="00000000" w:rsidR="00000000" w:rsidRPr="00000000">
              <w:rPr>
                <w:rtl w:val="0"/>
              </w:rPr>
            </w:r>
          </w:p>
        </w:tc>
        <w:tc>
          <w:tcPr/>
          <w:p w:rsidR="00000000" w:rsidDel="00000000" w:rsidP="00000000" w:rsidRDefault="00000000" w:rsidRPr="00000000" w14:paraId="000003B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(Inventory / Cost of Sales) * 365</w:t>
            </w:r>
          </w:p>
        </w:tc>
        <w:tc>
          <w:tcPr/>
          <w:p w:rsidR="00000000" w:rsidDel="00000000" w:rsidP="00000000" w:rsidRDefault="00000000" w:rsidRPr="00000000" w14:paraId="000003B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(Inventory / Cost of Sales) * 365</w:t>
            </w:r>
          </w:p>
        </w:tc>
        <w:tc>
          <w:tcPr/>
          <w:p w:rsidR="00000000" w:rsidDel="00000000" w:rsidP="00000000" w:rsidRDefault="00000000" w:rsidRPr="00000000" w14:paraId="000003B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(Inventory / Cost of Sales) * 365</w:t>
            </w:r>
          </w:p>
        </w:tc>
        <w:tc>
          <w:tcPr/>
          <w:p w:rsidR="00000000" w:rsidDel="00000000" w:rsidP="00000000" w:rsidRDefault="00000000" w:rsidRPr="00000000" w14:paraId="000003C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(Inventory / Cost of Sales) * 365</w:t>
            </w:r>
          </w:p>
        </w:tc>
        <w:tc>
          <w:tcPr/>
          <w:p w:rsidR="00000000" w:rsidDel="00000000" w:rsidP="00000000" w:rsidRDefault="00000000" w:rsidRPr="00000000" w14:paraId="000003C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(Inventory / Cost of Sales) * 365</w:t>
            </w:r>
          </w:p>
        </w:tc>
      </w:tr>
      <w:tr>
        <w:trPr>
          <w:cantSplit w:val="0"/>
          <w:tblHeader w:val="0"/>
        </w:trPr>
        <w:tc>
          <w:tcPr/>
          <w:p w:rsidR="00000000" w:rsidDel="00000000" w:rsidP="00000000" w:rsidRDefault="00000000" w:rsidRPr="00000000" w14:paraId="000003C2">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Value on the Formula</w:t>
            </w:r>
            <w:r w:rsidDel="00000000" w:rsidR="00000000" w:rsidRPr="00000000">
              <w:rPr>
                <w:rtl w:val="0"/>
              </w:rPr>
            </w:r>
          </w:p>
        </w:tc>
        <w:tc>
          <w:tcPr/>
          <w:p w:rsidR="00000000" w:rsidDel="00000000" w:rsidP="00000000" w:rsidRDefault="00000000" w:rsidRPr="00000000" w14:paraId="000003C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(120,430 / 438,424) * 365</w:t>
            </w:r>
          </w:p>
        </w:tc>
        <w:tc>
          <w:tcPr/>
          <w:p w:rsidR="00000000" w:rsidDel="00000000" w:rsidP="00000000" w:rsidRDefault="00000000" w:rsidRPr="00000000" w14:paraId="000003C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(134,469 / 428,586) * 365</w:t>
            </w:r>
          </w:p>
        </w:tc>
        <w:tc>
          <w:tcPr/>
          <w:p w:rsidR="00000000" w:rsidDel="00000000" w:rsidP="00000000" w:rsidRDefault="00000000" w:rsidRPr="00000000" w14:paraId="000003C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(140,181 / 390,459) * 365</w:t>
            </w:r>
          </w:p>
        </w:tc>
        <w:tc>
          <w:tcPr/>
          <w:p w:rsidR="00000000" w:rsidDel="00000000" w:rsidP="00000000" w:rsidRDefault="00000000" w:rsidRPr="00000000" w14:paraId="000003C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(88,273 / 322,897) * 365</w:t>
            </w:r>
          </w:p>
        </w:tc>
        <w:tc>
          <w:tcPr/>
          <w:p w:rsidR="00000000" w:rsidDel="00000000" w:rsidP="00000000" w:rsidRDefault="00000000" w:rsidRPr="00000000" w14:paraId="000003C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(79,355 / 280,885) * 365</w:t>
            </w:r>
          </w:p>
        </w:tc>
      </w:tr>
      <w:tr>
        <w:trPr>
          <w:cantSplit w:val="0"/>
          <w:tblHeader w:val="0"/>
        </w:trPr>
        <w:tc>
          <w:tcPr/>
          <w:p w:rsidR="00000000" w:rsidDel="00000000" w:rsidP="00000000" w:rsidRDefault="00000000" w:rsidRPr="00000000" w14:paraId="000003C8">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Result (Days)</w:t>
            </w:r>
            <w:r w:rsidDel="00000000" w:rsidR="00000000" w:rsidRPr="00000000">
              <w:rPr>
                <w:rtl w:val="0"/>
              </w:rPr>
            </w:r>
          </w:p>
        </w:tc>
        <w:tc>
          <w:tcPr/>
          <w:p w:rsidR="00000000" w:rsidDel="00000000" w:rsidP="00000000" w:rsidRDefault="00000000" w:rsidRPr="00000000" w14:paraId="000003C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100.05</w:t>
            </w:r>
          </w:p>
        </w:tc>
        <w:tc>
          <w:tcPr/>
          <w:p w:rsidR="00000000" w:rsidDel="00000000" w:rsidP="00000000" w:rsidRDefault="00000000" w:rsidRPr="00000000" w14:paraId="000003C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114.53</w:t>
            </w:r>
          </w:p>
        </w:tc>
        <w:tc>
          <w:tcPr/>
          <w:p w:rsidR="00000000" w:rsidDel="00000000" w:rsidP="00000000" w:rsidRDefault="00000000" w:rsidRPr="00000000" w14:paraId="000003C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130.51</w:t>
            </w:r>
          </w:p>
        </w:tc>
        <w:tc>
          <w:tcPr/>
          <w:p w:rsidR="00000000" w:rsidDel="00000000" w:rsidP="00000000" w:rsidRDefault="00000000" w:rsidRPr="00000000" w14:paraId="000003C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99.67</w:t>
            </w:r>
          </w:p>
        </w:tc>
        <w:tc>
          <w:tcPr/>
          <w:p w:rsidR="00000000" w:rsidDel="00000000" w:rsidP="00000000" w:rsidRDefault="00000000" w:rsidRPr="00000000" w14:paraId="000003C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103.12</w:t>
            </w:r>
          </w:p>
        </w:tc>
      </w:tr>
    </w:tbl>
    <w:p w:rsidR="00000000" w:rsidDel="00000000" w:rsidP="00000000" w:rsidRDefault="00000000" w:rsidRPr="00000000" w14:paraId="000003CE">
      <w:pPr>
        <w:rPr/>
      </w:pPr>
      <w:r w:rsidDel="00000000" w:rsidR="00000000" w:rsidRPr="00000000">
        <w:rPr>
          <w:rtl w:val="0"/>
        </w:rPr>
      </w:r>
    </w:p>
    <w:tbl>
      <w:tblPr>
        <w:tblStyle w:val="Table31"/>
        <w:tblW w:w="9026.0" w:type="dxa"/>
        <w:jc w:val="left"/>
        <w:tblBorders>
          <w:top w:color="95b3d7" w:space="0" w:sz="4" w:val="single"/>
          <w:left w:color="95b3d7" w:space="0" w:sz="4" w:val="single"/>
          <w:bottom w:color="95b3d7" w:space="0" w:sz="4" w:val="single"/>
          <w:right w:color="95b3d7" w:space="0" w:sz="4" w:val="single"/>
          <w:insideH w:color="95b3d7" w:space="0" w:sz="4" w:val="single"/>
          <w:insideV w:color="95b3d7" w:space="0" w:sz="4" w:val="single"/>
        </w:tblBorders>
        <w:tblLayout w:type="fixed"/>
        <w:tblLook w:val="04A0"/>
      </w:tblPr>
      <w:tblGrid>
        <w:gridCol w:w="1542"/>
        <w:gridCol w:w="1496"/>
        <w:gridCol w:w="1497"/>
        <w:gridCol w:w="1497"/>
        <w:gridCol w:w="1497"/>
        <w:gridCol w:w="1497"/>
        <w:tblGridChange w:id="0">
          <w:tblGrid>
            <w:gridCol w:w="1542"/>
            <w:gridCol w:w="1496"/>
            <w:gridCol w:w="1497"/>
            <w:gridCol w:w="1497"/>
            <w:gridCol w:w="1497"/>
            <w:gridCol w:w="1497"/>
          </w:tblGrid>
        </w:tblGridChange>
      </w:tblGrid>
      <w:tr>
        <w:trPr>
          <w:cantSplit w:val="0"/>
          <w:tblHeader w:val="0"/>
        </w:trPr>
        <w:tc>
          <w:tcPr/>
          <w:p w:rsidR="00000000" w:rsidDel="00000000" w:rsidP="00000000" w:rsidRDefault="00000000" w:rsidRPr="00000000" w14:paraId="000003CF">
            <w:pPr>
              <w:spacing w:after="160" w:line="360" w:lineRule="auto"/>
              <w:jc w:val="both"/>
              <w:rPr>
                <w:rFonts w:ascii="Arial" w:cs="Arial" w:eastAsia="Arial" w:hAnsi="Arial"/>
              </w:rPr>
            </w:pPr>
            <w:bookmarkStart w:colFirst="0" w:colLast="0" w:name="_heading=h.u0vlyfncb149" w:id="39"/>
            <w:bookmarkEnd w:id="39"/>
            <w:r w:rsidDel="00000000" w:rsidR="00000000" w:rsidRPr="00000000">
              <w:rPr>
                <w:rFonts w:ascii="Arial" w:cs="Arial" w:eastAsia="Arial" w:hAnsi="Arial"/>
                <w:rtl w:val="0"/>
              </w:rPr>
              <w:t xml:space="preserve">Account Receivable Days (DSO)</w:t>
            </w:r>
          </w:p>
        </w:tc>
        <w:tc>
          <w:tcPr/>
          <w:p w:rsidR="00000000" w:rsidDel="00000000" w:rsidP="00000000" w:rsidRDefault="00000000" w:rsidRPr="00000000" w14:paraId="000003D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2020</w:t>
            </w:r>
          </w:p>
        </w:tc>
        <w:tc>
          <w:tcPr/>
          <w:p w:rsidR="00000000" w:rsidDel="00000000" w:rsidP="00000000" w:rsidRDefault="00000000" w:rsidRPr="00000000" w14:paraId="000003D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3D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3D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3D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2024</w:t>
            </w:r>
          </w:p>
        </w:tc>
      </w:tr>
      <w:tr>
        <w:trPr>
          <w:cantSplit w:val="0"/>
          <w:tblHeader w:val="0"/>
        </w:trPr>
        <w:tc>
          <w:tcPr/>
          <w:p w:rsidR="00000000" w:rsidDel="00000000" w:rsidP="00000000" w:rsidRDefault="00000000" w:rsidRPr="00000000" w14:paraId="000003D5">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Formula</w:t>
            </w:r>
            <w:r w:rsidDel="00000000" w:rsidR="00000000" w:rsidRPr="00000000">
              <w:rPr>
                <w:rtl w:val="0"/>
              </w:rPr>
            </w:r>
          </w:p>
        </w:tc>
        <w:tc>
          <w:tcPr/>
          <w:p w:rsidR="00000000" w:rsidDel="00000000" w:rsidP="00000000" w:rsidRDefault="00000000" w:rsidRPr="00000000" w14:paraId="000003D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(Accounts Receivable / Net Sales) * 365</w:t>
            </w:r>
          </w:p>
        </w:tc>
        <w:tc>
          <w:tcPr/>
          <w:p w:rsidR="00000000" w:rsidDel="00000000" w:rsidP="00000000" w:rsidRDefault="00000000" w:rsidRPr="00000000" w14:paraId="000003D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(Accounts Receivable / Net Sales) * 365</w:t>
            </w:r>
          </w:p>
        </w:tc>
        <w:tc>
          <w:tcPr/>
          <w:p w:rsidR="00000000" w:rsidDel="00000000" w:rsidP="00000000" w:rsidRDefault="00000000" w:rsidRPr="00000000" w14:paraId="000003D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(Accounts Receivable / Net Sales) * 365</w:t>
            </w:r>
          </w:p>
        </w:tc>
        <w:tc>
          <w:tcPr/>
          <w:p w:rsidR="00000000" w:rsidDel="00000000" w:rsidP="00000000" w:rsidRDefault="00000000" w:rsidRPr="00000000" w14:paraId="000003D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(Accounts Receivable / Net Sales) * 365</w:t>
            </w:r>
          </w:p>
        </w:tc>
        <w:tc>
          <w:tcPr/>
          <w:p w:rsidR="00000000" w:rsidDel="00000000" w:rsidP="00000000" w:rsidRDefault="00000000" w:rsidRPr="00000000" w14:paraId="000003D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(Accounts Receivable / Net Sales) * 365</w:t>
            </w:r>
          </w:p>
        </w:tc>
      </w:tr>
      <w:tr>
        <w:trPr>
          <w:cantSplit w:val="0"/>
          <w:tblHeader w:val="0"/>
        </w:trPr>
        <w:tc>
          <w:tcPr/>
          <w:p w:rsidR="00000000" w:rsidDel="00000000" w:rsidP="00000000" w:rsidRDefault="00000000" w:rsidRPr="00000000" w14:paraId="000003DB">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Value on the Formula</w:t>
            </w:r>
            <w:r w:rsidDel="00000000" w:rsidR="00000000" w:rsidRPr="00000000">
              <w:rPr>
                <w:rtl w:val="0"/>
              </w:rPr>
            </w:r>
          </w:p>
        </w:tc>
        <w:tc>
          <w:tcPr/>
          <w:p w:rsidR="00000000" w:rsidDel="00000000" w:rsidP="00000000" w:rsidRDefault="00000000" w:rsidRPr="00000000" w14:paraId="000003D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(129,433 / 614,680) * 365</w:t>
            </w:r>
          </w:p>
        </w:tc>
        <w:tc>
          <w:tcPr/>
          <w:p w:rsidR="00000000" w:rsidDel="00000000" w:rsidP="00000000" w:rsidRDefault="00000000" w:rsidRPr="00000000" w14:paraId="000003D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(129,215 / 601,602) * 365</w:t>
            </w:r>
          </w:p>
        </w:tc>
        <w:tc>
          <w:tcPr/>
          <w:p w:rsidR="00000000" w:rsidDel="00000000" w:rsidP="00000000" w:rsidRDefault="00000000" w:rsidRPr="00000000" w14:paraId="000003D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(112,346 / 542,751) * 365</w:t>
            </w:r>
          </w:p>
        </w:tc>
        <w:tc>
          <w:tcPr/>
          <w:p w:rsidR="00000000" w:rsidDel="00000000" w:rsidP="00000000" w:rsidRDefault="00000000" w:rsidRPr="00000000" w14:paraId="000003D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(112,596 / 420,457) * 365</w:t>
            </w:r>
          </w:p>
        </w:tc>
        <w:tc>
          <w:tcPr/>
          <w:p w:rsidR="00000000" w:rsidDel="00000000" w:rsidP="00000000" w:rsidRDefault="00000000" w:rsidRPr="00000000" w14:paraId="000003E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(114,182 / 394,879) * 365</w:t>
            </w:r>
          </w:p>
        </w:tc>
      </w:tr>
      <w:tr>
        <w:trPr>
          <w:cantSplit w:val="0"/>
          <w:tblHeader w:val="0"/>
        </w:trPr>
        <w:tc>
          <w:tcPr/>
          <w:p w:rsidR="00000000" w:rsidDel="00000000" w:rsidP="00000000" w:rsidRDefault="00000000" w:rsidRPr="00000000" w14:paraId="000003E1">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Result (Days)</w:t>
            </w:r>
            <w:r w:rsidDel="00000000" w:rsidR="00000000" w:rsidRPr="00000000">
              <w:rPr>
                <w:rtl w:val="0"/>
              </w:rPr>
            </w:r>
          </w:p>
        </w:tc>
        <w:tc>
          <w:tcPr/>
          <w:p w:rsidR="00000000" w:rsidDel="00000000" w:rsidP="00000000" w:rsidRDefault="00000000" w:rsidRPr="00000000" w14:paraId="000003E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76.65</w:t>
            </w:r>
          </w:p>
        </w:tc>
        <w:tc>
          <w:tcPr/>
          <w:p w:rsidR="00000000" w:rsidDel="00000000" w:rsidP="00000000" w:rsidRDefault="00000000" w:rsidRPr="00000000" w14:paraId="000003E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78.50</w:t>
            </w:r>
          </w:p>
        </w:tc>
        <w:tc>
          <w:tcPr/>
          <w:p w:rsidR="00000000" w:rsidDel="00000000" w:rsidP="00000000" w:rsidRDefault="00000000" w:rsidRPr="00000000" w14:paraId="000003E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75.43</w:t>
            </w:r>
          </w:p>
        </w:tc>
        <w:tc>
          <w:tcPr/>
          <w:p w:rsidR="00000000" w:rsidDel="00000000" w:rsidP="00000000" w:rsidRDefault="00000000" w:rsidRPr="00000000" w14:paraId="000003E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97.49</w:t>
            </w:r>
          </w:p>
        </w:tc>
        <w:tc>
          <w:tcPr/>
          <w:p w:rsidR="00000000" w:rsidDel="00000000" w:rsidP="00000000" w:rsidRDefault="00000000" w:rsidRPr="00000000" w14:paraId="000003E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105.54</w:t>
            </w:r>
          </w:p>
        </w:tc>
      </w:tr>
    </w:tbl>
    <w:p w:rsidR="00000000" w:rsidDel="00000000" w:rsidP="00000000" w:rsidRDefault="00000000" w:rsidRPr="00000000" w14:paraId="000003E7">
      <w:pPr>
        <w:rPr/>
      </w:pPr>
      <w:r w:rsidDel="00000000" w:rsidR="00000000" w:rsidRPr="00000000">
        <w:rPr>
          <w:rtl w:val="0"/>
        </w:rPr>
      </w:r>
    </w:p>
    <w:tbl>
      <w:tblPr>
        <w:tblStyle w:val="Table32"/>
        <w:tblW w:w="9026.0" w:type="dxa"/>
        <w:jc w:val="left"/>
        <w:tblBorders>
          <w:top w:color="95b3d7" w:space="0" w:sz="4" w:val="single"/>
          <w:left w:color="95b3d7" w:space="0" w:sz="4" w:val="single"/>
          <w:bottom w:color="95b3d7" w:space="0" w:sz="4" w:val="single"/>
          <w:right w:color="95b3d7" w:space="0" w:sz="4" w:val="single"/>
          <w:insideH w:color="95b3d7" w:space="0" w:sz="4" w:val="single"/>
          <w:insideV w:color="95b3d7" w:space="0" w:sz="4" w:val="single"/>
        </w:tblBorders>
        <w:tblLayout w:type="fixed"/>
        <w:tblLook w:val="04A0"/>
      </w:tblPr>
      <w:tblGrid>
        <w:gridCol w:w="1417"/>
        <w:gridCol w:w="1521"/>
        <w:gridCol w:w="1522"/>
        <w:gridCol w:w="1522"/>
        <w:gridCol w:w="1522"/>
        <w:gridCol w:w="1522"/>
        <w:tblGridChange w:id="0">
          <w:tblGrid>
            <w:gridCol w:w="1417"/>
            <w:gridCol w:w="1521"/>
            <w:gridCol w:w="1522"/>
            <w:gridCol w:w="1522"/>
            <w:gridCol w:w="1522"/>
            <w:gridCol w:w="1522"/>
          </w:tblGrid>
        </w:tblGridChange>
      </w:tblGrid>
      <w:tr>
        <w:trPr>
          <w:cantSplit w:val="0"/>
          <w:tblHeader w:val="0"/>
        </w:trPr>
        <w:tc>
          <w:tcPr/>
          <w:p w:rsidR="00000000" w:rsidDel="00000000" w:rsidP="00000000" w:rsidRDefault="00000000" w:rsidRPr="00000000" w14:paraId="000003E8">
            <w:pPr>
              <w:spacing w:after="160" w:line="360" w:lineRule="auto"/>
              <w:jc w:val="left"/>
              <w:rPr>
                <w:rFonts w:ascii="Arial" w:cs="Arial" w:eastAsia="Arial" w:hAnsi="Arial"/>
              </w:rPr>
            </w:pPr>
            <w:r w:rsidDel="00000000" w:rsidR="00000000" w:rsidRPr="00000000">
              <w:rPr>
                <w:rFonts w:ascii="Arial" w:cs="Arial" w:eastAsia="Arial" w:hAnsi="Arial"/>
                <w:rtl w:val="0"/>
              </w:rPr>
              <w:t xml:space="preserve">Accounts Payable Day</w:t>
            </w:r>
          </w:p>
        </w:tc>
        <w:tc>
          <w:tcPr/>
          <w:p w:rsidR="00000000" w:rsidDel="00000000" w:rsidP="00000000" w:rsidRDefault="00000000" w:rsidRPr="00000000" w14:paraId="000003E9">
            <w:pPr>
              <w:spacing w:after="160" w:line="360" w:lineRule="auto"/>
              <w:rPr>
                <w:rFonts w:ascii="Arial" w:cs="Arial" w:eastAsia="Arial" w:hAnsi="Arial"/>
              </w:rPr>
            </w:pPr>
            <w:r w:rsidDel="00000000" w:rsidR="00000000" w:rsidRPr="00000000">
              <w:rPr>
                <w:rFonts w:ascii="Arial" w:cs="Arial" w:eastAsia="Arial" w:hAnsi="Arial"/>
                <w:rtl w:val="0"/>
              </w:rPr>
              <w:t xml:space="preserve">2020</w:t>
            </w:r>
          </w:p>
        </w:tc>
        <w:tc>
          <w:tcPr/>
          <w:p w:rsidR="00000000" w:rsidDel="00000000" w:rsidP="00000000" w:rsidRDefault="00000000" w:rsidRPr="00000000" w14:paraId="000003EA">
            <w:pPr>
              <w:spacing w:after="160" w:line="360" w:lineRule="auto"/>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3EB">
            <w:pPr>
              <w:spacing w:after="160" w:line="360" w:lineRule="auto"/>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3EC">
            <w:pPr>
              <w:spacing w:after="160" w:line="360" w:lineRule="auto"/>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3ED">
            <w:pPr>
              <w:spacing w:after="160" w:line="360" w:lineRule="auto"/>
              <w:rPr>
                <w:rFonts w:ascii="Arial" w:cs="Arial" w:eastAsia="Arial" w:hAnsi="Arial"/>
              </w:rPr>
            </w:pPr>
            <w:r w:rsidDel="00000000" w:rsidR="00000000" w:rsidRPr="00000000">
              <w:rPr>
                <w:rFonts w:ascii="Arial" w:cs="Arial" w:eastAsia="Arial" w:hAnsi="Arial"/>
                <w:rtl w:val="0"/>
              </w:rPr>
              <w:t xml:space="preserve">2024</w:t>
            </w:r>
          </w:p>
        </w:tc>
      </w:tr>
      <w:tr>
        <w:trPr>
          <w:cantSplit w:val="0"/>
          <w:tblHeader w:val="0"/>
        </w:trPr>
        <w:tc>
          <w:tcPr/>
          <w:p w:rsidR="00000000" w:rsidDel="00000000" w:rsidP="00000000" w:rsidRDefault="00000000" w:rsidRPr="00000000" w14:paraId="000003EE">
            <w:pPr>
              <w:spacing w:after="160" w:line="360" w:lineRule="auto"/>
              <w:jc w:val="left"/>
              <w:rPr>
                <w:rFonts w:ascii="Arial" w:cs="Arial" w:eastAsia="Arial" w:hAnsi="Arial"/>
              </w:rPr>
            </w:pPr>
            <w:r w:rsidDel="00000000" w:rsidR="00000000" w:rsidRPr="00000000">
              <w:rPr>
                <w:rFonts w:ascii="Arial" w:cs="Arial" w:eastAsia="Arial" w:hAnsi="Arial"/>
                <w:b w:val="1"/>
                <w:bCs w:val="1"/>
                <w:rtl w:val="0"/>
              </w:rPr>
              <w:t xml:space="preserve">Formula</w:t>
            </w:r>
            <w:r w:rsidDel="00000000" w:rsidR="00000000" w:rsidRPr="00000000">
              <w:rPr>
                <w:rtl w:val="0"/>
              </w:rPr>
            </w:r>
          </w:p>
        </w:tc>
        <w:tc>
          <w:tcPr/>
          <w:p w:rsidR="00000000" w:rsidDel="00000000" w:rsidP="00000000" w:rsidRDefault="00000000" w:rsidRPr="00000000" w14:paraId="000003EF">
            <w:pPr>
              <w:spacing w:after="160" w:line="360" w:lineRule="auto"/>
              <w:rPr>
                <w:rFonts w:ascii="Arial" w:cs="Arial" w:eastAsia="Arial" w:hAnsi="Arial"/>
              </w:rPr>
            </w:pPr>
            <w:r w:rsidDel="00000000" w:rsidR="00000000" w:rsidRPr="00000000">
              <w:rPr>
                <w:rFonts w:ascii="Arial" w:cs="Arial" w:eastAsia="Arial" w:hAnsi="Arial"/>
                <w:rtl w:val="0"/>
              </w:rPr>
              <w:t xml:space="preserve">(Accounts Payable / Cost of Sales) * 365</w:t>
            </w:r>
          </w:p>
        </w:tc>
        <w:tc>
          <w:tcPr/>
          <w:p w:rsidR="00000000" w:rsidDel="00000000" w:rsidP="00000000" w:rsidRDefault="00000000" w:rsidRPr="00000000" w14:paraId="000003F0">
            <w:pPr>
              <w:spacing w:after="160" w:line="360" w:lineRule="auto"/>
              <w:rPr>
                <w:rFonts w:ascii="Arial" w:cs="Arial" w:eastAsia="Arial" w:hAnsi="Arial"/>
              </w:rPr>
            </w:pPr>
            <w:r w:rsidDel="00000000" w:rsidR="00000000" w:rsidRPr="00000000">
              <w:rPr>
                <w:rFonts w:ascii="Arial" w:cs="Arial" w:eastAsia="Arial" w:hAnsi="Arial"/>
                <w:rtl w:val="0"/>
              </w:rPr>
              <w:t xml:space="preserve">(Accounts Payable / Cost of Sales) * 365</w:t>
            </w:r>
          </w:p>
        </w:tc>
        <w:tc>
          <w:tcPr/>
          <w:p w:rsidR="00000000" w:rsidDel="00000000" w:rsidP="00000000" w:rsidRDefault="00000000" w:rsidRPr="00000000" w14:paraId="000003F1">
            <w:pPr>
              <w:spacing w:after="160" w:line="360" w:lineRule="auto"/>
              <w:rPr>
                <w:rFonts w:ascii="Arial" w:cs="Arial" w:eastAsia="Arial" w:hAnsi="Arial"/>
              </w:rPr>
            </w:pPr>
            <w:r w:rsidDel="00000000" w:rsidR="00000000" w:rsidRPr="00000000">
              <w:rPr>
                <w:rFonts w:ascii="Arial" w:cs="Arial" w:eastAsia="Arial" w:hAnsi="Arial"/>
                <w:rtl w:val="0"/>
              </w:rPr>
              <w:t xml:space="preserve">(Accounts Payable / Cost of Sales) * 365</w:t>
            </w:r>
          </w:p>
        </w:tc>
        <w:tc>
          <w:tcPr/>
          <w:p w:rsidR="00000000" w:rsidDel="00000000" w:rsidP="00000000" w:rsidRDefault="00000000" w:rsidRPr="00000000" w14:paraId="000003F2">
            <w:pPr>
              <w:spacing w:after="160" w:line="360" w:lineRule="auto"/>
              <w:rPr>
                <w:rFonts w:ascii="Arial" w:cs="Arial" w:eastAsia="Arial" w:hAnsi="Arial"/>
              </w:rPr>
            </w:pPr>
            <w:r w:rsidDel="00000000" w:rsidR="00000000" w:rsidRPr="00000000">
              <w:rPr>
                <w:rFonts w:ascii="Arial" w:cs="Arial" w:eastAsia="Arial" w:hAnsi="Arial"/>
                <w:rtl w:val="0"/>
              </w:rPr>
              <w:t xml:space="preserve">(Accounts Payable / Cost of Sales) * 365</w:t>
            </w:r>
          </w:p>
        </w:tc>
        <w:tc>
          <w:tcPr/>
          <w:p w:rsidR="00000000" w:rsidDel="00000000" w:rsidP="00000000" w:rsidRDefault="00000000" w:rsidRPr="00000000" w14:paraId="000003F3">
            <w:pPr>
              <w:spacing w:after="160" w:line="360" w:lineRule="auto"/>
              <w:rPr>
                <w:rFonts w:ascii="Arial" w:cs="Arial" w:eastAsia="Arial" w:hAnsi="Arial"/>
              </w:rPr>
            </w:pPr>
            <w:r w:rsidDel="00000000" w:rsidR="00000000" w:rsidRPr="00000000">
              <w:rPr>
                <w:rFonts w:ascii="Arial" w:cs="Arial" w:eastAsia="Arial" w:hAnsi="Arial"/>
                <w:rtl w:val="0"/>
              </w:rPr>
              <w:t xml:space="preserve">(Accounts Payable / Cost of Sales) * 365</w:t>
            </w:r>
          </w:p>
        </w:tc>
      </w:tr>
      <w:tr>
        <w:trPr>
          <w:cantSplit w:val="0"/>
          <w:tblHeader w:val="0"/>
        </w:trPr>
        <w:tc>
          <w:tcPr/>
          <w:p w:rsidR="00000000" w:rsidDel="00000000" w:rsidP="00000000" w:rsidRDefault="00000000" w:rsidRPr="00000000" w14:paraId="000003F4">
            <w:pPr>
              <w:spacing w:after="160" w:line="360" w:lineRule="auto"/>
              <w:jc w:val="left"/>
              <w:rPr>
                <w:rFonts w:ascii="Arial" w:cs="Arial" w:eastAsia="Arial" w:hAnsi="Arial"/>
              </w:rPr>
            </w:pPr>
            <w:r w:rsidDel="00000000" w:rsidR="00000000" w:rsidRPr="00000000">
              <w:rPr>
                <w:rFonts w:ascii="Arial" w:cs="Arial" w:eastAsia="Arial" w:hAnsi="Arial"/>
                <w:b w:val="1"/>
                <w:bCs w:val="1"/>
                <w:rtl w:val="0"/>
              </w:rPr>
              <w:t xml:space="preserve">Value on the Formula</w:t>
            </w:r>
            <w:r w:rsidDel="00000000" w:rsidR="00000000" w:rsidRPr="00000000">
              <w:rPr>
                <w:rtl w:val="0"/>
              </w:rPr>
            </w:r>
          </w:p>
        </w:tc>
        <w:tc>
          <w:tcPr/>
          <w:p w:rsidR="00000000" w:rsidDel="00000000" w:rsidP="00000000" w:rsidRDefault="00000000" w:rsidRPr="00000000" w14:paraId="000003F5">
            <w:pPr>
              <w:spacing w:after="160" w:line="360" w:lineRule="auto"/>
              <w:rPr>
                <w:rFonts w:ascii="Arial" w:cs="Arial" w:eastAsia="Arial" w:hAnsi="Arial"/>
              </w:rPr>
            </w:pPr>
            <w:r w:rsidDel="00000000" w:rsidR="00000000" w:rsidRPr="00000000">
              <w:rPr>
                <w:rFonts w:ascii="Arial" w:cs="Arial" w:eastAsia="Arial" w:hAnsi="Arial"/>
                <w:rtl w:val="0"/>
              </w:rPr>
              <w:t xml:space="preserve">(83,229 / 438,424) * 365</w:t>
            </w:r>
          </w:p>
        </w:tc>
        <w:tc>
          <w:tcPr/>
          <w:p w:rsidR="00000000" w:rsidDel="00000000" w:rsidP="00000000" w:rsidRDefault="00000000" w:rsidRPr="00000000" w14:paraId="000003F6">
            <w:pPr>
              <w:spacing w:after="160" w:line="360" w:lineRule="auto"/>
              <w:rPr>
                <w:rFonts w:ascii="Arial" w:cs="Arial" w:eastAsia="Arial" w:hAnsi="Arial"/>
              </w:rPr>
            </w:pPr>
            <w:r w:rsidDel="00000000" w:rsidR="00000000" w:rsidRPr="00000000">
              <w:rPr>
                <w:rFonts w:ascii="Arial" w:cs="Arial" w:eastAsia="Arial" w:hAnsi="Arial"/>
                <w:rtl w:val="0"/>
              </w:rPr>
              <w:t xml:space="preserve">(92,707 / 428,586) * 365</w:t>
            </w:r>
          </w:p>
        </w:tc>
        <w:tc>
          <w:tcPr/>
          <w:p w:rsidR="00000000" w:rsidDel="00000000" w:rsidP="00000000" w:rsidRDefault="00000000" w:rsidRPr="00000000" w14:paraId="000003F7">
            <w:pPr>
              <w:spacing w:after="160" w:line="360" w:lineRule="auto"/>
              <w:rPr>
                <w:rFonts w:ascii="Arial" w:cs="Arial" w:eastAsia="Arial" w:hAnsi="Arial"/>
              </w:rPr>
            </w:pPr>
            <w:r w:rsidDel="00000000" w:rsidR="00000000" w:rsidRPr="00000000">
              <w:rPr>
                <w:rFonts w:ascii="Arial" w:cs="Arial" w:eastAsia="Arial" w:hAnsi="Arial"/>
                <w:rtl w:val="0"/>
              </w:rPr>
              <w:t xml:space="preserve">(71,373 / 390,459) * 365</w:t>
            </w:r>
          </w:p>
        </w:tc>
        <w:tc>
          <w:tcPr/>
          <w:p w:rsidR="00000000" w:rsidDel="00000000" w:rsidP="00000000" w:rsidRDefault="00000000" w:rsidRPr="00000000" w14:paraId="000003F8">
            <w:pPr>
              <w:spacing w:after="160" w:line="360" w:lineRule="auto"/>
              <w:rPr>
                <w:rFonts w:ascii="Arial" w:cs="Arial" w:eastAsia="Arial" w:hAnsi="Arial"/>
              </w:rPr>
            </w:pPr>
            <w:r w:rsidDel="00000000" w:rsidR="00000000" w:rsidRPr="00000000">
              <w:rPr>
                <w:rFonts w:ascii="Arial" w:cs="Arial" w:eastAsia="Arial" w:hAnsi="Arial"/>
                <w:rtl w:val="0"/>
              </w:rPr>
              <w:t xml:space="preserve">(57,033 / 322,897) * 365</w:t>
            </w:r>
          </w:p>
        </w:tc>
        <w:tc>
          <w:tcPr/>
          <w:p w:rsidR="00000000" w:rsidDel="00000000" w:rsidP="00000000" w:rsidRDefault="00000000" w:rsidRPr="00000000" w14:paraId="000003F9">
            <w:pPr>
              <w:spacing w:after="160" w:line="360" w:lineRule="auto"/>
              <w:rPr>
                <w:rFonts w:ascii="Arial" w:cs="Arial" w:eastAsia="Arial" w:hAnsi="Arial"/>
              </w:rPr>
            </w:pPr>
            <w:r w:rsidDel="00000000" w:rsidR="00000000" w:rsidRPr="00000000">
              <w:rPr>
                <w:rFonts w:ascii="Arial" w:cs="Arial" w:eastAsia="Arial" w:hAnsi="Arial"/>
                <w:rtl w:val="0"/>
              </w:rPr>
              <w:t xml:space="preserve">(72,031 / 280,885) * 365</w:t>
            </w:r>
          </w:p>
        </w:tc>
      </w:tr>
      <w:tr>
        <w:trPr>
          <w:cantSplit w:val="0"/>
          <w:tblHeader w:val="0"/>
        </w:trPr>
        <w:tc>
          <w:tcPr/>
          <w:p w:rsidR="00000000" w:rsidDel="00000000" w:rsidP="00000000" w:rsidRDefault="00000000" w:rsidRPr="00000000" w14:paraId="000003FA">
            <w:pPr>
              <w:spacing w:after="160" w:line="360" w:lineRule="auto"/>
              <w:jc w:val="left"/>
              <w:rPr>
                <w:rFonts w:ascii="Arial" w:cs="Arial" w:eastAsia="Arial" w:hAnsi="Arial"/>
              </w:rPr>
            </w:pPr>
            <w:r w:rsidDel="00000000" w:rsidR="00000000" w:rsidRPr="00000000">
              <w:rPr>
                <w:rFonts w:ascii="Arial" w:cs="Arial" w:eastAsia="Arial" w:hAnsi="Arial"/>
                <w:b w:val="1"/>
                <w:bCs w:val="1"/>
                <w:rtl w:val="0"/>
              </w:rPr>
              <w:t xml:space="preserve">Result (Days)</w:t>
            </w:r>
            <w:r w:rsidDel="00000000" w:rsidR="00000000" w:rsidRPr="00000000">
              <w:rPr>
                <w:rtl w:val="0"/>
              </w:rPr>
            </w:r>
          </w:p>
        </w:tc>
        <w:tc>
          <w:tcPr/>
          <w:p w:rsidR="00000000" w:rsidDel="00000000" w:rsidP="00000000" w:rsidRDefault="00000000" w:rsidRPr="00000000" w14:paraId="000003FB">
            <w:pPr>
              <w:spacing w:after="160" w:line="360" w:lineRule="auto"/>
              <w:rPr>
                <w:rFonts w:ascii="Arial" w:cs="Arial" w:eastAsia="Arial" w:hAnsi="Arial"/>
              </w:rPr>
            </w:pPr>
            <w:r w:rsidDel="00000000" w:rsidR="00000000" w:rsidRPr="00000000">
              <w:rPr>
                <w:rFonts w:ascii="Arial" w:cs="Arial" w:eastAsia="Arial" w:hAnsi="Arial"/>
                <w:rtl w:val="0"/>
              </w:rPr>
              <w:t xml:space="preserve">68.81</w:t>
            </w:r>
          </w:p>
        </w:tc>
        <w:tc>
          <w:tcPr/>
          <w:p w:rsidR="00000000" w:rsidDel="00000000" w:rsidP="00000000" w:rsidRDefault="00000000" w:rsidRPr="00000000" w14:paraId="000003FC">
            <w:pPr>
              <w:spacing w:after="160" w:line="360" w:lineRule="auto"/>
              <w:rPr>
                <w:rFonts w:ascii="Arial" w:cs="Arial" w:eastAsia="Arial" w:hAnsi="Arial"/>
              </w:rPr>
            </w:pPr>
            <w:r w:rsidDel="00000000" w:rsidR="00000000" w:rsidRPr="00000000">
              <w:rPr>
                <w:rFonts w:ascii="Arial" w:cs="Arial" w:eastAsia="Arial" w:hAnsi="Arial"/>
                <w:rtl w:val="0"/>
              </w:rPr>
              <w:t xml:space="preserve">78.80</w:t>
            </w:r>
          </w:p>
        </w:tc>
        <w:tc>
          <w:tcPr/>
          <w:p w:rsidR="00000000" w:rsidDel="00000000" w:rsidP="00000000" w:rsidRDefault="00000000" w:rsidRPr="00000000" w14:paraId="000003FD">
            <w:pPr>
              <w:spacing w:after="160" w:line="360" w:lineRule="auto"/>
              <w:rPr>
                <w:rFonts w:ascii="Arial" w:cs="Arial" w:eastAsia="Arial" w:hAnsi="Arial"/>
              </w:rPr>
            </w:pPr>
            <w:r w:rsidDel="00000000" w:rsidR="00000000" w:rsidRPr="00000000">
              <w:rPr>
                <w:rFonts w:ascii="Arial" w:cs="Arial" w:eastAsia="Arial" w:hAnsi="Arial"/>
                <w:rtl w:val="0"/>
              </w:rPr>
              <w:t xml:space="preserve">66.65</w:t>
            </w:r>
          </w:p>
        </w:tc>
        <w:tc>
          <w:tcPr/>
          <w:p w:rsidR="00000000" w:rsidDel="00000000" w:rsidP="00000000" w:rsidRDefault="00000000" w:rsidRPr="00000000" w14:paraId="000003FE">
            <w:pPr>
              <w:spacing w:after="160" w:line="360" w:lineRule="auto"/>
              <w:rPr>
                <w:rFonts w:ascii="Arial" w:cs="Arial" w:eastAsia="Arial" w:hAnsi="Arial"/>
              </w:rPr>
            </w:pPr>
            <w:r w:rsidDel="00000000" w:rsidR="00000000" w:rsidRPr="00000000">
              <w:rPr>
                <w:rFonts w:ascii="Arial" w:cs="Arial" w:eastAsia="Arial" w:hAnsi="Arial"/>
                <w:rtl w:val="0"/>
              </w:rPr>
              <w:t xml:space="preserve">64.44</w:t>
            </w:r>
          </w:p>
        </w:tc>
        <w:tc>
          <w:tcPr/>
          <w:p w:rsidR="00000000" w:rsidDel="00000000" w:rsidP="00000000" w:rsidRDefault="00000000" w:rsidRPr="00000000" w14:paraId="000003FF">
            <w:pPr>
              <w:spacing w:after="160" w:line="360" w:lineRule="auto"/>
              <w:rPr>
                <w:rFonts w:ascii="Arial" w:cs="Arial" w:eastAsia="Arial" w:hAnsi="Arial"/>
              </w:rPr>
            </w:pPr>
            <w:r w:rsidDel="00000000" w:rsidR="00000000" w:rsidRPr="00000000">
              <w:rPr>
                <w:rFonts w:ascii="Arial" w:cs="Arial" w:eastAsia="Arial" w:hAnsi="Arial"/>
                <w:rtl w:val="0"/>
              </w:rPr>
              <w:t xml:space="preserve">93.60</w:t>
            </w:r>
          </w:p>
        </w:tc>
      </w:tr>
    </w:tbl>
    <w:p w:rsidR="00000000" w:rsidDel="00000000" w:rsidP="00000000" w:rsidRDefault="00000000" w:rsidRPr="00000000" w14:paraId="00000400">
      <w:pPr>
        <w:jc w:val="left"/>
        <w:rPr/>
      </w:pPr>
      <w:r w:rsidDel="00000000" w:rsidR="00000000" w:rsidRPr="00000000">
        <w:rPr>
          <w:rtl w:val="0"/>
        </w:rPr>
      </w:r>
    </w:p>
    <w:tbl>
      <w:tblPr>
        <w:tblStyle w:val="Table33"/>
        <w:tblW w:w="9026.0" w:type="dxa"/>
        <w:jc w:val="left"/>
        <w:tblBorders>
          <w:top w:color="95b3d7" w:space="0" w:sz="4" w:val="single"/>
          <w:left w:color="95b3d7" w:space="0" w:sz="4" w:val="single"/>
          <w:bottom w:color="95b3d7" w:space="0" w:sz="4" w:val="single"/>
          <w:right w:color="95b3d7" w:space="0" w:sz="4" w:val="single"/>
          <w:insideH w:color="95b3d7" w:space="0" w:sz="4" w:val="single"/>
          <w:insideV w:color="95b3d7" w:space="0" w:sz="4" w:val="single"/>
        </w:tblBorders>
        <w:tblLayout w:type="fixed"/>
        <w:tblLook w:val="04A0"/>
      </w:tblPr>
      <w:tblGrid>
        <w:gridCol w:w="1936"/>
        <w:gridCol w:w="1418"/>
        <w:gridCol w:w="1418"/>
        <w:gridCol w:w="1418"/>
        <w:gridCol w:w="1381"/>
        <w:gridCol w:w="1455"/>
        <w:tblGridChange w:id="0">
          <w:tblGrid>
            <w:gridCol w:w="1936"/>
            <w:gridCol w:w="1418"/>
            <w:gridCol w:w="1418"/>
            <w:gridCol w:w="1418"/>
            <w:gridCol w:w="1381"/>
            <w:gridCol w:w="1455"/>
          </w:tblGrid>
        </w:tblGridChange>
      </w:tblGrid>
      <w:tr>
        <w:trPr>
          <w:cantSplit w:val="0"/>
          <w:tblHeader w:val="0"/>
        </w:trPr>
        <w:tc>
          <w:tcPr/>
          <w:p w:rsidR="00000000" w:rsidDel="00000000" w:rsidP="00000000" w:rsidRDefault="00000000" w:rsidRPr="00000000" w14:paraId="0000040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Cash Operating Cycle (COC)</w:t>
            </w:r>
          </w:p>
        </w:tc>
        <w:tc>
          <w:tcPr/>
          <w:p w:rsidR="00000000" w:rsidDel="00000000" w:rsidP="00000000" w:rsidRDefault="00000000" w:rsidRPr="00000000" w14:paraId="0000040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2020</w:t>
            </w:r>
          </w:p>
        </w:tc>
        <w:tc>
          <w:tcPr/>
          <w:p w:rsidR="00000000" w:rsidDel="00000000" w:rsidP="00000000" w:rsidRDefault="00000000" w:rsidRPr="00000000" w14:paraId="0000040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2021</w:t>
            </w:r>
          </w:p>
        </w:tc>
        <w:tc>
          <w:tcPr/>
          <w:p w:rsidR="00000000" w:rsidDel="00000000" w:rsidP="00000000" w:rsidRDefault="00000000" w:rsidRPr="00000000" w14:paraId="0000040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2022</w:t>
            </w:r>
          </w:p>
        </w:tc>
        <w:tc>
          <w:tcPr/>
          <w:p w:rsidR="00000000" w:rsidDel="00000000" w:rsidP="00000000" w:rsidRDefault="00000000" w:rsidRPr="00000000" w14:paraId="0000040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2023</w:t>
            </w:r>
          </w:p>
        </w:tc>
        <w:tc>
          <w:tcPr/>
          <w:p w:rsidR="00000000" w:rsidDel="00000000" w:rsidP="00000000" w:rsidRDefault="00000000" w:rsidRPr="00000000" w14:paraId="0000040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2024</w:t>
            </w:r>
          </w:p>
        </w:tc>
      </w:tr>
      <w:tr>
        <w:trPr>
          <w:cantSplit w:val="0"/>
          <w:tblHeader w:val="0"/>
        </w:trPr>
        <w:tc>
          <w:tcPr/>
          <w:p w:rsidR="00000000" w:rsidDel="00000000" w:rsidP="00000000" w:rsidRDefault="00000000" w:rsidRPr="00000000" w14:paraId="00000407">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Formula</w:t>
            </w:r>
            <w:r w:rsidDel="00000000" w:rsidR="00000000" w:rsidRPr="00000000">
              <w:rPr>
                <w:rtl w:val="0"/>
              </w:rPr>
            </w:r>
          </w:p>
        </w:tc>
        <w:tc>
          <w:tcPr/>
          <w:p w:rsidR="00000000" w:rsidDel="00000000" w:rsidP="00000000" w:rsidRDefault="00000000" w:rsidRPr="00000000" w14:paraId="0000040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DIO + DSO - DPO</w:t>
            </w:r>
          </w:p>
        </w:tc>
        <w:tc>
          <w:tcPr/>
          <w:p w:rsidR="00000000" w:rsidDel="00000000" w:rsidP="00000000" w:rsidRDefault="00000000" w:rsidRPr="00000000" w14:paraId="0000040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DIO + DSO - DPO</w:t>
            </w:r>
          </w:p>
        </w:tc>
        <w:tc>
          <w:tcPr/>
          <w:p w:rsidR="00000000" w:rsidDel="00000000" w:rsidP="00000000" w:rsidRDefault="00000000" w:rsidRPr="00000000" w14:paraId="0000040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DIO + DSO - DPO</w:t>
            </w:r>
          </w:p>
        </w:tc>
        <w:tc>
          <w:tcPr/>
          <w:p w:rsidR="00000000" w:rsidDel="00000000" w:rsidP="00000000" w:rsidRDefault="00000000" w:rsidRPr="00000000" w14:paraId="0000040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DIO + DSO - DPO</w:t>
            </w:r>
          </w:p>
        </w:tc>
        <w:tc>
          <w:tcPr/>
          <w:p w:rsidR="00000000" w:rsidDel="00000000" w:rsidP="00000000" w:rsidRDefault="00000000" w:rsidRPr="00000000" w14:paraId="0000040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DIO + DSO - DPO</w:t>
            </w:r>
          </w:p>
        </w:tc>
      </w:tr>
      <w:tr>
        <w:trPr>
          <w:cantSplit w:val="0"/>
          <w:tblHeader w:val="0"/>
        </w:trPr>
        <w:tc>
          <w:tcPr/>
          <w:p w:rsidR="00000000" w:rsidDel="00000000" w:rsidP="00000000" w:rsidRDefault="00000000" w:rsidRPr="00000000" w14:paraId="0000040D">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Value on the Formula</w:t>
            </w:r>
            <w:r w:rsidDel="00000000" w:rsidR="00000000" w:rsidRPr="00000000">
              <w:rPr>
                <w:rtl w:val="0"/>
              </w:rPr>
            </w:r>
          </w:p>
        </w:tc>
        <w:tc>
          <w:tcPr/>
          <w:p w:rsidR="00000000" w:rsidDel="00000000" w:rsidP="00000000" w:rsidRDefault="00000000" w:rsidRPr="00000000" w14:paraId="0000040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100.05 + 76.65 - 68.81</w:t>
            </w:r>
          </w:p>
        </w:tc>
        <w:tc>
          <w:tcPr/>
          <w:p w:rsidR="00000000" w:rsidDel="00000000" w:rsidP="00000000" w:rsidRDefault="00000000" w:rsidRPr="00000000" w14:paraId="0000040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114.53 + 78.50 - 78.80</w:t>
            </w:r>
          </w:p>
        </w:tc>
        <w:tc>
          <w:tcPr/>
          <w:p w:rsidR="00000000" w:rsidDel="00000000" w:rsidP="00000000" w:rsidRDefault="00000000" w:rsidRPr="00000000" w14:paraId="0000041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130.51 + 75.43 - 66.65</w:t>
            </w:r>
          </w:p>
        </w:tc>
        <w:tc>
          <w:tcPr/>
          <w:p w:rsidR="00000000" w:rsidDel="00000000" w:rsidP="00000000" w:rsidRDefault="00000000" w:rsidRPr="00000000" w14:paraId="0000041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99.67 + 97.49 - 64.44</w:t>
            </w:r>
          </w:p>
        </w:tc>
        <w:tc>
          <w:tcPr/>
          <w:p w:rsidR="00000000" w:rsidDel="00000000" w:rsidP="00000000" w:rsidRDefault="00000000" w:rsidRPr="00000000" w14:paraId="0000041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103.12 + 105.54 - 93.60</w:t>
            </w:r>
          </w:p>
        </w:tc>
      </w:tr>
      <w:tr>
        <w:trPr>
          <w:cantSplit w:val="0"/>
          <w:tblHeader w:val="0"/>
        </w:trPr>
        <w:tc>
          <w:tcPr/>
          <w:p w:rsidR="00000000" w:rsidDel="00000000" w:rsidP="00000000" w:rsidRDefault="00000000" w:rsidRPr="00000000" w14:paraId="00000413">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Result (Days)</w:t>
            </w:r>
            <w:r w:rsidDel="00000000" w:rsidR="00000000" w:rsidRPr="00000000">
              <w:rPr>
                <w:rtl w:val="0"/>
              </w:rPr>
            </w:r>
          </w:p>
        </w:tc>
        <w:tc>
          <w:tcPr/>
          <w:p w:rsidR="00000000" w:rsidDel="00000000" w:rsidP="00000000" w:rsidRDefault="00000000" w:rsidRPr="00000000" w14:paraId="0000041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107.89</w:t>
            </w:r>
          </w:p>
        </w:tc>
        <w:tc>
          <w:tcPr/>
          <w:p w:rsidR="00000000" w:rsidDel="00000000" w:rsidP="00000000" w:rsidRDefault="00000000" w:rsidRPr="00000000" w14:paraId="0000041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114.23</w:t>
            </w:r>
          </w:p>
        </w:tc>
        <w:tc>
          <w:tcPr/>
          <w:p w:rsidR="00000000" w:rsidDel="00000000" w:rsidP="00000000" w:rsidRDefault="00000000" w:rsidRPr="00000000" w14:paraId="0000041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139.29</w:t>
            </w:r>
          </w:p>
        </w:tc>
        <w:tc>
          <w:tcPr/>
          <w:p w:rsidR="00000000" w:rsidDel="00000000" w:rsidP="00000000" w:rsidRDefault="00000000" w:rsidRPr="00000000" w14:paraId="0000041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132.72</w:t>
            </w:r>
          </w:p>
        </w:tc>
        <w:tc>
          <w:tcPr/>
          <w:p w:rsidR="00000000" w:rsidDel="00000000" w:rsidP="00000000" w:rsidRDefault="00000000" w:rsidRPr="00000000" w14:paraId="0000041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115.06</w:t>
            </w:r>
          </w:p>
        </w:tc>
      </w:tr>
    </w:tbl>
    <w:p w:rsidR="00000000" w:rsidDel="00000000" w:rsidP="00000000" w:rsidRDefault="00000000" w:rsidRPr="00000000" w14:paraId="00000419">
      <w:pPr>
        <w:rPr/>
      </w:pPr>
      <w:r w:rsidDel="00000000" w:rsidR="00000000" w:rsidRPr="00000000">
        <w:rPr>
          <w:rtl w:val="0"/>
        </w:rPr>
      </w:r>
    </w:p>
    <w:p w:rsidR="00000000" w:rsidDel="00000000" w:rsidP="00000000" w:rsidRDefault="00000000" w:rsidRPr="00000000" w14:paraId="0000041A">
      <w:pPr>
        <w:rPr/>
      </w:pPr>
      <w:r w:rsidDel="00000000" w:rsidR="00000000" w:rsidRPr="00000000">
        <w:br w:type="page"/>
      </w:r>
      <w:r w:rsidDel="00000000" w:rsidR="00000000" w:rsidRPr="00000000">
        <w:rPr>
          <w:rtl w:val="0"/>
        </w:rPr>
      </w:r>
    </w:p>
    <w:p w:rsidR="00000000" w:rsidDel="00000000" w:rsidP="00000000" w:rsidRDefault="00000000" w:rsidRPr="00000000" w14:paraId="0000041B">
      <w:pPr>
        <w:pStyle w:val="Heading1"/>
        <w:rPr/>
      </w:pPr>
      <w:bookmarkStart w:colFirst="0" w:colLast="0" w:name="_heading=h.5aan1nq4soa5" w:id="40"/>
      <w:bookmarkEnd w:id="40"/>
      <w:r w:rsidDel="00000000" w:rsidR="00000000" w:rsidRPr="00000000">
        <w:rPr>
          <w:rtl w:val="0"/>
        </w:rPr>
        <w:t xml:space="preserve">Appendix 3 Capital Budgeting</w:t>
      </w:r>
    </w:p>
    <w:p w:rsidR="00000000" w:rsidDel="00000000" w:rsidP="00000000" w:rsidRDefault="00000000" w:rsidRPr="00000000" w14:paraId="0000041C">
      <w:pPr>
        <w:pStyle w:val="Heading2"/>
        <w:rPr/>
      </w:pPr>
      <w:bookmarkStart w:colFirst="0" w:colLast="0" w:name="_heading=h.u6b7hu2izpct" w:id="41"/>
      <w:bookmarkEnd w:id="41"/>
      <w:r w:rsidDel="00000000" w:rsidR="00000000" w:rsidRPr="00000000">
        <w:rPr>
          <w:rtl w:val="0"/>
        </w:rPr>
        <w:t xml:space="preserve">Appendix 3.1 ARR calculation</w:t>
      </w:r>
    </w:p>
    <w:tbl>
      <w:tblPr>
        <w:tblStyle w:val="Table34"/>
        <w:tblW w:w="9026.0" w:type="dxa"/>
        <w:jc w:val="left"/>
        <w:tblBorders>
          <w:top w:color="95b3d7" w:space="0" w:sz="4" w:val="single"/>
          <w:left w:color="95b3d7" w:space="0" w:sz="4" w:val="single"/>
          <w:bottom w:color="95b3d7" w:space="0" w:sz="4" w:val="single"/>
          <w:right w:color="95b3d7" w:space="0" w:sz="4" w:val="single"/>
          <w:insideH w:color="95b3d7" w:space="0" w:sz="4" w:val="single"/>
          <w:insideV w:color="95b3d7" w:space="0" w:sz="4" w:val="single"/>
        </w:tblBorders>
        <w:tblLayout w:type="fixed"/>
        <w:tblLook w:val="04A0"/>
      </w:tblPr>
      <w:tblGrid>
        <w:gridCol w:w="2222"/>
        <w:gridCol w:w="2268"/>
        <w:gridCol w:w="2268"/>
        <w:gridCol w:w="2268"/>
        <w:tblGridChange w:id="0">
          <w:tblGrid>
            <w:gridCol w:w="2222"/>
            <w:gridCol w:w="2268"/>
            <w:gridCol w:w="2268"/>
            <w:gridCol w:w="2268"/>
          </w:tblGrid>
        </w:tblGridChange>
      </w:tblGrid>
      <w:tr>
        <w:trPr>
          <w:cantSplit w:val="0"/>
          <w:tblHeader w:val="0"/>
        </w:trPr>
        <w:tc>
          <w:tcPr/>
          <w:p w:rsidR="00000000" w:rsidDel="00000000" w:rsidP="00000000" w:rsidRDefault="00000000" w:rsidRPr="00000000" w14:paraId="0000041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Component</w:t>
            </w:r>
          </w:p>
        </w:tc>
        <w:tc>
          <w:tcPr/>
          <w:p w:rsidR="00000000" w:rsidDel="00000000" w:rsidP="00000000" w:rsidRDefault="00000000" w:rsidRPr="00000000" w14:paraId="0000041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Project A</w:t>
            </w:r>
          </w:p>
        </w:tc>
        <w:tc>
          <w:tcPr/>
          <w:p w:rsidR="00000000" w:rsidDel="00000000" w:rsidP="00000000" w:rsidRDefault="00000000" w:rsidRPr="00000000" w14:paraId="0000041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Project B</w:t>
            </w:r>
          </w:p>
        </w:tc>
        <w:tc>
          <w:tcPr/>
          <w:p w:rsidR="00000000" w:rsidDel="00000000" w:rsidP="00000000" w:rsidRDefault="00000000" w:rsidRPr="00000000" w14:paraId="0000042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Project C</w:t>
            </w:r>
          </w:p>
        </w:tc>
      </w:tr>
      <w:tr>
        <w:trPr>
          <w:cantSplit w:val="0"/>
          <w:tblHeader w:val="0"/>
        </w:trPr>
        <w:tc>
          <w:tcPr/>
          <w:p w:rsidR="00000000" w:rsidDel="00000000" w:rsidP="00000000" w:rsidRDefault="00000000" w:rsidRPr="00000000" w14:paraId="00000421">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Initial Investment (£m)</w:t>
            </w:r>
            <w:r w:rsidDel="00000000" w:rsidR="00000000" w:rsidRPr="00000000">
              <w:rPr>
                <w:rtl w:val="0"/>
              </w:rPr>
            </w:r>
          </w:p>
        </w:tc>
        <w:tc>
          <w:tcPr/>
          <w:p w:rsidR="00000000" w:rsidDel="00000000" w:rsidP="00000000" w:rsidRDefault="00000000" w:rsidRPr="00000000" w14:paraId="0000042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£40m</w:t>
            </w:r>
          </w:p>
        </w:tc>
        <w:tc>
          <w:tcPr/>
          <w:p w:rsidR="00000000" w:rsidDel="00000000" w:rsidP="00000000" w:rsidRDefault="00000000" w:rsidRPr="00000000" w14:paraId="0000042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£30m</w:t>
            </w:r>
          </w:p>
        </w:tc>
        <w:tc>
          <w:tcPr/>
          <w:p w:rsidR="00000000" w:rsidDel="00000000" w:rsidP="00000000" w:rsidRDefault="00000000" w:rsidRPr="00000000" w14:paraId="0000042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£50m</w:t>
            </w:r>
          </w:p>
        </w:tc>
      </w:tr>
      <w:tr>
        <w:trPr>
          <w:cantSplit w:val="0"/>
          <w:tblHeader w:val="0"/>
        </w:trPr>
        <w:tc>
          <w:tcPr/>
          <w:p w:rsidR="00000000" w:rsidDel="00000000" w:rsidP="00000000" w:rsidRDefault="00000000" w:rsidRPr="00000000" w14:paraId="00000425">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Net Cash Inflows over 5 years (£m)</w:t>
            </w:r>
            <w:r w:rsidDel="00000000" w:rsidR="00000000" w:rsidRPr="00000000">
              <w:rPr>
                <w:rtl w:val="0"/>
              </w:rPr>
            </w:r>
          </w:p>
        </w:tc>
        <w:tc>
          <w:tcPr/>
          <w:p w:rsidR="00000000" w:rsidDel="00000000" w:rsidP="00000000" w:rsidRDefault="00000000" w:rsidRPr="00000000" w14:paraId="0000042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£10m, £12m, £14m, £10m, £8m</w:t>
            </w:r>
          </w:p>
        </w:tc>
        <w:tc>
          <w:tcPr/>
          <w:p w:rsidR="00000000" w:rsidDel="00000000" w:rsidP="00000000" w:rsidRDefault="00000000" w:rsidRPr="00000000" w14:paraId="0000042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£6m, £6m, £6m, £6m, £6m</w:t>
            </w:r>
          </w:p>
        </w:tc>
        <w:tc>
          <w:tcPr/>
          <w:p w:rsidR="00000000" w:rsidDel="00000000" w:rsidP="00000000" w:rsidRDefault="00000000" w:rsidRPr="00000000" w14:paraId="0000042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£5m, £10m, £20m, £25m, £15m</w:t>
            </w:r>
          </w:p>
        </w:tc>
      </w:tr>
      <w:tr>
        <w:trPr>
          <w:cantSplit w:val="0"/>
          <w:tblHeader w:val="0"/>
        </w:trPr>
        <w:tc>
          <w:tcPr/>
          <w:p w:rsidR="00000000" w:rsidDel="00000000" w:rsidP="00000000" w:rsidRDefault="00000000" w:rsidRPr="00000000" w14:paraId="00000429">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Total Cash Inflows (£m)</w:t>
            </w:r>
            <w:r w:rsidDel="00000000" w:rsidR="00000000" w:rsidRPr="00000000">
              <w:rPr>
                <w:rtl w:val="0"/>
              </w:rPr>
            </w:r>
          </w:p>
        </w:tc>
        <w:tc>
          <w:tcPr/>
          <w:p w:rsidR="00000000" w:rsidDel="00000000" w:rsidP="00000000" w:rsidRDefault="00000000" w:rsidRPr="00000000" w14:paraId="0000042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£54m</w:t>
            </w:r>
          </w:p>
        </w:tc>
        <w:tc>
          <w:tcPr/>
          <w:p w:rsidR="00000000" w:rsidDel="00000000" w:rsidP="00000000" w:rsidRDefault="00000000" w:rsidRPr="00000000" w14:paraId="0000042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£30m</w:t>
            </w:r>
          </w:p>
        </w:tc>
        <w:tc>
          <w:tcPr/>
          <w:p w:rsidR="00000000" w:rsidDel="00000000" w:rsidP="00000000" w:rsidRDefault="00000000" w:rsidRPr="00000000" w14:paraId="0000042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£75m</w:t>
            </w:r>
          </w:p>
        </w:tc>
      </w:tr>
      <w:tr>
        <w:trPr>
          <w:cantSplit w:val="0"/>
          <w:tblHeader w:val="0"/>
        </w:trPr>
        <w:tc>
          <w:tcPr/>
          <w:p w:rsidR="00000000" w:rsidDel="00000000" w:rsidP="00000000" w:rsidRDefault="00000000" w:rsidRPr="00000000" w14:paraId="0000042D">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Depreciation (£m)</w:t>
            </w:r>
            <w:r w:rsidDel="00000000" w:rsidR="00000000" w:rsidRPr="00000000">
              <w:rPr>
                <w:rtl w:val="0"/>
              </w:rPr>
            </w:r>
          </w:p>
        </w:tc>
        <w:tc>
          <w:tcPr/>
          <w:p w:rsidR="00000000" w:rsidDel="00000000" w:rsidP="00000000" w:rsidRDefault="00000000" w:rsidRPr="00000000" w14:paraId="0000042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£8m per year</w:t>
            </w:r>
          </w:p>
        </w:tc>
        <w:tc>
          <w:tcPr/>
          <w:p w:rsidR="00000000" w:rsidDel="00000000" w:rsidP="00000000" w:rsidRDefault="00000000" w:rsidRPr="00000000" w14:paraId="0000042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£6m per year</w:t>
            </w:r>
          </w:p>
        </w:tc>
        <w:tc>
          <w:tcPr/>
          <w:p w:rsidR="00000000" w:rsidDel="00000000" w:rsidP="00000000" w:rsidRDefault="00000000" w:rsidRPr="00000000" w14:paraId="0000043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£10m per year</w:t>
            </w:r>
          </w:p>
        </w:tc>
      </w:tr>
      <w:tr>
        <w:trPr>
          <w:cantSplit w:val="0"/>
          <w:tblHeader w:val="0"/>
        </w:trPr>
        <w:tc>
          <w:tcPr/>
          <w:p w:rsidR="00000000" w:rsidDel="00000000" w:rsidP="00000000" w:rsidRDefault="00000000" w:rsidRPr="00000000" w14:paraId="00000431">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Total Depreciation (£m)</w:t>
            </w:r>
            <w:r w:rsidDel="00000000" w:rsidR="00000000" w:rsidRPr="00000000">
              <w:rPr>
                <w:rtl w:val="0"/>
              </w:rPr>
            </w:r>
          </w:p>
        </w:tc>
        <w:tc>
          <w:tcPr/>
          <w:p w:rsidR="00000000" w:rsidDel="00000000" w:rsidP="00000000" w:rsidRDefault="00000000" w:rsidRPr="00000000" w14:paraId="0000043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£8m × 5 = £40m</w:t>
            </w:r>
          </w:p>
        </w:tc>
        <w:tc>
          <w:tcPr/>
          <w:p w:rsidR="00000000" w:rsidDel="00000000" w:rsidP="00000000" w:rsidRDefault="00000000" w:rsidRPr="00000000" w14:paraId="0000043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£6m × 5 = £30m</w:t>
            </w:r>
          </w:p>
        </w:tc>
        <w:tc>
          <w:tcPr/>
          <w:p w:rsidR="00000000" w:rsidDel="00000000" w:rsidP="00000000" w:rsidRDefault="00000000" w:rsidRPr="00000000" w14:paraId="0000043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£10m × 5 = £50m</w:t>
            </w:r>
          </w:p>
        </w:tc>
      </w:tr>
      <w:tr>
        <w:trPr>
          <w:cantSplit w:val="0"/>
          <w:tblHeader w:val="0"/>
        </w:trPr>
        <w:tc>
          <w:tcPr/>
          <w:p w:rsidR="00000000" w:rsidDel="00000000" w:rsidP="00000000" w:rsidRDefault="00000000" w:rsidRPr="00000000" w14:paraId="00000435">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Average Annual Profit (£m)</w:t>
            </w:r>
            <w:r w:rsidDel="00000000" w:rsidR="00000000" w:rsidRPr="00000000">
              <w:rPr>
                <w:rtl w:val="0"/>
              </w:rPr>
            </w:r>
          </w:p>
        </w:tc>
        <w:tc>
          <w:tcPr/>
          <w:p w:rsidR="00000000" w:rsidDel="00000000" w:rsidP="00000000" w:rsidRDefault="00000000" w:rsidRPr="00000000" w14:paraId="0000043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(Total Cash Inflows - Total Depreciation) ÷ 5</w:t>
            </w:r>
          </w:p>
        </w:tc>
        <w:tc>
          <w:tcPr/>
          <w:p w:rsidR="00000000" w:rsidDel="00000000" w:rsidP="00000000" w:rsidRDefault="00000000" w:rsidRPr="00000000" w14:paraId="0000043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(Total Cash Inflows - Total Depreciation) ÷ 5</w:t>
            </w:r>
          </w:p>
        </w:tc>
        <w:tc>
          <w:tcPr/>
          <w:p w:rsidR="00000000" w:rsidDel="00000000" w:rsidP="00000000" w:rsidRDefault="00000000" w:rsidRPr="00000000" w14:paraId="0000043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(Total Cash Inflows - Total Depreciation) ÷ 5</w:t>
            </w:r>
          </w:p>
        </w:tc>
      </w:tr>
      <w:tr>
        <w:trPr>
          <w:cantSplit w:val="0"/>
          <w:tblHeader w:val="0"/>
        </w:trPr>
        <w:tc>
          <w:tcPr/>
          <w:p w:rsidR="00000000" w:rsidDel="00000000" w:rsidP="00000000" w:rsidRDefault="00000000" w:rsidRPr="00000000" w14:paraId="00000439">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Value on Formula (Average Annual Profit)</w:t>
            </w:r>
            <w:r w:rsidDel="00000000" w:rsidR="00000000" w:rsidRPr="00000000">
              <w:rPr>
                <w:rtl w:val="0"/>
              </w:rPr>
            </w:r>
          </w:p>
        </w:tc>
        <w:tc>
          <w:tcPr/>
          <w:p w:rsidR="00000000" w:rsidDel="00000000" w:rsidP="00000000" w:rsidRDefault="00000000" w:rsidRPr="00000000" w14:paraId="0000043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(£54m - £40m) ÷ 5 = £2.8m</w:t>
            </w:r>
          </w:p>
        </w:tc>
        <w:tc>
          <w:tcPr/>
          <w:p w:rsidR="00000000" w:rsidDel="00000000" w:rsidP="00000000" w:rsidRDefault="00000000" w:rsidRPr="00000000" w14:paraId="0000043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(£30m - £30m) ÷ 5 = £0m</w:t>
            </w:r>
          </w:p>
        </w:tc>
        <w:tc>
          <w:tcPr/>
          <w:p w:rsidR="00000000" w:rsidDel="00000000" w:rsidP="00000000" w:rsidRDefault="00000000" w:rsidRPr="00000000" w14:paraId="0000043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(£75m - £50m) ÷ 5 = £5m</w:t>
            </w:r>
          </w:p>
        </w:tc>
      </w:tr>
      <w:tr>
        <w:trPr>
          <w:cantSplit w:val="0"/>
          <w:tblHeader w:val="0"/>
        </w:trPr>
        <w:tc>
          <w:tcPr/>
          <w:p w:rsidR="00000000" w:rsidDel="00000000" w:rsidP="00000000" w:rsidRDefault="00000000" w:rsidRPr="00000000" w14:paraId="0000043D">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ARR Formula</w:t>
            </w:r>
            <w:r w:rsidDel="00000000" w:rsidR="00000000" w:rsidRPr="00000000">
              <w:rPr>
                <w:rtl w:val="0"/>
              </w:rPr>
            </w:r>
          </w:p>
        </w:tc>
        <w:tc>
          <w:tcPr/>
          <w:p w:rsidR="00000000" w:rsidDel="00000000" w:rsidP="00000000" w:rsidRDefault="00000000" w:rsidRPr="00000000" w14:paraId="0000043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(Average Annual Profit / Initial Investment) × 100</w:t>
            </w:r>
          </w:p>
        </w:tc>
        <w:tc>
          <w:tcPr/>
          <w:p w:rsidR="00000000" w:rsidDel="00000000" w:rsidP="00000000" w:rsidRDefault="00000000" w:rsidRPr="00000000" w14:paraId="0000043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(Average Annual Profit / Initial Investment) × 100</w:t>
            </w:r>
          </w:p>
        </w:tc>
        <w:tc>
          <w:tcPr/>
          <w:p w:rsidR="00000000" w:rsidDel="00000000" w:rsidP="00000000" w:rsidRDefault="00000000" w:rsidRPr="00000000" w14:paraId="0000044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(Average Annual Profit / Initial Investment) × 100</w:t>
            </w:r>
          </w:p>
        </w:tc>
      </w:tr>
      <w:tr>
        <w:trPr>
          <w:cantSplit w:val="0"/>
          <w:tblHeader w:val="0"/>
        </w:trPr>
        <w:tc>
          <w:tcPr/>
          <w:p w:rsidR="00000000" w:rsidDel="00000000" w:rsidP="00000000" w:rsidRDefault="00000000" w:rsidRPr="00000000" w14:paraId="00000441">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ARR Calculation</w:t>
            </w:r>
            <w:r w:rsidDel="00000000" w:rsidR="00000000" w:rsidRPr="00000000">
              <w:rPr>
                <w:rtl w:val="0"/>
              </w:rPr>
            </w:r>
          </w:p>
        </w:tc>
        <w:tc>
          <w:tcPr/>
          <w:p w:rsidR="00000000" w:rsidDel="00000000" w:rsidP="00000000" w:rsidRDefault="00000000" w:rsidRPr="00000000" w14:paraId="0000044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(£2.8m / £40m) × 100 = 7%</w:t>
            </w:r>
          </w:p>
        </w:tc>
        <w:tc>
          <w:tcPr/>
          <w:p w:rsidR="00000000" w:rsidDel="00000000" w:rsidP="00000000" w:rsidRDefault="00000000" w:rsidRPr="00000000" w14:paraId="0000044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(£0m / £30m) × 100 = 0%</w:t>
            </w:r>
          </w:p>
        </w:tc>
        <w:tc>
          <w:tcPr/>
          <w:p w:rsidR="00000000" w:rsidDel="00000000" w:rsidP="00000000" w:rsidRDefault="00000000" w:rsidRPr="00000000" w14:paraId="0000044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(£5m / £50m) × 100 = 10%</w:t>
            </w:r>
          </w:p>
        </w:tc>
      </w:tr>
      <w:tr>
        <w:trPr>
          <w:cantSplit w:val="0"/>
          <w:tblHeader w:val="0"/>
        </w:trPr>
        <w:tc>
          <w:tcPr/>
          <w:p w:rsidR="00000000" w:rsidDel="00000000" w:rsidP="00000000" w:rsidRDefault="00000000" w:rsidRPr="00000000" w14:paraId="00000445">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ARR (%)</w:t>
            </w:r>
            <w:r w:rsidDel="00000000" w:rsidR="00000000" w:rsidRPr="00000000">
              <w:rPr>
                <w:rtl w:val="0"/>
              </w:rPr>
            </w:r>
          </w:p>
        </w:tc>
        <w:tc>
          <w:tcPr/>
          <w:p w:rsidR="00000000" w:rsidDel="00000000" w:rsidP="00000000" w:rsidRDefault="00000000" w:rsidRPr="00000000" w14:paraId="00000446">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7%</w:t>
            </w:r>
            <w:r w:rsidDel="00000000" w:rsidR="00000000" w:rsidRPr="00000000">
              <w:rPr>
                <w:rtl w:val="0"/>
              </w:rPr>
            </w:r>
          </w:p>
        </w:tc>
        <w:tc>
          <w:tcPr/>
          <w:p w:rsidR="00000000" w:rsidDel="00000000" w:rsidP="00000000" w:rsidRDefault="00000000" w:rsidRPr="00000000" w14:paraId="00000447">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0%</w:t>
            </w:r>
            <w:r w:rsidDel="00000000" w:rsidR="00000000" w:rsidRPr="00000000">
              <w:rPr>
                <w:rtl w:val="0"/>
              </w:rPr>
            </w:r>
          </w:p>
        </w:tc>
        <w:tc>
          <w:tcPr/>
          <w:p w:rsidR="00000000" w:rsidDel="00000000" w:rsidP="00000000" w:rsidRDefault="00000000" w:rsidRPr="00000000" w14:paraId="00000448">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10%</w:t>
            </w:r>
            <w:r w:rsidDel="00000000" w:rsidR="00000000" w:rsidRPr="00000000">
              <w:rPr>
                <w:rtl w:val="0"/>
              </w:rPr>
            </w:r>
          </w:p>
        </w:tc>
      </w:tr>
    </w:tbl>
    <w:p w:rsidR="00000000" w:rsidDel="00000000" w:rsidP="00000000" w:rsidRDefault="00000000" w:rsidRPr="00000000" w14:paraId="00000449">
      <w:pPr>
        <w:rPr/>
      </w:pPr>
      <w:r w:rsidDel="00000000" w:rsidR="00000000" w:rsidRPr="00000000">
        <w:rPr>
          <w:rtl w:val="0"/>
        </w:rPr>
      </w:r>
    </w:p>
    <w:p w:rsidR="00000000" w:rsidDel="00000000" w:rsidP="00000000" w:rsidRDefault="00000000" w:rsidRPr="00000000" w14:paraId="0000044A">
      <w:pPr>
        <w:pStyle w:val="Heading2"/>
        <w:rPr/>
      </w:pPr>
      <w:bookmarkStart w:colFirst="0" w:colLast="0" w:name="_heading=h.2vow7a6b7tgd" w:id="42"/>
      <w:bookmarkEnd w:id="42"/>
      <w:r w:rsidDel="00000000" w:rsidR="00000000" w:rsidRPr="00000000">
        <w:rPr>
          <w:rtl w:val="0"/>
        </w:rPr>
        <w:t xml:space="preserve">Appendix 3.2 NPV Calculation</w:t>
      </w:r>
    </w:p>
    <w:tbl>
      <w:tblPr>
        <w:tblStyle w:val="Table35"/>
        <w:tblW w:w="9026.0" w:type="dxa"/>
        <w:jc w:val="left"/>
        <w:tblBorders>
          <w:top w:color="95b3d7" w:space="0" w:sz="4" w:val="single"/>
          <w:left w:color="95b3d7" w:space="0" w:sz="4" w:val="single"/>
          <w:bottom w:color="95b3d7" w:space="0" w:sz="4" w:val="single"/>
          <w:right w:color="95b3d7" w:space="0" w:sz="4" w:val="single"/>
          <w:insideH w:color="95b3d7" w:space="0" w:sz="4" w:val="single"/>
          <w:insideV w:color="95b3d7" w:space="0" w:sz="4" w:val="single"/>
        </w:tblBorders>
        <w:tblLayout w:type="fixed"/>
        <w:tblLook w:val="04A0"/>
      </w:tblPr>
      <w:tblGrid>
        <w:gridCol w:w="2000"/>
        <w:gridCol w:w="2342"/>
        <w:gridCol w:w="2319"/>
        <w:gridCol w:w="2365"/>
        <w:tblGridChange w:id="0">
          <w:tblGrid>
            <w:gridCol w:w="2000"/>
            <w:gridCol w:w="2342"/>
            <w:gridCol w:w="2319"/>
            <w:gridCol w:w="2365"/>
          </w:tblGrid>
        </w:tblGridChange>
      </w:tblGrid>
      <w:tr>
        <w:trPr>
          <w:cantSplit w:val="0"/>
          <w:tblHeader w:val="0"/>
        </w:trPr>
        <w:tc>
          <w:tcPr/>
          <w:p w:rsidR="00000000" w:rsidDel="00000000" w:rsidP="00000000" w:rsidRDefault="00000000" w:rsidRPr="00000000" w14:paraId="0000044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Component</w:t>
            </w:r>
          </w:p>
        </w:tc>
        <w:tc>
          <w:tcPr/>
          <w:p w:rsidR="00000000" w:rsidDel="00000000" w:rsidP="00000000" w:rsidRDefault="00000000" w:rsidRPr="00000000" w14:paraId="0000044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Project A</w:t>
            </w:r>
          </w:p>
        </w:tc>
        <w:tc>
          <w:tcPr/>
          <w:p w:rsidR="00000000" w:rsidDel="00000000" w:rsidP="00000000" w:rsidRDefault="00000000" w:rsidRPr="00000000" w14:paraId="0000044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Project B</w:t>
            </w:r>
          </w:p>
        </w:tc>
        <w:tc>
          <w:tcPr/>
          <w:p w:rsidR="00000000" w:rsidDel="00000000" w:rsidP="00000000" w:rsidRDefault="00000000" w:rsidRPr="00000000" w14:paraId="0000044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Project C</w:t>
            </w:r>
          </w:p>
        </w:tc>
      </w:tr>
      <w:tr>
        <w:trPr>
          <w:cantSplit w:val="0"/>
          <w:tblHeader w:val="0"/>
        </w:trPr>
        <w:tc>
          <w:tcPr/>
          <w:p w:rsidR="00000000" w:rsidDel="00000000" w:rsidP="00000000" w:rsidRDefault="00000000" w:rsidRPr="00000000" w14:paraId="0000044F">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Initial Investment (£m)</w:t>
            </w:r>
            <w:r w:rsidDel="00000000" w:rsidR="00000000" w:rsidRPr="00000000">
              <w:rPr>
                <w:rtl w:val="0"/>
              </w:rPr>
            </w:r>
          </w:p>
        </w:tc>
        <w:tc>
          <w:tcPr/>
          <w:p w:rsidR="00000000" w:rsidDel="00000000" w:rsidP="00000000" w:rsidRDefault="00000000" w:rsidRPr="00000000" w14:paraId="0000045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£40m</w:t>
            </w:r>
          </w:p>
        </w:tc>
        <w:tc>
          <w:tcPr/>
          <w:p w:rsidR="00000000" w:rsidDel="00000000" w:rsidP="00000000" w:rsidRDefault="00000000" w:rsidRPr="00000000" w14:paraId="0000045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£30m</w:t>
            </w:r>
          </w:p>
        </w:tc>
        <w:tc>
          <w:tcPr/>
          <w:p w:rsidR="00000000" w:rsidDel="00000000" w:rsidP="00000000" w:rsidRDefault="00000000" w:rsidRPr="00000000" w14:paraId="0000045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£50m</w:t>
            </w:r>
          </w:p>
        </w:tc>
      </w:tr>
      <w:tr>
        <w:trPr>
          <w:cantSplit w:val="0"/>
          <w:tblHeader w:val="0"/>
        </w:trPr>
        <w:tc>
          <w:tcPr/>
          <w:p w:rsidR="00000000" w:rsidDel="00000000" w:rsidP="00000000" w:rsidRDefault="00000000" w:rsidRPr="00000000" w14:paraId="00000453">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Year 1 Cash Inflows (£m)</w:t>
            </w:r>
            <w:r w:rsidDel="00000000" w:rsidR="00000000" w:rsidRPr="00000000">
              <w:rPr>
                <w:rtl w:val="0"/>
              </w:rPr>
            </w:r>
          </w:p>
        </w:tc>
        <w:tc>
          <w:tcPr/>
          <w:p w:rsidR="00000000" w:rsidDel="00000000" w:rsidP="00000000" w:rsidRDefault="00000000" w:rsidRPr="00000000" w14:paraId="0000045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£10m</w:t>
            </w:r>
          </w:p>
        </w:tc>
        <w:tc>
          <w:tcPr/>
          <w:p w:rsidR="00000000" w:rsidDel="00000000" w:rsidP="00000000" w:rsidRDefault="00000000" w:rsidRPr="00000000" w14:paraId="0000045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£6m</w:t>
            </w:r>
          </w:p>
        </w:tc>
        <w:tc>
          <w:tcPr/>
          <w:p w:rsidR="00000000" w:rsidDel="00000000" w:rsidP="00000000" w:rsidRDefault="00000000" w:rsidRPr="00000000" w14:paraId="0000045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£5m</w:t>
            </w:r>
          </w:p>
        </w:tc>
      </w:tr>
      <w:tr>
        <w:trPr>
          <w:cantSplit w:val="0"/>
          <w:tblHeader w:val="0"/>
        </w:trPr>
        <w:tc>
          <w:tcPr/>
          <w:p w:rsidR="00000000" w:rsidDel="00000000" w:rsidP="00000000" w:rsidRDefault="00000000" w:rsidRPr="00000000" w14:paraId="00000457">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Year 2 Cash Inflows (£m)</w:t>
            </w:r>
            <w:r w:rsidDel="00000000" w:rsidR="00000000" w:rsidRPr="00000000">
              <w:rPr>
                <w:rtl w:val="0"/>
              </w:rPr>
            </w:r>
          </w:p>
        </w:tc>
        <w:tc>
          <w:tcPr/>
          <w:p w:rsidR="00000000" w:rsidDel="00000000" w:rsidP="00000000" w:rsidRDefault="00000000" w:rsidRPr="00000000" w14:paraId="0000045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£12m</w:t>
            </w:r>
          </w:p>
        </w:tc>
        <w:tc>
          <w:tcPr/>
          <w:p w:rsidR="00000000" w:rsidDel="00000000" w:rsidP="00000000" w:rsidRDefault="00000000" w:rsidRPr="00000000" w14:paraId="0000045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£6m</w:t>
            </w:r>
          </w:p>
        </w:tc>
        <w:tc>
          <w:tcPr/>
          <w:p w:rsidR="00000000" w:rsidDel="00000000" w:rsidP="00000000" w:rsidRDefault="00000000" w:rsidRPr="00000000" w14:paraId="0000045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£10m</w:t>
            </w:r>
          </w:p>
        </w:tc>
      </w:tr>
      <w:tr>
        <w:trPr>
          <w:cantSplit w:val="0"/>
          <w:tblHeader w:val="0"/>
        </w:trPr>
        <w:tc>
          <w:tcPr/>
          <w:p w:rsidR="00000000" w:rsidDel="00000000" w:rsidP="00000000" w:rsidRDefault="00000000" w:rsidRPr="00000000" w14:paraId="0000045B">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Year 3 Cash Inflows (£m)</w:t>
            </w:r>
            <w:r w:rsidDel="00000000" w:rsidR="00000000" w:rsidRPr="00000000">
              <w:rPr>
                <w:rtl w:val="0"/>
              </w:rPr>
            </w:r>
          </w:p>
        </w:tc>
        <w:tc>
          <w:tcPr/>
          <w:p w:rsidR="00000000" w:rsidDel="00000000" w:rsidP="00000000" w:rsidRDefault="00000000" w:rsidRPr="00000000" w14:paraId="0000045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£14m</w:t>
            </w:r>
          </w:p>
        </w:tc>
        <w:tc>
          <w:tcPr/>
          <w:p w:rsidR="00000000" w:rsidDel="00000000" w:rsidP="00000000" w:rsidRDefault="00000000" w:rsidRPr="00000000" w14:paraId="0000045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£6m</w:t>
            </w:r>
          </w:p>
        </w:tc>
        <w:tc>
          <w:tcPr/>
          <w:p w:rsidR="00000000" w:rsidDel="00000000" w:rsidP="00000000" w:rsidRDefault="00000000" w:rsidRPr="00000000" w14:paraId="0000045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£20m</w:t>
            </w:r>
          </w:p>
        </w:tc>
      </w:tr>
      <w:tr>
        <w:trPr>
          <w:cantSplit w:val="0"/>
          <w:tblHeader w:val="0"/>
        </w:trPr>
        <w:tc>
          <w:tcPr/>
          <w:p w:rsidR="00000000" w:rsidDel="00000000" w:rsidP="00000000" w:rsidRDefault="00000000" w:rsidRPr="00000000" w14:paraId="0000045F">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Year 4 Cash Inflows (£m)</w:t>
            </w:r>
            <w:r w:rsidDel="00000000" w:rsidR="00000000" w:rsidRPr="00000000">
              <w:rPr>
                <w:rtl w:val="0"/>
              </w:rPr>
            </w:r>
          </w:p>
        </w:tc>
        <w:tc>
          <w:tcPr/>
          <w:p w:rsidR="00000000" w:rsidDel="00000000" w:rsidP="00000000" w:rsidRDefault="00000000" w:rsidRPr="00000000" w14:paraId="0000046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£10m</w:t>
            </w:r>
          </w:p>
        </w:tc>
        <w:tc>
          <w:tcPr/>
          <w:p w:rsidR="00000000" w:rsidDel="00000000" w:rsidP="00000000" w:rsidRDefault="00000000" w:rsidRPr="00000000" w14:paraId="0000046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£6m</w:t>
            </w:r>
          </w:p>
        </w:tc>
        <w:tc>
          <w:tcPr/>
          <w:p w:rsidR="00000000" w:rsidDel="00000000" w:rsidP="00000000" w:rsidRDefault="00000000" w:rsidRPr="00000000" w14:paraId="0000046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£25m</w:t>
            </w:r>
          </w:p>
        </w:tc>
      </w:tr>
      <w:tr>
        <w:trPr>
          <w:cantSplit w:val="0"/>
          <w:tblHeader w:val="0"/>
        </w:trPr>
        <w:tc>
          <w:tcPr/>
          <w:p w:rsidR="00000000" w:rsidDel="00000000" w:rsidP="00000000" w:rsidRDefault="00000000" w:rsidRPr="00000000" w14:paraId="00000463">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Year 5 Cash Inflows (£m)</w:t>
            </w:r>
            <w:r w:rsidDel="00000000" w:rsidR="00000000" w:rsidRPr="00000000">
              <w:rPr>
                <w:rtl w:val="0"/>
              </w:rPr>
            </w:r>
          </w:p>
        </w:tc>
        <w:tc>
          <w:tcPr/>
          <w:p w:rsidR="00000000" w:rsidDel="00000000" w:rsidP="00000000" w:rsidRDefault="00000000" w:rsidRPr="00000000" w14:paraId="0000046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£8m</w:t>
            </w:r>
          </w:p>
        </w:tc>
        <w:tc>
          <w:tcPr/>
          <w:p w:rsidR="00000000" w:rsidDel="00000000" w:rsidP="00000000" w:rsidRDefault="00000000" w:rsidRPr="00000000" w14:paraId="0000046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£6m</w:t>
            </w:r>
          </w:p>
        </w:tc>
        <w:tc>
          <w:tcPr/>
          <w:p w:rsidR="00000000" w:rsidDel="00000000" w:rsidP="00000000" w:rsidRDefault="00000000" w:rsidRPr="00000000" w14:paraId="0000046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£15m</w:t>
            </w:r>
          </w:p>
        </w:tc>
      </w:tr>
      <w:tr>
        <w:trPr>
          <w:cantSplit w:val="0"/>
          <w:tblHeader w:val="0"/>
        </w:trPr>
        <w:tc>
          <w:tcPr/>
          <w:p w:rsidR="00000000" w:rsidDel="00000000" w:rsidP="00000000" w:rsidRDefault="00000000" w:rsidRPr="00000000" w14:paraId="00000467">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Total Cash Inflows (£m)</w:t>
            </w:r>
            <w:r w:rsidDel="00000000" w:rsidR="00000000" w:rsidRPr="00000000">
              <w:rPr>
                <w:rtl w:val="0"/>
              </w:rPr>
            </w:r>
          </w:p>
        </w:tc>
        <w:tc>
          <w:tcPr/>
          <w:p w:rsidR="00000000" w:rsidDel="00000000" w:rsidP="00000000" w:rsidRDefault="00000000" w:rsidRPr="00000000" w14:paraId="0000046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£54m</w:t>
            </w:r>
          </w:p>
        </w:tc>
        <w:tc>
          <w:tcPr/>
          <w:p w:rsidR="00000000" w:rsidDel="00000000" w:rsidP="00000000" w:rsidRDefault="00000000" w:rsidRPr="00000000" w14:paraId="0000046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£30m</w:t>
            </w:r>
          </w:p>
        </w:tc>
        <w:tc>
          <w:tcPr/>
          <w:p w:rsidR="00000000" w:rsidDel="00000000" w:rsidP="00000000" w:rsidRDefault="00000000" w:rsidRPr="00000000" w14:paraId="0000046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£75m</w:t>
            </w:r>
          </w:p>
        </w:tc>
      </w:tr>
      <w:tr>
        <w:trPr>
          <w:cantSplit w:val="0"/>
          <w:tblHeader w:val="0"/>
        </w:trPr>
        <w:tc>
          <w:tcPr/>
          <w:p w:rsidR="00000000" w:rsidDel="00000000" w:rsidP="00000000" w:rsidRDefault="00000000" w:rsidRPr="00000000" w14:paraId="0000046B">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Discount Rate</w:t>
            </w:r>
            <w:r w:rsidDel="00000000" w:rsidR="00000000" w:rsidRPr="00000000">
              <w:rPr>
                <w:rtl w:val="0"/>
              </w:rPr>
            </w:r>
          </w:p>
        </w:tc>
        <w:tc>
          <w:tcPr/>
          <w:p w:rsidR="00000000" w:rsidDel="00000000" w:rsidP="00000000" w:rsidRDefault="00000000" w:rsidRPr="00000000" w14:paraId="0000046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10%</w:t>
            </w:r>
          </w:p>
        </w:tc>
        <w:tc>
          <w:tcPr/>
          <w:p w:rsidR="00000000" w:rsidDel="00000000" w:rsidP="00000000" w:rsidRDefault="00000000" w:rsidRPr="00000000" w14:paraId="0000046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10%</w:t>
            </w:r>
          </w:p>
        </w:tc>
        <w:tc>
          <w:tcPr/>
          <w:p w:rsidR="00000000" w:rsidDel="00000000" w:rsidP="00000000" w:rsidRDefault="00000000" w:rsidRPr="00000000" w14:paraId="0000046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10%</w:t>
            </w:r>
          </w:p>
        </w:tc>
      </w:tr>
      <w:tr>
        <w:trPr>
          <w:cantSplit w:val="0"/>
          <w:tblHeader w:val="0"/>
        </w:trPr>
        <w:tc>
          <w:tcPr/>
          <w:p w:rsidR="00000000" w:rsidDel="00000000" w:rsidP="00000000" w:rsidRDefault="00000000" w:rsidRPr="00000000" w14:paraId="0000046F">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Year 1 Discount Factor</w:t>
            </w:r>
            <w:r w:rsidDel="00000000" w:rsidR="00000000" w:rsidRPr="00000000">
              <w:rPr>
                <w:rtl w:val="0"/>
              </w:rPr>
            </w:r>
          </w:p>
        </w:tc>
        <w:tc>
          <w:tcPr/>
          <w:p w:rsidR="00000000" w:rsidDel="00000000" w:rsidP="00000000" w:rsidRDefault="00000000" w:rsidRPr="00000000" w14:paraId="0000047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 / (1+0.10)^1) = 0.9091</w:t>
            </w:r>
          </w:p>
        </w:tc>
        <w:tc>
          <w:tcPr/>
          <w:p w:rsidR="00000000" w:rsidDel="00000000" w:rsidP="00000000" w:rsidRDefault="00000000" w:rsidRPr="00000000" w14:paraId="0000047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 / (1+0.10)^1) = 0.9091</w:t>
            </w:r>
          </w:p>
        </w:tc>
        <w:tc>
          <w:tcPr/>
          <w:p w:rsidR="00000000" w:rsidDel="00000000" w:rsidP="00000000" w:rsidRDefault="00000000" w:rsidRPr="00000000" w14:paraId="0000047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 / (1+0.10)^1) = 0.9091</w:t>
            </w:r>
          </w:p>
        </w:tc>
      </w:tr>
      <w:tr>
        <w:trPr>
          <w:cantSplit w:val="0"/>
          <w:tblHeader w:val="0"/>
        </w:trPr>
        <w:tc>
          <w:tcPr/>
          <w:p w:rsidR="00000000" w:rsidDel="00000000" w:rsidP="00000000" w:rsidRDefault="00000000" w:rsidRPr="00000000" w14:paraId="00000473">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Year 2 Discount Factor</w:t>
            </w:r>
            <w:r w:rsidDel="00000000" w:rsidR="00000000" w:rsidRPr="00000000">
              <w:rPr>
                <w:rtl w:val="0"/>
              </w:rPr>
            </w:r>
          </w:p>
        </w:tc>
        <w:tc>
          <w:tcPr/>
          <w:p w:rsidR="00000000" w:rsidDel="00000000" w:rsidP="00000000" w:rsidRDefault="00000000" w:rsidRPr="00000000" w14:paraId="0000047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 / (1+0.10)^2) = 0.8264</w:t>
            </w:r>
          </w:p>
        </w:tc>
        <w:tc>
          <w:tcPr/>
          <w:p w:rsidR="00000000" w:rsidDel="00000000" w:rsidP="00000000" w:rsidRDefault="00000000" w:rsidRPr="00000000" w14:paraId="0000047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 / (1+0.10)^2) = 0.8264</w:t>
            </w:r>
          </w:p>
        </w:tc>
        <w:tc>
          <w:tcPr/>
          <w:p w:rsidR="00000000" w:rsidDel="00000000" w:rsidP="00000000" w:rsidRDefault="00000000" w:rsidRPr="00000000" w14:paraId="0000047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 / (1+0.10)^2) = 0.8264</w:t>
            </w:r>
          </w:p>
        </w:tc>
      </w:tr>
      <w:tr>
        <w:trPr>
          <w:cantSplit w:val="0"/>
          <w:tblHeader w:val="0"/>
        </w:trPr>
        <w:tc>
          <w:tcPr/>
          <w:p w:rsidR="00000000" w:rsidDel="00000000" w:rsidP="00000000" w:rsidRDefault="00000000" w:rsidRPr="00000000" w14:paraId="00000477">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Year 3 Discount Factor</w:t>
            </w:r>
            <w:r w:rsidDel="00000000" w:rsidR="00000000" w:rsidRPr="00000000">
              <w:rPr>
                <w:rtl w:val="0"/>
              </w:rPr>
            </w:r>
          </w:p>
        </w:tc>
        <w:tc>
          <w:tcPr/>
          <w:p w:rsidR="00000000" w:rsidDel="00000000" w:rsidP="00000000" w:rsidRDefault="00000000" w:rsidRPr="00000000" w14:paraId="0000047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 / (1+0.10)^3) = 0.7513</w:t>
            </w:r>
          </w:p>
        </w:tc>
        <w:tc>
          <w:tcPr/>
          <w:p w:rsidR="00000000" w:rsidDel="00000000" w:rsidP="00000000" w:rsidRDefault="00000000" w:rsidRPr="00000000" w14:paraId="0000047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 / (1+0.10)^3) = 0.7513</w:t>
            </w:r>
          </w:p>
        </w:tc>
        <w:tc>
          <w:tcPr/>
          <w:p w:rsidR="00000000" w:rsidDel="00000000" w:rsidP="00000000" w:rsidRDefault="00000000" w:rsidRPr="00000000" w14:paraId="0000047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 / (1+0.10)^3) = 0.7513</w:t>
            </w:r>
          </w:p>
        </w:tc>
      </w:tr>
      <w:tr>
        <w:trPr>
          <w:cantSplit w:val="0"/>
          <w:tblHeader w:val="0"/>
        </w:trPr>
        <w:tc>
          <w:tcPr/>
          <w:p w:rsidR="00000000" w:rsidDel="00000000" w:rsidP="00000000" w:rsidRDefault="00000000" w:rsidRPr="00000000" w14:paraId="0000047B">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Year 4 Discount Factor</w:t>
            </w:r>
            <w:r w:rsidDel="00000000" w:rsidR="00000000" w:rsidRPr="00000000">
              <w:rPr>
                <w:rtl w:val="0"/>
              </w:rPr>
            </w:r>
          </w:p>
        </w:tc>
        <w:tc>
          <w:tcPr/>
          <w:p w:rsidR="00000000" w:rsidDel="00000000" w:rsidP="00000000" w:rsidRDefault="00000000" w:rsidRPr="00000000" w14:paraId="0000047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 / (1+0.10)^4) = 0.6830</w:t>
            </w:r>
          </w:p>
        </w:tc>
        <w:tc>
          <w:tcPr/>
          <w:p w:rsidR="00000000" w:rsidDel="00000000" w:rsidP="00000000" w:rsidRDefault="00000000" w:rsidRPr="00000000" w14:paraId="0000047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 / (1+0.10)^4) = 0.6830</w:t>
            </w:r>
          </w:p>
        </w:tc>
        <w:tc>
          <w:tcPr/>
          <w:p w:rsidR="00000000" w:rsidDel="00000000" w:rsidP="00000000" w:rsidRDefault="00000000" w:rsidRPr="00000000" w14:paraId="0000047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 / (1+0.10)^4) = 0.6830</w:t>
            </w:r>
          </w:p>
        </w:tc>
      </w:tr>
      <w:tr>
        <w:trPr>
          <w:cantSplit w:val="0"/>
          <w:tblHeader w:val="0"/>
        </w:trPr>
        <w:tc>
          <w:tcPr/>
          <w:p w:rsidR="00000000" w:rsidDel="00000000" w:rsidP="00000000" w:rsidRDefault="00000000" w:rsidRPr="00000000" w14:paraId="0000047F">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Year 5 Discount Factor</w:t>
            </w:r>
            <w:r w:rsidDel="00000000" w:rsidR="00000000" w:rsidRPr="00000000">
              <w:rPr>
                <w:rtl w:val="0"/>
              </w:rPr>
            </w:r>
          </w:p>
        </w:tc>
        <w:tc>
          <w:tcPr/>
          <w:p w:rsidR="00000000" w:rsidDel="00000000" w:rsidP="00000000" w:rsidRDefault="00000000" w:rsidRPr="00000000" w14:paraId="0000048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 / (1+0.10)^5) = 0.6209</w:t>
            </w:r>
          </w:p>
        </w:tc>
        <w:tc>
          <w:tcPr/>
          <w:p w:rsidR="00000000" w:rsidDel="00000000" w:rsidP="00000000" w:rsidRDefault="00000000" w:rsidRPr="00000000" w14:paraId="0000048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 / (1+0.10)^5) = 0.6209</w:t>
            </w:r>
          </w:p>
        </w:tc>
        <w:tc>
          <w:tcPr/>
          <w:p w:rsidR="00000000" w:rsidDel="00000000" w:rsidP="00000000" w:rsidRDefault="00000000" w:rsidRPr="00000000" w14:paraId="0000048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 / (1+0.10)^5) = 0.6209</w:t>
            </w:r>
          </w:p>
        </w:tc>
      </w:tr>
      <w:tr>
        <w:trPr>
          <w:cantSplit w:val="0"/>
          <w:tblHeader w:val="0"/>
        </w:trPr>
        <w:tc>
          <w:tcPr/>
          <w:p w:rsidR="00000000" w:rsidDel="00000000" w:rsidP="00000000" w:rsidRDefault="00000000" w:rsidRPr="00000000" w14:paraId="00000483">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Year 1 Present Value of Cash Flow</w:t>
            </w:r>
            <w:r w:rsidDel="00000000" w:rsidR="00000000" w:rsidRPr="00000000">
              <w:rPr>
                <w:rtl w:val="0"/>
              </w:rPr>
            </w:r>
          </w:p>
        </w:tc>
        <w:tc>
          <w:tcPr/>
          <w:p w:rsidR="00000000" w:rsidDel="00000000" w:rsidP="00000000" w:rsidRDefault="00000000" w:rsidRPr="00000000" w14:paraId="0000048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£10m * 0.9091 = £9.09m</w:t>
            </w:r>
          </w:p>
        </w:tc>
        <w:tc>
          <w:tcPr/>
          <w:p w:rsidR="00000000" w:rsidDel="00000000" w:rsidP="00000000" w:rsidRDefault="00000000" w:rsidRPr="00000000" w14:paraId="0000048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£6m * 0.9091 = £5.45m</w:t>
            </w:r>
          </w:p>
        </w:tc>
        <w:tc>
          <w:tcPr/>
          <w:p w:rsidR="00000000" w:rsidDel="00000000" w:rsidP="00000000" w:rsidRDefault="00000000" w:rsidRPr="00000000" w14:paraId="0000048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£5m * 0.9091 = £4.55m</w:t>
            </w:r>
          </w:p>
        </w:tc>
      </w:tr>
      <w:tr>
        <w:trPr>
          <w:cantSplit w:val="0"/>
          <w:tblHeader w:val="0"/>
        </w:trPr>
        <w:tc>
          <w:tcPr/>
          <w:p w:rsidR="00000000" w:rsidDel="00000000" w:rsidP="00000000" w:rsidRDefault="00000000" w:rsidRPr="00000000" w14:paraId="00000487">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Year 2 Present Value of Cash Flow</w:t>
            </w:r>
            <w:r w:rsidDel="00000000" w:rsidR="00000000" w:rsidRPr="00000000">
              <w:rPr>
                <w:rtl w:val="0"/>
              </w:rPr>
            </w:r>
          </w:p>
        </w:tc>
        <w:tc>
          <w:tcPr/>
          <w:p w:rsidR="00000000" w:rsidDel="00000000" w:rsidP="00000000" w:rsidRDefault="00000000" w:rsidRPr="00000000" w14:paraId="0000048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£12m * 0.8264 = £9.92m</w:t>
            </w:r>
          </w:p>
        </w:tc>
        <w:tc>
          <w:tcPr/>
          <w:p w:rsidR="00000000" w:rsidDel="00000000" w:rsidP="00000000" w:rsidRDefault="00000000" w:rsidRPr="00000000" w14:paraId="0000048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£6m * 0.8264 = £4.96m</w:t>
            </w:r>
          </w:p>
        </w:tc>
        <w:tc>
          <w:tcPr/>
          <w:p w:rsidR="00000000" w:rsidDel="00000000" w:rsidP="00000000" w:rsidRDefault="00000000" w:rsidRPr="00000000" w14:paraId="0000048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£10m * 0.8264 = £8.26m</w:t>
            </w:r>
          </w:p>
        </w:tc>
      </w:tr>
      <w:tr>
        <w:trPr>
          <w:cantSplit w:val="0"/>
          <w:tblHeader w:val="0"/>
        </w:trPr>
        <w:tc>
          <w:tcPr/>
          <w:p w:rsidR="00000000" w:rsidDel="00000000" w:rsidP="00000000" w:rsidRDefault="00000000" w:rsidRPr="00000000" w14:paraId="0000048B">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Year 3 Present Value of Cash Flow</w:t>
            </w:r>
            <w:r w:rsidDel="00000000" w:rsidR="00000000" w:rsidRPr="00000000">
              <w:rPr>
                <w:rtl w:val="0"/>
              </w:rPr>
            </w:r>
          </w:p>
        </w:tc>
        <w:tc>
          <w:tcPr/>
          <w:p w:rsidR="00000000" w:rsidDel="00000000" w:rsidP="00000000" w:rsidRDefault="00000000" w:rsidRPr="00000000" w14:paraId="0000048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£14m * 0.7513 = £10.52m</w:t>
            </w:r>
          </w:p>
        </w:tc>
        <w:tc>
          <w:tcPr/>
          <w:p w:rsidR="00000000" w:rsidDel="00000000" w:rsidP="00000000" w:rsidRDefault="00000000" w:rsidRPr="00000000" w14:paraId="0000048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£6m * 0.7513 = £4.51m</w:t>
            </w:r>
          </w:p>
        </w:tc>
        <w:tc>
          <w:tcPr/>
          <w:p w:rsidR="00000000" w:rsidDel="00000000" w:rsidP="00000000" w:rsidRDefault="00000000" w:rsidRPr="00000000" w14:paraId="0000048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£20m * 0.7513 = £15.03m</w:t>
            </w:r>
          </w:p>
        </w:tc>
      </w:tr>
      <w:tr>
        <w:trPr>
          <w:cantSplit w:val="0"/>
          <w:tblHeader w:val="0"/>
        </w:trPr>
        <w:tc>
          <w:tcPr/>
          <w:p w:rsidR="00000000" w:rsidDel="00000000" w:rsidP="00000000" w:rsidRDefault="00000000" w:rsidRPr="00000000" w14:paraId="0000048F">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Year 4 Present Value of Cash Flow</w:t>
            </w:r>
            <w:r w:rsidDel="00000000" w:rsidR="00000000" w:rsidRPr="00000000">
              <w:rPr>
                <w:rtl w:val="0"/>
              </w:rPr>
            </w:r>
          </w:p>
        </w:tc>
        <w:tc>
          <w:tcPr/>
          <w:p w:rsidR="00000000" w:rsidDel="00000000" w:rsidP="00000000" w:rsidRDefault="00000000" w:rsidRPr="00000000" w14:paraId="0000049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£10m * 0.6830 = £6.83m</w:t>
            </w:r>
          </w:p>
        </w:tc>
        <w:tc>
          <w:tcPr/>
          <w:p w:rsidR="00000000" w:rsidDel="00000000" w:rsidP="00000000" w:rsidRDefault="00000000" w:rsidRPr="00000000" w14:paraId="0000049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£6m * 0.6830 = £4.10m</w:t>
            </w:r>
          </w:p>
        </w:tc>
        <w:tc>
          <w:tcPr/>
          <w:p w:rsidR="00000000" w:rsidDel="00000000" w:rsidP="00000000" w:rsidRDefault="00000000" w:rsidRPr="00000000" w14:paraId="0000049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£25m * 0.6830 = £17.08m</w:t>
            </w:r>
          </w:p>
        </w:tc>
      </w:tr>
      <w:tr>
        <w:trPr>
          <w:cantSplit w:val="0"/>
          <w:tblHeader w:val="0"/>
        </w:trPr>
        <w:tc>
          <w:tcPr/>
          <w:p w:rsidR="00000000" w:rsidDel="00000000" w:rsidP="00000000" w:rsidRDefault="00000000" w:rsidRPr="00000000" w14:paraId="00000493">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Year 5 Present Value of Cash Flow</w:t>
            </w:r>
            <w:r w:rsidDel="00000000" w:rsidR="00000000" w:rsidRPr="00000000">
              <w:rPr>
                <w:rtl w:val="0"/>
              </w:rPr>
            </w:r>
          </w:p>
        </w:tc>
        <w:tc>
          <w:tcPr/>
          <w:p w:rsidR="00000000" w:rsidDel="00000000" w:rsidP="00000000" w:rsidRDefault="00000000" w:rsidRPr="00000000" w14:paraId="0000049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£8m * 0.6209 = £4.97m</w:t>
            </w:r>
          </w:p>
        </w:tc>
        <w:tc>
          <w:tcPr/>
          <w:p w:rsidR="00000000" w:rsidDel="00000000" w:rsidP="00000000" w:rsidRDefault="00000000" w:rsidRPr="00000000" w14:paraId="0000049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£6m * 0.6209 = £3.73m</w:t>
            </w:r>
          </w:p>
        </w:tc>
        <w:tc>
          <w:tcPr/>
          <w:p w:rsidR="00000000" w:rsidDel="00000000" w:rsidP="00000000" w:rsidRDefault="00000000" w:rsidRPr="00000000" w14:paraId="0000049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£15m * 0.6209 = £9.31m</w:t>
            </w:r>
          </w:p>
        </w:tc>
      </w:tr>
      <w:tr>
        <w:trPr>
          <w:cantSplit w:val="0"/>
          <w:tblHeader w:val="0"/>
        </w:trPr>
        <w:tc>
          <w:tcPr/>
          <w:p w:rsidR="00000000" w:rsidDel="00000000" w:rsidP="00000000" w:rsidRDefault="00000000" w:rsidRPr="00000000" w14:paraId="00000497">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Total Present Value of Cash Flows</w:t>
            </w:r>
            <w:r w:rsidDel="00000000" w:rsidR="00000000" w:rsidRPr="00000000">
              <w:rPr>
                <w:rtl w:val="0"/>
              </w:rPr>
            </w:r>
          </w:p>
        </w:tc>
        <w:tc>
          <w:tcPr/>
          <w:p w:rsidR="00000000" w:rsidDel="00000000" w:rsidP="00000000" w:rsidRDefault="00000000" w:rsidRPr="00000000" w14:paraId="0000049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£9.09m + £9.92m + £10.52m + £6.83m + £4.97m = £41.32m</w:t>
            </w:r>
          </w:p>
        </w:tc>
        <w:tc>
          <w:tcPr/>
          <w:p w:rsidR="00000000" w:rsidDel="00000000" w:rsidP="00000000" w:rsidRDefault="00000000" w:rsidRPr="00000000" w14:paraId="0000049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£5.45m + £4.96m + £4.51m + £4.10m + £3.73m = £22.75m</w:t>
            </w:r>
          </w:p>
        </w:tc>
        <w:tc>
          <w:tcPr/>
          <w:p w:rsidR="00000000" w:rsidDel="00000000" w:rsidP="00000000" w:rsidRDefault="00000000" w:rsidRPr="00000000" w14:paraId="0000049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£4.55m + £8.26m + £15.03m + £17.08m + £9.31m = £54.23m</w:t>
            </w:r>
          </w:p>
        </w:tc>
      </w:tr>
      <w:tr>
        <w:trPr>
          <w:cantSplit w:val="0"/>
          <w:tblHeader w:val="0"/>
        </w:trPr>
        <w:tc>
          <w:tcPr/>
          <w:p w:rsidR="00000000" w:rsidDel="00000000" w:rsidP="00000000" w:rsidRDefault="00000000" w:rsidRPr="00000000" w14:paraId="0000049B">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Initial Investment</w:t>
            </w:r>
            <w:r w:rsidDel="00000000" w:rsidR="00000000" w:rsidRPr="00000000">
              <w:rPr>
                <w:rtl w:val="0"/>
              </w:rPr>
            </w:r>
          </w:p>
        </w:tc>
        <w:tc>
          <w:tcPr/>
          <w:p w:rsidR="00000000" w:rsidDel="00000000" w:rsidP="00000000" w:rsidRDefault="00000000" w:rsidRPr="00000000" w14:paraId="0000049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£40m</w:t>
            </w:r>
          </w:p>
        </w:tc>
        <w:tc>
          <w:tcPr/>
          <w:p w:rsidR="00000000" w:rsidDel="00000000" w:rsidP="00000000" w:rsidRDefault="00000000" w:rsidRPr="00000000" w14:paraId="0000049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£30m</w:t>
            </w:r>
          </w:p>
        </w:tc>
        <w:tc>
          <w:tcPr/>
          <w:p w:rsidR="00000000" w:rsidDel="00000000" w:rsidP="00000000" w:rsidRDefault="00000000" w:rsidRPr="00000000" w14:paraId="0000049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£50m</w:t>
            </w:r>
          </w:p>
        </w:tc>
      </w:tr>
      <w:tr>
        <w:trPr>
          <w:cantSplit w:val="0"/>
          <w:tblHeader w:val="0"/>
        </w:trPr>
        <w:tc>
          <w:tcPr/>
          <w:p w:rsidR="00000000" w:rsidDel="00000000" w:rsidP="00000000" w:rsidRDefault="00000000" w:rsidRPr="00000000" w14:paraId="0000049F">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NPV</w:t>
            </w:r>
            <w:r w:rsidDel="00000000" w:rsidR="00000000" w:rsidRPr="00000000">
              <w:rPr>
                <w:rtl w:val="0"/>
              </w:rPr>
            </w:r>
          </w:p>
        </w:tc>
        <w:tc>
          <w:tcPr/>
          <w:p w:rsidR="00000000" w:rsidDel="00000000" w:rsidP="00000000" w:rsidRDefault="00000000" w:rsidRPr="00000000" w14:paraId="000004A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£41.32m - £40m = £1.32m</w:t>
            </w:r>
          </w:p>
        </w:tc>
        <w:tc>
          <w:tcPr/>
          <w:p w:rsidR="00000000" w:rsidDel="00000000" w:rsidP="00000000" w:rsidRDefault="00000000" w:rsidRPr="00000000" w14:paraId="000004A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£22.75m - £30m = -£7.25m</w:t>
            </w:r>
          </w:p>
        </w:tc>
        <w:tc>
          <w:tcPr/>
          <w:p w:rsidR="00000000" w:rsidDel="00000000" w:rsidP="00000000" w:rsidRDefault="00000000" w:rsidRPr="00000000" w14:paraId="000004A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£54.23m - £50m = £4.23m</w:t>
            </w:r>
          </w:p>
        </w:tc>
      </w:tr>
    </w:tbl>
    <w:p w:rsidR="00000000" w:rsidDel="00000000" w:rsidP="00000000" w:rsidRDefault="00000000" w:rsidRPr="00000000" w14:paraId="000004A3">
      <w:pPr>
        <w:rPr/>
      </w:pPr>
      <w:r w:rsidDel="00000000" w:rsidR="00000000" w:rsidRPr="00000000">
        <w:rPr>
          <w:rtl w:val="0"/>
        </w:rPr>
      </w:r>
    </w:p>
    <w:p w:rsidR="00000000" w:rsidDel="00000000" w:rsidP="00000000" w:rsidRDefault="00000000" w:rsidRPr="00000000" w14:paraId="000004A4">
      <w:pPr>
        <w:pStyle w:val="Heading2"/>
        <w:rPr/>
      </w:pPr>
      <w:bookmarkStart w:colFirst="0" w:colLast="0" w:name="_heading=h.wiq36slcjuxt" w:id="43"/>
      <w:bookmarkEnd w:id="43"/>
      <w:r w:rsidDel="00000000" w:rsidR="00000000" w:rsidRPr="00000000">
        <w:rPr>
          <w:rtl w:val="0"/>
        </w:rPr>
        <w:t xml:space="preserve">Appendix 3.3 Profitability Index</w:t>
      </w:r>
    </w:p>
    <w:tbl>
      <w:tblPr>
        <w:tblStyle w:val="Table36"/>
        <w:tblW w:w="9026.0" w:type="dxa"/>
        <w:jc w:val="left"/>
        <w:tblBorders>
          <w:top w:color="95b3d7" w:space="0" w:sz="4" w:val="single"/>
          <w:left w:color="95b3d7" w:space="0" w:sz="4" w:val="single"/>
          <w:bottom w:color="95b3d7" w:space="0" w:sz="4" w:val="single"/>
          <w:right w:color="95b3d7" w:space="0" w:sz="4" w:val="single"/>
          <w:insideH w:color="95b3d7" w:space="0" w:sz="4" w:val="single"/>
          <w:insideV w:color="95b3d7" w:space="0" w:sz="4" w:val="single"/>
        </w:tblBorders>
        <w:tblLayout w:type="fixed"/>
        <w:tblLook w:val="04A0"/>
      </w:tblPr>
      <w:tblGrid>
        <w:gridCol w:w="2000"/>
        <w:gridCol w:w="2342"/>
        <w:gridCol w:w="2319"/>
        <w:gridCol w:w="2365"/>
        <w:tblGridChange w:id="0">
          <w:tblGrid>
            <w:gridCol w:w="2000"/>
            <w:gridCol w:w="2342"/>
            <w:gridCol w:w="2319"/>
            <w:gridCol w:w="2365"/>
          </w:tblGrid>
        </w:tblGridChange>
      </w:tblGrid>
      <w:tr>
        <w:trPr>
          <w:cantSplit w:val="0"/>
          <w:tblHeader w:val="0"/>
        </w:trPr>
        <w:tc>
          <w:tcPr/>
          <w:p w:rsidR="00000000" w:rsidDel="00000000" w:rsidP="00000000" w:rsidRDefault="00000000" w:rsidRPr="00000000" w14:paraId="000004A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Component</w:t>
            </w:r>
          </w:p>
        </w:tc>
        <w:tc>
          <w:tcPr/>
          <w:p w:rsidR="00000000" w:rsidDel="00000000" w:rsidP="00000000" w:rsidRDefault="00000000" w:rsidRPr="00000000" w14:paraId="000004A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Project A</w:t>
            </w:r>
          </w:p>
        </w:tc>
        <w:tc>
          <w:tcPr/>
          <w:p w:rsidR="00000000" w:rsidDel="00000000" w:rsidP="00000000" w:rsidRDefault="00000000" w:rsidRPr="00000000" w14:paraId="000004A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Project B</w:t>
            </w:r>
          </w:p>
        </w:tc>
        <w:tc>
          <w:tcPr/>
          <w:p w:rsidR="00000000" w:rsidDel="00000000" w:rsidP="00000000" w:rsidRDefault="00000000" w:rsidRPr="00000000" w14:paraId="000004A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Project C</w:t>
            </w:r>
          </w:p>
        </w:tc>
      </w:tr>
      <w:tr>
        <w:trPr>
          <w:cantSplit w:val="0"/>
          <w:tblHeader w:val="0"/>
        </w:trPr>
        <w:tc>
          <w:tcPr/>
          <w:p w:rsidR="00000000" w:rsidDel="00000000" w:rsidP="00000000" w:rsidRDefault="00000000" w:rsidRPr="00000000" w14:paraId="000004A9">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Initial Investment (£m)</w:t>
            </w:r>
            <w:r w:rsidDel="00000000" w:rsidR="00000000" w:rsidRPr="00000000">
              <w:rPr>
                <w:rtl w:val="0"/>
              </w:rPr>
            </w:r>
          </w:p>
        </w:tc>
        <w:tc>
          <w:tcPr/>
          <w:p w:rsidR="00000000" w:rsidDel="00000000" w:rsidP="00000000" w:rsidRDefault="00000000" w:rsidRPr="00000000" w14:paraId="000004A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£40m</w:t>
            </w:r>
          </w:p>
        </w:tc>
        <w:tc>
          <w:tcPr/>
          <w:p w:rsidR="00000000" w:rsidDel="00000000" w:rsidP="00000000" w:rsidRDefault="00000000" w:rsidRPr="00000000" w14:paraId="000004A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£30m</w:t>
            </w:r>
          </w:p>
        </w:tc>
        <w:tc>
          <w:tcPr/>
          <w:p w:rsidR="00000000" w:rsidDel="00000000" w:rsidP="00000000" w:rsidRDefault="00000000" w:rsidRPr="00000000" w14:paraId="000004A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£50m</w:t>
            </w:r>
          </w:p>
        </w:tc>
      </w:tr>
      <w:tr>
        <w:trPr>
          <w:cantSplit w:val="0"/>
          <w:tblHeader w:val="0"/>
        </w:trPr>
        <w:tc>
          <w:tcPr/>
          <w:p w:rsidR="00000000" w:rsidDel="00000000" w:rsidP="00000000" w:rsidRDefault="00000000" w:rsidRPr="00000000" w14:paraId="000004AD">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Year 1 Cash Inflows (£m)</w:t>
            </w:r>
            <w:r w:rsidDel="00000000" w:rsidR="00000000" w:rsidRPr="00000000">
              <w:rPr>
                <w:rtl w:val="0"/>
              </w:rPr>
            </w:r>
          </w:p>
        </w:tc>
        <w:tc>
          <w:tcPr/>
          <w:p w:rsidR="00000000" w:rsidDel="00000000" w:rsidP="00000000" w:rsidRDefault="00000000" w:rsidRPr="00000000" w14:paraId="000004A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£10m</w:t>
            </w:r>
          </w:p>
        </w:tc>
        <w:tc>
          <w:tcPr/>
          <w:p w:rsidR="00000000" w:rsidDel="00000000" w:rsidP="00000000" w:rsidRDefault="00000000" w:rsidRPr="00000000" w14:paraId="000004A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£6m</w:t>
            </w:r>
          </w:p>
        </w:tc>
        <w:tc>
          <w:tcPr/>
          <w:p w:rsidR="00000000" w:rsidDel="00000000" w:rsidP="00000000" w:rsidRDefault="00000000" w:rsidRPr="00000000" w14:paraId="000004B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£5m</w:t>
            </w:r>
          </w:p>
        </w:tc>
      </w:tr>
      <w:tr>
        <w:trPr>
          <w:cantSplit w:val="0"/>
          <w:tblHeader w:val="0"/>
        </w:trPr>
        <w:tc>
          <w:tcPr/>
          <w:p w:rsidR="00000000" w:rsidDel="00000000" w:rsidP="00000000" w:rsidRDefault="00000000" w:rsidRPr="00000000" w14:paraId="000004B1">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Year 2 Cash Inflows (£m)</w:t>
            </w:r>
            <w:r w:rsidDel="00000000" w:rsidR="00000000" w:rsidRPr="00000000">
              <w:rPr>
                <w:rtl w:val="0"/>
              </w:rPr>
            </w:r>
          </w:p>
        </w:tc>
        <w:tc>
          <w:tcPr/>
          <w:p w:rsidR="00000000" w:rsidDel="00000000" w:rsidP="00000000" w:rsidRDefault="00000000" w:rsidRPr="00000000" w14:paraId="000004B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£12m</w:t>
            </w:r>
          </w:p>
        </w:tc>
        <w:tc>
          <w:tcPr/>
          <w:p w:rsidR="00000000" w:rsidDel="00000000" w:rsidP="00000000" w:rsidRDefault="00000000" w:rsidRPr="00000000" w14:paraId="000004B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£6m</w:t>
            </w:r>
          </w:p>
        </w:tc>
        <w:tc>
          <w:tcPr/>
          <w:p w:rsidR="00000000" w:rsidDel="00000000" w:rsidP="00000000" w:rsidRDefault="00000000" w:rsidRPr="00000000" w14:paraId="000004B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£10m</w:t>
            </w:r>
          </w:p>
        </w:tc>
      </w:tr>
      <w:tr>
        <w:trPr>
          <w:cantSplit w:val="0"/>
          <w:tblHeader w:val="0"/>
        </w:trPr>
        <w:tc>
          <w:tcPr/>
          <w:p w:rsidR="00000000" w:rsidDel="00000000" w:rsidP="00000000" w:rsidRDefault="00000000" w:rsidRPr="00000000" w14:paraId="000004B5">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Year 3 Cash Inflows (£m)</w:t>
            </w:r>
            <w:r w:rsidDel="00000000" w:rsidR="00000000" w:rsidRPr="00000000">
              <w:rPr>
                <w:rtl w:val="0"/>
              </w:rPr>
            </w:r>
          </w:p>
        </w:tc>
        <w:tc>
          <w:tcPr/>
          <w:p w:rsidR="00000000" w:rsidDel="00000000" w:rsidP="00000000" w:rsidRDefault="00000000" w:rsidRPr="00000000" w14:paraId="000004B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£14m</w:t>
            </w:r>
          </w:p>
        </w:tc>
        <w:tc>
          <w:tcPr/>
          <w:p w:rsidR="00000000" w:rsidDel="00000000" w:rsidP="00000000" w:rsidRDefault="00000000" w:rsidRPr="00000000" w14:paraId="000004B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£6m</w:t>
            </w:r>
          </w:p>
        </w:tc>
        <w:tc>
          <w:tcPr/>
          <w:p w:rsidR="00000000" w:rsidDel="00000000" w:rsidP="00000000" w:rsidRDefault="00000000" w:rsidRPr="00000000" w14:paraId="000004B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£20m</w:t>
            </w:r>
          </w:p>
        </w:tc>
      </w:tr>
      <w:tr>
        <w:trPr>
          <w:cantSplit w:val="0"/>
          <w:tblHeader w:val="0"/>
        </w:trPr>
        <w:tc>
          <w:tcPr/>
          <w:p w:rsidR="00000000" w:rsidDel="00000000" w:rsidP="00000000" w:rsidRDefault="00000000" w:rsidRPr="00000000" w14:paraId="000004B9">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Year 4 Cash Inflows (£m)</w:t>
            </w:r>
            <w:r w:rsidDel="00000000" w:rsidR="00000000" w:rsidRPr="00000000">
              <w:rPr>
                <w:rtl w:val="0"/>
              </w:rPr>
            </w:r>
          </w:p>
        </w:tc>
        <w:tc>
          <w:tcPr/>
          <w:p w:rsidR="00000000" w:rsidDel="00000000" w:rsidP="00000000" w:rsidRDefault="00000000" w:rsidRPr="00000000" w14:paraId="000004B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£10m</w:t>
            </w:r>
          </w:p>
        </w:tc>
        <w:tc>
          <w:tcPr/>
          <w:p w:rsidR="00000000" w:rsidDel="00000000" w:rsidP="00000000" w:rsidRDefault="00000000" w:rsidRPr="00000000" w14:paraId="000004B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£6m</w:t>
            </w:r>
          </w:p>
        </w:tc>
        <w:tc>
          <w:tcPr/>
          <w:p w:rsidR="00000000" w:rsidDel="00000000" w:rsidP="00000000" w:rsidRDefault="00000000" w:rsidRPr="00000000" w14:paraId="000004B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£25m</w:t>
            </w:r>
          </w:p>
        </w:tc>
      </w:tr>
      <w:tr>
        <w:trPr>
          <w:cantSplit w:val="0"/>
          <w:tblHeader w:val="0"/>
        </w:trPr>
        <w:tc>
          <w:tcPr/>
          <w:p w:rsidR="00000000" w:rsidDel="00000000" w:rsidP="00000000" w:rsidRDefault="00000000" w:rsidRPr="00000000" w14:paraId="000004BD">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Year 5 Cash Inflows (£m)</w:t>
            </w:r>
            <w:r w:rsidDel="00000000" w:rsidR="00000000" w:rsidRPr="00000000">
              <w:rPr>
                <w:rtl w:val="0"/>
              </w:rPr>
            </w:r>
          </w:p>
        </w:tc>
        <w:tc>
          <w:tcPr/>
          <w:p w:rsidR="00000000" w:rsidDel="00000000" w:rsidP="00000000" w:rsidRDefault="00000000" w:rsidRPr="00000000" w14:paraId="000004B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£8m</w:t>
            </w:r>
          </w:p>
        </w:tc>
        <w:tc>
          <w:tcPr/>
          <w:p w:rsidR="00000000" w:rsidDel="00000000" w:rsidP="00000000" w:rsidRDefault="00000000" w:rsidRPr="00000000" w14:paraId="000004B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£6m</w:t>
            </w:r>
          </w:p>
        </w:tc>
        <w:tc>
          <w:tcPr/>
          <w:p w:rsidR="00000000" w:rsidDel="00000000" w:rsidP="00000000" w:rsidRDefault="00000000" w:rsidRPr="00000000" w14:paraId="000004C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£15m</w:t>
            </w:r>
          </w:p>
        </w:tc>
      </w:tr>
      <w:tr>
        <w:trPr>
          <w:cantSplit w:val="0"/>
          <w:tblHeader w:val="0"/>
        </w:trPr>
        <w:tc>
          <w:tcPr/>
          <w:p w:rsidR="00000000" w:rsidDel="00000000" w:rsidP="00000000" w:rsidRDefault="00000000" w:rsidRPr="00000000" w14:paraId="000004C1">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Total Cash Inflows (£m)</w:t>
            </w:r>
            <w:r w:rsidDel="00000000" w:rsidR="00000000" w:rsidRPr="00000000">
              <w:rPr>
                <w:rtl w:val="0"/>
              </w:rPr>
            </w:r>
          </w:p>
        </w:tc>
        <w:tc>
          <w:tcPr/>
          <w:p w:rsidR="00000000" w:rsidDel="00000000" w:rsidP="00000000" w:rsidRDefault="00000000" w:rsidRPr="00000000" w14:paraId="000004C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£54m</w:t>
            </w:r>
          </w:p>
        </w:tc>
        <w:tc>
          <w:tcPr/>
          <w:p w:rsidR="00000000" w:rsidDel="00000000" w:rsidP="00000000" w:rsidRDefault="00000000" w:rsidRPr="00000000" w14:paraId="000004C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£30m</w:t>
            </w:r>
          </w:p>
        </w:tc>
        <w:tc>
          <w:tcPr/>
          <w:p w:rsidR="00000000" w:rsidDel="00000000" w:rsidP="00000000" w:rsidRDefault="00000000" w:rsidRPr="00000000" w14:paraId="000004C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£75m</w:t>
            </w:r>
          </w:p>
        </w:tc>
      </w:tr>
      <w:tr>
        <w:trPr>
          <w:cantSplit w:val="0"/>
          <w:tblHeader w:val="0"/>
        </w:trPr>
        <w:tc>
          <w:tcPr/>
          <w:p w:rsidR="00000000" w:rsidDel="00000000" w:rsidP="00000000" w:rsidRDefault="00000000" w:rsidRPr="00000000" w14:paraId="000004C5">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Discount Rate</w:t>
            </w:r>
            <w:r w:rsidDel="00000000" w:rsidR="00000000" w:rsidRPr="00000000">
              <w:rPr>
                <w:rtl w:val="0"/>
              </w:rPr>
            </w:r>
          </w:p>
        </w:tc>
        <w:tc>
          <w:tcPr/>
          <w:p w:rsidR="00000000" w:rsidDel="00000000" w:rsidP="00000000" w:rsidRDefault="00000000" w:rsidRPr="00000000" w14:paraId="000004C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10%</w:t>
            </w:r>
          </w:p>
        </w:tc>
        <w:tc>
          <w:tcPr/>
          <w:p w:rsidR="00000000" w:rsidDel="00000000" w:rsidP="00000000" w:rsidRDefault="00000000" w:rsidRPr="00000000" w14:paraId="000004C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10%</w:t>
            </w:r>
          </w:p>
        </w:tc>
        <w:tc>
          <w:tcPr/>
          <w:p w:rsidR="00000000" w:rsidDel="00000000" w:rsidP="00000000" w:rsidRDefault="00000000" w:rsidRPr="00000000" w14:paraId="000004C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10%</w:t>
            </w:r>
          </w:p>
        </w:tc>
      </w:tr>
      <w:tr>
        <w:trPr>
          <w:cantSplit w:val="0"/>
          <w:tblHeader w:val="0"/>
        </w:trPr>
        <w:tc>
          <w:tcPr/>
          <w:p w:rsidR="00000000" w:rsidDel="00000000" w:rsidP="00000000" w:rsidRDefault="00000000" w:rsidRPr="00000000" w14:paraId="000004C9">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Year 1 Discount Factor</w:t>
            </w:r>
            <w:r w:rsidDel="00000000" w:rsidR="00000000" w:rsidRPr="00000000">
              <w:rPr>
                <w:rtl w:val="0"/>
              </w:rPr>
            </w:r>
          </w:p>
        </w:tc>
        <w:tc>
          <w:tcPr/>
          <w:p w:rsidR="00000000" w:rsidDel="00000000" w:rsidP="00000000" w:rsidRDefault="00000000" w:rsidRPr="00000000" w14:paraId="000004C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 / (1+0.10)^1) = 0.9091</w:t>
            </w:r>
          </w:p>
        </w:tc>
        <w:tc>
          <w:tcPr/>
          <w:p w:rsidR="00000000" w:rsidDel="00000000" w:rsidP="00000000" w:rsidRDefault="00000000" w:rsidRPr="00000000" w14:paraId="000004C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 / (1+0.10)^1) = 0.9091</w:t>
            </w:r>
          </w:p>
        </w:tc>
        <w:tc>
          <w:tcPr/>
          <w:p w:rsidR="00000000" w:rsidDel="00000000" w:rsidP="00000000" w:rsidRDefault="00000000" w:rsidRPr="00000000" w14:paraId="000004C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 / (1+0.10)^1) = 0.9091</w:t>
            </w:r>
          </w:p>
        </w:tc>
      </w:tr>
      <w:tr>
        <w:trPr>
          <w:cantSplit w:val="0"/>
          <w:tblHeader w:val="0"/>
        </w:trPr>
        <w:tc>
          <w:tcPr/>
          <w:p w:rsidR="00000000" w:rsidDel="00000000" w:rsidP="00000000" w:rsidRDefault="00000000" w:rsidRPr="00000000" w14:paraId="000004CD">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Year 2 Discount Factor</w:t>
            </w:r>
            <w:r w:rsidDel="00000000" w:rsidR="00000000" w:rsidRPr="00000000">
              <w:rPr>
                <w:rtl w:val="0"/>
              </w:rPr>
            </w:r>
          </w:p>
        </w:tc>
        <w:tc>
          <w:tcPr/>
          <w:p w:rsidR="00000000" w:rsidDel="00000000" w:rsidP="00000000" w:rsidRDefault="00000000" w:rsidRPr="00000000" w14:paraId="000004C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 / (1+0.10)^2) = 0.8264</w:t>
            </w:r>
          </w:p>
        </w:tc>
        <w:tc>
          <w:tcPr/>
          <w:p w:rsidR="00000000" w:rsidDel="00000000" w:rsidP="00000000" w:rsidRDefault="00000000" w:rsidRPr="00000000" w14:paraId="000004C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 / (1+0.10)^2) = 0.8264</w:t>
            </w:r>
          </w:p>
        </w:tc>
        <w:tc>
          <w:tcPr/>
          <w:p w:rsidR="00000000" w:rsidDel="00000000" w:rsidP="00000000" w:rsidRDefault="00000000" w:rsidRPr="00000000" w14:paraId="000004D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 / (1+0.10)^2) = 0.8264</w:t>
            </w:r>
          </w:p>
        </w:tc>
      </w:tr>
      <w:tr>
        <w:trPr>
          <w:cantSplit w:val="0"/>
          <w:tblHeader w:val="0"/>
        </w:trPr>
        <w:tc>
          <w:tcPr/>
          <w:p w:rsidR="00000000" w:rsidDel="00000000" w:rsidP="00000000" w:rsidRDefault="00000000" w:rsidRPr="00000000" w14:paraId="000004D1">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Year 3 Discount Factor</w:t>
            </w:r>
            <w:r w:rsidDel="00000000" w:rsidR="00000000" w:rsidRPr="00000000">
              <w:rPr>
                <w:rtl w:val="0"/>
              </w:rPr>
            </w:r>
          </w:p>
        </w:tc>
        <w:tc>
          <w:tcPr/>
          <w:p w:rsidR="00000000" w:rsidDel="00000000" w:rsidP="00000000" w:rsidRDefault="00000000" w:rsidRPr="00000000" w14:paraId="000004D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 / (1+0.10)^3) = 0.7513</w:t>
            </w:r>
          </w:p>
        </w:tc>
        <w:tc>
          <w:tcPr/>
          <w:p w:rsidR="00000000" w:rsidDel="00000000" w:rsidP="00000000" w:rsidRDefault="00000000" w:rsidRPr="00000000" w14:paraId="000004D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 / (1+0.10)^3) = 0.7513</w:t>
            </w:r>
          </w:p>
        </w:tc>
        <w:tc>
          <w:tcPr/>
          <w:p w:rsidR="00000000" w:rsidDel="00000000" w:rsidP="00000000" w:rsidRDefault="00000000" w:rsidRPr="00000000" w14:paraId="000004D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 / (1+0.10)^3) = 0.7513</w:t>
            </w:r>
          </w:p>
        </w:tc>
      </w:tr>
      <w:tr>
        <w:trPr>
          <w:cantSplit w:val="0"/>
          <w:tblHeader w:val="0"/>
        </w:trPr>
        <w:tc>
          <w:tcPr/>
          <w:p w:rsidR="00000000" w:rsidDel="00000000" w:rsidP="00000000" w:rsidRDefault="00000000" w:rsidRPr="00000000" w14:paraId="000004D5">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Year 4 Discount Factor</w:t>
            </w:r>
            <w:r w:rsidDel="00000000" w:rsidR="00000000" w:rsidRPr="00000000">
              <w:rPr>
                <w:rtl w:val="0"/>
              </w:rPr>
            </w:r>
          </w:p>
        </w:tc>
        <w:tc>
          <w:tcPr/>
          <w:p w:rsidR="00000000" w:rsidDel="00000000" w:rsidP="00000000" w:rsidRDefault="00000000" w:rsidRPr="00000000" w14:paraId="000004D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 / (1+0.10)^4) = 0.6830</w:t>
            </w:r>
          </w:p>
        </w:tc>
        <w:tc>
          <w:tcPr/>
          <w:p w:rsidR="00000000" w:rsidDel="00000000" w:rsidP="00000000" w:rsidRDefault="00000000" w:rsidRPr="00000000" w14:paraId="000004D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 / (1+0.10)^4) = 0.6830</w:t>
            </w:r>
          </w:p>
        </w:tc>
        <w:tc>
          <w:tcPr/>
          <w:p w:rsidR="00000000" w:rsidDel="00000000" w:rsidP="00000000" w:rsidRDefault="00000000" w:rsidRPr="00000000" w14:paraId="000004D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 / (1+0.10)^4) = 0.6830</w:t>
            </w:r>
          </w:p>
        </w:tc>
      </w:tr>
      <w:tr>
        <w:trPr>
          <w:cantSplit w:val="0"/>
          <w:tblHeader w:val="0"/>
        </w:trPr>
        <w:tc>
          <w:tcPr/>
          <w:p w:rsidR="00000000" w:rsidDel="00000000" w:rsidP="00000000" w:rsidRDefault="00000000" w:rsidRPr="00000000" w14:paraId="000004D9">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Year 5 Discount Factor</w:t>
            </w:r>
            <w:r w:rsidDel="00000000" w:rsidR="00000000" w:rsidRPr="00000000">
              <w:rPr>
                <w:rtl w:val="0"/>
              </w:rPr>
            </w:r>
          </w:p>
        </w:tc>
        <w:tc>
          <w:tcPr/>
          <w:p w:rsidR="00000000" w:rsidDel="00000000" w:rsidP="00000000" w:rsidRDefault="00000000" w:rsidRPr="00000000" w14:paraId="000004D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 / (1+0.10)^5) = 0.6209</w:t>
            </w:r>
          </w:p>
        </w:tc>
        <w:tc>
          <w:tcPr/>
          <w:p w:rsidR="00000000" w:rsidDel="00000000" w:rsidP="00000000" w:rsidRDefault="00000000" w:rsidRPr="00000000" w14:paraId="000004D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 / (1+0.10)^5) = 0.6209</w:t>
            </w:r>
          </w:p>
        </w:tc>
        <w:tc>
          <w:tcPr/>
          <w:p w:rsidR="00000000" w:rsidDel="00000000" w:rsidP="00000000" w:rsidRDefault="00000000" w:rsidRPr="00000000" w14:paraId="000004D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 / (1+0.10)^5) = 0.6209</w:t>
            </w:r>
          </w:p>
        </w:tc>
      </w:tr>
      <w:tr>
        <w:trPr>
          <w:cantSplit w:val="0"/>
          <w:tblHeader w:val="0"/>
        </w:trPr>
        <w:tc>
          <w:tcPr/>
          <w:p w:rsidR="00000000" w:rsidDel="00000000" w:rsidP="00000000" w:rsidRDefault="00000000" w:rsidRPr="00000000" w14:paraId="000004DD">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Year 1 Present Value of Cash Flow</w:t>
            </w:r>
            <w:r w:rsidDel="00000000" w:rsidR="00000000" w:rsidRPr="00000000">
              <w:rPr>
                <w:rtl w:val="0"/>
              </w:rPr>
            </w:r>
          </w:p>
        </w:tc>
        <w:tc>
          <w:tcPr/>
          <w:p w:rsidR="00000000" w:rsidDel="00000000" w:rsidP="00000000" w:rsidRDefault="00000000" w:rsidRPr="00000000" w14:paraId="000004D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£10m * 0.9091 = £9.09m</w:t>
            </w:r>
          </w:p>
        </w:tc>
        <w:tc>
          <w:tcPr/>
          <w:p w:rsidR="00000000" w:rsidDel="00000000" w:rsidP="00000000" w:rsidRDefault="00000000" w:rsidRPr="00000000" w14:paraId="000004D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£6m * 0.9091 = £5.45m</w:t>
            </w:r>
          </w:p>
        </w:tc>
        <w:tc>
          <w:tcPr/>
          <w:p w:rsidR="00000000" w:rsidDel="00000000" w:rsidP="00000000" w:rsidRDefault="00000000" w:rsidRPr="00000000" w14:paraId="000004E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£5m * 0.9091 = £4.55m</w:t>
            </w:r>
          </w:p>
        </w:tc>
      </w:tr>
      <w:tr>
        <w:trPr>
          <w:cantSplit w:val="0"/>
          <w:tblHeader w:val="0"/>
        </w:trPr>
        <w:tc>
          <w:tcPr/>
          <w:p w:rsidR="00000000" w:rsidDel="00000000" w:rsidP="00000000" w:rsidRDefault="00000000" w:rsidRPr="00000000" w14:paraId="000004E1">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Year 2 Present Value of Cash Flow</w:t>
            </w:r>
            <w:r w:rsidDel="00000000" w:rsidR="00000000" w:rsidRPr="00000000">
              <w:rPr>
                <w:rtl w:val="0"/>
              </w:rPr>
            </w:r>
          </w:p>
        </w:tc>
        <w:tc>
          <w:tcPr/>
          <w:p w:rsidR="00000000" w:rsidDel="00000000" w:rsidP="00000000" w:rsidRDefault="00000000" w:rsidRPr="00000000" w14:paraId="000004E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£12m * 0.8264 = £9.92m</w:t>
            </w:r>
          </w:p>
        </w:tc>
        <w:tc>
          <w:tcPr/>
          <w:p w:rsidR="00000000" w:rsidDel="00000000" w:rsidP="00000000" w:rsidRDefault="00000000" w:rsidRPr="00000000" w14:paraId="000004E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£6m * 0.8264 = £4.96m</w:t>
            </w:r>
          </w:p>
        </w:tc>
        <w:tc>
          <w:tcPr/>
          <w:p w:rsidR="00000000" w:rsidDel="00000000" w:rsidP="00000000" w:rsidRDefault="00000000" w:rsidRPr="00000000" w14:paraId="000004E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£10m * 0.8264 = £8.26m</w:t>
            </w:r>
          </w:p>
        </w:tc>
      </w:tr>
      <w:tr>
        <w:trPr>
          <w:cantSplit w:val="0"/>
          <w:tblHeader w:val="0"/>
        </w:trPr>
        <w:tc>
          <w:tcPr/>
          <w:p w:rsidR="00000000" w:rsidDel="00000000" w:rsidP="00000000" w:rsidRDefault="00000000" w:rsidRPr="00000000" w14:paraId="000004E5">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Year 3 Present Value of Cash Flow</w:t>
            </w:r>
            <w:r w:rsidDel="00000000" w:rsidR="00000000" w:rsidRPr="00000000">
              <w:rPr>
                <w:rtl w:val="0"/>
              </w:rPr>
            </w:r>
          </w:p>
        </w:tc>
        <w:tc>
          <w:tcPr/>
          <w:p w:rsidR="00000000" w:rsidDel="00000000" w:rsidP="00000000" w:rsidRDefault="00000000" w:rsidRPr="00000000" w14:paraId="000004E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£14m * 0.7513 = £10.52m</w:t>
            </w:r>
          </w:p>
        </w:tc>
        <w:tc>
          <w:tcPr/>
          <w:p w:rsidR="00000000" w:rsidDel="00000000" w:rsidP="00000000" w:rsidRDefault="00000000" w:rsidRPr="00000000" w14:paraId="000004E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£6m * 0.7513 = £4.51m</w:t>
            </w:r>
          </w:p>
        </w:tc>
        <w:tc>
          <w:tcPr/>
          <w:p w:rsidR="00000000" w:rsidDel="00000000" w:rsidP="00000000" w:rsidRDefault="00000000" w:rsidRPr="00000000" w14:paraId="000004E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£20m * 0.7513 = £15.03m</w:t>
            </w:r>
          </w:p>
        </w:tc>
      </w:tr>
      <w:tr>
        <w:trPr>
          <w:cantSplit w:val="0"/>
          <w:tblHeader w:val="0"/>
        </w:trPr>
        <w:tc>
          <w:tcPr/>
          <w:p w:rsidR="00000000" w:rsidDel="00000000" w:rsidP="00000000" w:rsidRDefault="00000000" w:rsidRPr="00000000" w14:paraId="000004E9">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Year 4 Present Value of Cash Flow</w:t>
            </w:r>
            <w:r w:rsidDel="00000000" w:rsidR="00000000" w:rsidRPr="00000000">
              <w:rPr>
                <w:rtl w:val="0"/>
              </w:rPr>
            </w:r>
          </w:p>
        </w:tc>
        <w:tc>
          <w:tcPr/>
          <w:p w:rsidR="00000000" w:rsidDel="00000000" w:rsidP="00000000" w:rsidRDefault="00000000" w:rsidRPr="00000000" w14:paraId="000004E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£10m * 0.6830 = £6.83m</w:t>
            </w:r>
          </w:p>
        </w:tc>
        <w:tc>
          <w:tcPr/>
          <w:p w:rsidR="00000000" w:rsidDel="00000000" w:rsidP="00000000" w:rsidRDefault="00000000" w:rsidRPr="00000000" w14:paraId="000004E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£6m * 0.6830 = £4.10m</w:t>
            </w:r>
          </w:p>
        </w:tc>
        <w:tc>
          <w:tcPr/>
          <w:p w:rsidR="00000000" w:rsidDel="00000000" w:rsidP="00000000" w:rsidRDefault="00000000" w:rsidRPr="00000000" w14:paraId="000004E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£25m * 0.6830 = £17.08m</w:t>
            </w:r>
          </w:p>
        </w:tc>
      </w:tr>
      <w:tr>
        <w:trPr>
          <w:cantSplit w:val="0"/>
          <w:tblHeader w:val="0"/>
        </w:trPr>
        <w:tc>
          <w:tcPr/>
          <w:p w:rsidR="00000000" w:rsidDel="00000000" w:rsidP="00000000" w:rsidRDefault="00000000" w:rsidRPr="00000000" w14:paraId="000004ED">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Year 5 Present Value of Cash Flow</w:t>
            </w:r>
            <w:r w:rsidDel="00000000" w:rsidR="00000000" w:rsidRPr="00000000">
              <w:rPr>
                <w:rtl w:val="0"/>
              </w:rPr>
            </w:r>
          </w:p>
        </w:tc>
        <w:tc>
          <w:tcPr/>
          <w:p w:rsidR="00000000" w:rsidDel="00000000" w:rsidP="00000000" w:rsidRDefault="00000000" w:rsidRPr="00000000" w14:paraId="000004E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£8m * 0.6209 = £4.97m</w:t>
            </w:r>
          </w:p>
        </w:tc>
        <w:tc>
          <w:tcPr/>
          <w:p w:rsidR="00000000" w:rsidDel="00000000" w:rsidP="00000000" w:rsidRDefault="00000000" w:rsidRPr="00000000" w14:paraId="000004E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£6m * 0.6209 = £3.73m</w:t>
            </w:r>
          </w:p>
        </w:tc>
        <w:tc>
          <w:tcPr/>
          <w:p w:rsidR="00000000" w:rsidDel="00000000" w:rsidP="00000000" w:rsidRDefault="00000000" w:rsidRPr="00000000" w14:paraId="000004F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£15m * 0.6209 = £9.31m</w:t>
            </w:r>
          </w:p>
        </w:tc>
      </w:tr>
      <w:tr>
        <w:trPr>
          <w:cantSplit w:val="0"/>
          <w:tblHeader w:val="0"/>
        </w:trPr>
        <w:tc>
          <w:tcPr/>
          <w:p w:rsidR="00000000" w:rsidDel="00000000" w:rsidP="00000000" w:rsidRDefault="00000000" w:rsidRPr="00000000" w14:paraId="000004F1">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Total Present Value of Cash Flows</w:t>
            </w:r>
            <w:r w:rsidDel="00000000" w:rsidR="00000000" w:rsidRPr="00000000">
              <w:rPr>
                <w:rtl w:val="0"/>
              </w:rPr>
            </w:r>
          </w:p>
        </w:tc>
        <w:tc>
          <w:tcPr/>
          <w:p w:rsidR="00000000" w:rsidDel="00000000" w:rsidP="00000000" w:rsidRDefault="00000000" w:rsidRPr="00000000" w14:paraId="000004F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£9.09m + £9.92m + £10.52m + £6.83m + £4.97m = £41.32m</w:t>
            </w:r>
          </w:p>
        </w:tc>
        <w:tc>
          <w:tcPr/>
          <w:p w:rsidR="00000000" w:rsidDel="00000000" w:rsidP="00000000" w:rsidRDefault="00000000" w:rsidRPr="00000000" w14:paraId="000004F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£5.45m + £4.96m + £4.51m + £4.10m + £3.73m = £22.75m</w:t>
            </w:r>
          </w:p>
        </w:tc>
        <w:tc>
          <w:tcPr/>
          <w:p w:rsidR="00000000" w:rsidDel="00000000" w:rsidP="00000000" w:rsidRDefault="00000000" w:rsidRPr="00000000" w14:paraId="000004F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£4.55m + £8.26m + £15.03m + £17.08m + £9.31m = £54.23m</w:t>
            </w:r>
          </w:p>
        </w:tc>
      </w:tr>
      <w:tr>
        <w:trPr>
          <w:cantSplit w:val="0"/>
          <w:tblHeader w:val="0"/>
        </w:trPr>
        <w:tc>
          <w:tcPr/>
          <w:p w:rsidR="00000000" w:rsidDel="00000000" w:rsidP="00000000" w:rsidRDefault="00000000" w:rsidRPr="00000000" w14:paraId="000004F5">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NPV (£m)</w:t>
            </w:r>
            <w:r w:rsidDel="00000000" w:rsidR="00000000" w:rsidRPr="00000000">
              <w:rPr>
                <w:rtl w:val="0"/>
              </w:rPr>
            </w:r>
          </w:p>
        </w:tc>
        <w:tc>
          <w:tcPr/>
          <w:p w:rsidR="00000000" w:rsidDel="00000000" w:rsidP="00000000" w:rsidRDefault="00000000" w:rsidRPr="00000000" w14:paraId="000004F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£41.32m - £40m = £1.32m</w:t>
            </w:r>
          </w:p>
        </w:tc>
        <w:tc>
          <w:tcPr/>
          <w:p w:rsidR="00000000" w:rsidDel="00000000" w:rsidP="00000000" w:rsidRDefault="00000000" w:rsidRPr="00000000" w14:paraId="000004F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£22.75m - £30m = -£7.25m</w:t>
            </w:r>
          </w:p>
        </w:tc>
        <w:tc>
          <w:tcPr/>
          <w:p w:rsidR="00000000" w:rsidDel="00000000" w:rsidP="00000000" w:rsidRDefault="00000000" w:rsidRPr="00000000" w14:paraId="000004F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£54.23m - £50m = £4.23m</w:t>
            </w:r>
          </w:p>
        </w:tc>
      </w:tr>
      <w:tr>
        <w:trPr>
          <w:cantSplit w:val="0"/>
          <w:tblHeader w:val="0"/>
        </w:trPr>
        <w:tc>
          <w:tcPr/>
          <w:p w:rsidR="00000000" w:rsidDel="00000000" w:rsidP="00000000" w:rsidRDefault="00000000" w:rsidRPr="00000000" w14:paraId="000004F9">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PI</w:t>
            </w:r>
            <w:r w:rsidDel="00000000" w:rsidR="00000000" w:rsidRPr="00000000">
              <w:rPr>
                <w:rtl w:val="0"/>
              </w:rPr>
            </w:r>
          </w:p>
        </w:tc>
        <w:tc>
          <w:tcPr/>
          <w:p w:rsidR="00000000" w:rsidDel="00000000" w:rsidP="00000000" w:rsidRDefault="00000000" w:rsidRPr="00000000" w14:paraId="000004F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£41.32m / £40m = 1.033</w:t>
            </w:r>
          </w:p>
        </w:tc>
        <w:tc>
          <w:tcPr/>
          <w:p w:rsidR="00000000" w:rsidDel="00000000" w:rsidP="00000000" w:rsidRDefault="00000000" w:rsidRPr="00000000" w14:paraId="000004F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£22.75m / £30m = 0.758</w:t>
            </w:r>
          </w:p>
        </w:tc>
        <w:tc>
          <w:tcPr/>
          <w:p w:rsidR="00000000" w:rsidDel="00000000" w:rsidP="00000000" w:rsidRDefault="00000000" w:rsidRPr="00000000" w14:paraId="000004F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£54.23m / £50m = 1.085</w:t>
            </w:r>
          </w:p>
        </w:tc>
      </w:tr>
    </w:tbl>
    <w:p w:rsidR="00000000" w:rsidDel="00000000" w:rsidP="00000000" w:rsidRDefault="00000000" w:rsidRPr="00000000" w14:paraId="000004FD">
      <w:pPr>
        <w:rPr/>
      </w:pPr>
      <w:r w:rsidDel="00000000" w:rsidR="00000000" w:rsidRPr="00000000">
        <w:rPr>
          <w:rtl w:val="0"/>
        </w:rPr>
      </w:r>
    </w:p>
    <w:p w:rsidR="00000000" w:rsidDel="00000000" w:rsidP="00000000" w:rsidRDefault="00000000" w:rsidRPr="00000000" w14:paraId="000004FE">
      <w:pPr>
        <w:rPr/>
      </w:pPr>
      <w:r w:rsidDel="00000000" w:rsidR="00000000" w:rsidRPr="00000000">
        <w:rPr>
          <w:rtl w:val="0"/>
        </w:rPr>
      </w:r>
    </w:p>
    <w:p w:rsidR="00000000" w:rsidDel="00000000" w:rsidP="00000000" w:rsidRDefault="00000000" w:rsidRPr="00000000" w14:paraId="000004FF">
      <w:pPr>
        <w:pStyle w:val="Heading2"/>
        <w:rPr/>
      </w:pPr>
      <w:bookmarkStart w:colFirst="0" w:colLast="0" w:name="_heading=h.6j6o7ffiueiq" w:id="44"/>
      <w:bookmarkEnd w:id="44"/>
      <w:r w:rsidDel="00000000" w:rsidR="00000000" w:rsidRPr="00000000">
        <w:rPr>
          <w:rtl w:val="0"/>
        </w:rPr>
        <w:t xml:space="preserve">Appendix 3.4 PBP</w:t>
      </w:r>
    </w:p>
    <w:tbl>
      <w:tblPr>
        <w:tblStyle w:val="Table37"/>
        <w:tblW w:w="8583.0" w:type="dxa"/>
        <w:jc w:val="left"/>
        <w:tblBorders>
          <w:top w:color="95b3d7" w:space="0" w:sz="4" w:val="single"/>
          <w:left w:color="95b3d7" w:space="0" w:sz="4" w:val="single"/>
          <w:bottom w:color="95b3d7" w:space="0" w:sz="4" w:val="single"/>
          <w:right w:color="95b3d7" w:space="0" w:sz="4" w:val="single"/>
          <w:insideH w:color="95b3d7" w:space="0" w:sz="4" w:val="single"/>
          <w:insideV w:color="95b3d7" w:space="0" w:sz="4" w:val="single"/>
        </w:tblBorders>
        <w:tblLayout w:type="fixed"/>
        <w:tblLook w:val="04A0"/>
      </w:tblPr>
      <w:tblGrid>
        <w:gridCol w:w="723"/>
        <w:gridCol w:w="1910"/>
        <w:gridCol w:w="710"/>
        <w:gridCol w:w="1910"/>
        <w:gridCol w:w="710"/>
        <w:gridCol w:w="1910"/>
        <w:gridCol w:w="710"/>
        <w:tblGridChange w:id="0">
          <w:tblGrid>
            <w:gridCol w:w="723"/>
            <w:gridCol w:w="1910"/>
            <w:gridCol w:w="710"/>
            <w:gridCol w:w="1910"/>
            <w:gridCol w:w="710"/>
            <w:gridCol w:w="1910"/>
            <w:gridCol w:w="710"/>
          </w:tblGrid>
        </w:tblGridChange>
      </w:tblGrid>
      <w:tr>
        <w:trPr>
          <w:cantSplit w:val="0"/>
          <w:trHeight w:val="310" w:hRule="atLeast"/>
          <w:tblHeader w:val="0"/>
        </w:trPr>
        <w:tc>
          <w:tcPr/>
          <w:p w:rsidR="00000000" w:rsidDel="00000000" w:rsidP="00000000" w:rsidRDefault="00000000" w:rsidRPr="00000000" w14:paraId="00000500">
            <w:pPr>
              <w:jc w:val="left"/>
              <w:rPr>
                <w:rFonts w:ascii="Arial" w:cs="Arial" w:eastAsia="Arial" w:hAnsi="Arial"/>
                <w:color w:val="000000"/>
              </w:rPr>
            </w:pPr>
            <w:r w:rsidDel="00000000" w:rsidR="00000000" w:rsidRPr="00000000">
              <w:rPr>
                <w:rFonts w:ascii="Arial" w:cs="Arial" w:eastAsia="Arial" w:hAnsi="Arial"/>
                <w:color w:val="000000"/>
                <w:rtl w:val="0"/>
              </w:rPr>
              <w:t xml:space="preserve"> </w:t>
            </w:r>
          </w:p>
        </w:tc>
        <w:tc>
          <w:tcPr>
            <w:gridSpan w:val="2"/>
          </w:tcPr>
          <w:p w:rsidR="00000000" w:rsidDel="00000000" w:rsidP="00000000" w:rsidRDefault="00000000" w:rsidRPr="00000000" w14:paraId="00000501">
            <w:pPr>
              <w:jc w:val="center"/>
              <w:rPr>
                <w:rFonts w:ascii="Arial" w:cs="Arial" w:eastAsia="Arial" w:hAnsi="Arial"/>
                <w:color w:val="000000"/>
              </w:rPr>
            </w:pPr>
            <w:r w:rsidDel="00000000" w:rsidR="00000000" w:rsidRPr="00000000">
              <w:rPr>
                <w:rFonts w:ascii="Arial" w:cs="Arial" w:eastAsia="Arial" w:hAnsi="Arial"/>
                <w:color w:val="000000"/>
                <w:rtl w:val="0"/>
              </w:rPr>
              <w:t xml:space="preserve">A</w:t>
            </w:r>
          </w:p>
        </w:tc>
        <w:tc>
          <w:tcPr>
            <w:gridSpan w:val="2"/>
          </w:tcPr>
          <w:p w:rsidR="00000000" w:rsidDel="00000000" w:rsidP="00000000" w:rsidRDefault="00000000" w:rsidRPr="00000000" w14:paraId="00000503">
            <w:pPr>
              <w:jc w:val="center"/>
              <w:rPr>
                <w:rFonts w:ascii="Arial" w:cs="Arial" w:eastAsia="Arial" w:hAnsi="Arial"/>
                <w:color w:val="000000"/>
              </w:rPr>
            </w:pPr>
            <w:r w:rsidDel="00000000" w:rsidR="00000000" w:rsidRPr="00000000">
              <w:rPr>
                <w:rFonts w:ascii="Arial" w:cs="Arial" w:eastAsia="Arial" w:hAnsi="Arial"/>
                <w:color w:val="000000"/>
                <w:rtl w:val="0"/>
              </w:rPr>
              <w:t xml:space="preserve">B</w:t>
            </w:r>
          </w:p>
        </w:tc>
        <w:tc>
          <w:tcPr>
            <w:gridSpan w:val="2"/>
          </w:tcPr>
          <w:p w:rsidR="00000000" w:rsidDel="00000000" w:rsidP="00000000" w:rsidRDefault="00000000" w:rsidRPr="00000000" w14:paraId="00000505">
            <w:pPr>
              <w:jc w:val="center"/>
              <w:rPr>
                <w:rFonts w:ascii="Arial" w:cs="Arial" w:eastAsia="Arial" w:hAnsi="Arial"/>
                <w:color w:val="000000"/>
              </w:rPr>
            </w:pPr>
            <w:r w:rsidDel="00000000" w:rsidR="00000000" w:rsidRPr="00000000">
              <w:rPr>
                <w:rFonts w:ascii="Arial" w:cs="Arial" w:eastAsia="Arial" w:hAnsi="Arial"/>
                <w:color w:val="000000"/>
                <w:rtl w:val="0"/>
              </w:rPr>
              <w:t xml:space="preserve">C</w:t>
            </w:r>
          </w:p>
        </w:tc>
      </w:tr>
      <w:tr>
        <w:trPr>
          <w:cantSplit w:val="0"/>
          <w:trHeight w:val="310" w:hRule="atLeast"/>
          <w:tblHeader w:val="0"/>
        </w:trPr>
        <w:tc>
          <w:tcPr/>
          <w:p w:rsidR="00000000" w:rsidDel="00000000" w:rsidP="00000000" w:rsidRDefault="00000000" w:rsidRPr="00000000" w14:paraId="00000507">
            <w:pPr>
              <w:jc w:val="left"/>
              <w:rPr>
                <w:rFonts w:ascii="Arial" w:cs="Arial" w:eastAsia="Arial" w:hAnsi="Arial"/>
                <w:color w:val="000000"/>
              </w:rPr>
            </w:pPr>
            <w:r w:rsidDel="00000000" w:rsidR="00000000" w:rsidRPr="00000000">
              <w:rPr>
                <w:rFonts w:ascii="Arial" w:cs="Arial" w:eastAsia="Arial" w:hAnsi="Arial"/>
                <w:color w:val="000000"/>
                <w:rtl w:val="0"/>
              </w:rPr>
              <w:t xml:space="preserve">Year</w:t>
            </w:r>
          </w:p>
        </w:tc>
        <w:tc>
          <w:tcPr/>
          <w:p w:rsidR="00000000" w:rsidDel="00000000" w:rsidP="00000000" w:rsidRDefault="00000000" w:rsidRPr="00000000" w14:paraId="00000508">
            <w:pPr>
              <w:rPr>
                <w:rFonts w:ascii="Arial" w:cs="Arial" w:eastAsia="Arial" w:hAnsi="Arial"/>
                <w:color w:val="000000"/>
              </w:rPr>
            </w:pPr>
            <w:r w:rsidDel="00000000" w:rsidR="00000000" w:rsidRPr="00000000">
              <w:rPr>
                <w:rFonts w:ascii="Arial" w:cs="Arial" w:eastAsia="Arial" w:hAnsi="Arial"/>
                <w:color w:val="000000"/>
                <w:rtl w:val="0"/>
              </w:rPr>
              <w:t xml:space="preserve">Free Cash Flow</w:t>
            </w:r>
          </w:p>
        </w:tc>
        <w:tc>
          <w:tcPr/>
          <w:p w:rsidR="00000000" w:rsidDel="00000000" w:rsidP="00000000" w:rsidRDefault="00000000" w:rsidRPr="00000000" w14:paraId="00000509">
            <w:pPr>
              <w:rPr>
                <w:rFonts w:ascii="Arial" w:cs="Arial" w:eastAsia="Arial" w:hAnsi="Arial"/>
                <w:color w:val="000000"/>
              </w:rPr>
            </w:pPr>
            <w:r w:rsidDel="00000000" w:rsidR="00000000" w:rsidRPr="00000000">
              <w:rPr>
                <w:rFonts w:ascii="Arial" w:cs="Arial" w:eastAsia="Arial" w:hAnsi="Arial"/>
                <w:color w:val="000000"/>
                <w:rtl w:val="0"/>
              </w:rPr>
              <w:t xml:space="preserve">CCF</w:t>
            </w:r>
          </w:p>
        </w:tc>
        <w:tc>
          <w:tcPr/>
          <w:p w:rsidR="00000000" w:rsidDel="00000000" w:rsidP="00000000" w:rsidRDefault="00000000" w:rsidRPr="00000000" w14:paraId="0000050A">
            <w:pPr>
              <w:rPr>
                <w:rFonts w:ascii="Arial" w:cs="Arial" w:eastAsia="Arial" w:hAnsi="Arial"/>
                <w:color w:val="000000"/>
              </w:rPr>
            </w:pPr>
            <w:r w:rsidDel="00000000" w:rsidR="00000000" w:rsidRPr="00000000">
              <w:rPr>
                <w:rFonts w:ascii="Arial" w:cs="Arial" w:eastAsia="Arial" w:hAnsi="Arial"/>
                <w:color w:val="000000"/>
                <w:rtl w:val="0"/>
              </w:rPr>
              <w:t xml:space="preserve">Free Cash Flow</w:t>
            </w:r>
          </w:p>
        </w:tc>
        <w:tc>
          <w:tcPr/>
          <w:p w:rsidR="00000000" w:rsidDel="00000000" w:rsidP="00000000" w:rsidRDefault="00000000" w:rsidRPr="00000000" w14:paraId="0000050B">
            <w:pPr>
              <w:rPr>
                <w:rFonts w:ascii="Arial" w:cs="Arial" w:eastAsia="Arial" w:hAnsi="Arial"/>
                <w:color w:val="000000"/>
              </w:rPr>
            </w:pPr>
            <w:r w:rsidDel="00000000" w:rsidR="00000000" w:rsidRPr="00000000">
              <w:rPr>
                <w:rFonts w:ascii="Arial" w:cs="Arial" w:eastAsia="Arial" w:hAnsi="Arial"/>
                <w:color w:val="000000"/>
                <w:rtl w:val="0"/>
              </w:rPr>
              <w:t xml:space="preserve">CCF</w:t>
            </w:r>
          </w:p>
        </w:tc>
        <w:tc>
          <w:tcPr/>
          <w:p w:rsidR="00000000" w:rsidDel="00000000" w:rsidP="00000000" w:rsidRDefault="00000000" w:rsidRPr="00000000" w14:paraId="0000050C">
            <w:pPr>
              <w:rPr>
                <w:rFonts w:ascii="Arial" w:cs="Arial" w:eastAsia="Arial" w:hAnsi="Arial"/>
                <w:color w:val="000000"/>
              </w:rPr>
            </w:pPr>
            <w:r w:rsidDel="00000000" w:rsidR="00000000" w:rsidRPr="00000000">
              <w:rPr>
                <w:rFonts w:ascii="Arial" w:cs="Arial" w:eastAsia="Arial" w:hAnsi="Arial"/>
                <w:color w:val="000000"/>
                <w:rtl w:val="0"/>
              </w:rPr>
              <w:t xml:space="preserve">Free Cash Flow</w:t>
            </w:r>
          </w:p>
        </w:tc>
        <w:tc>
          <w:tcPr/>
          <w:p w:rsidR="00000000" w:rsidDel="00000000" w:rsidP="00000000" w:rsidRDefault="00000000" w:rsidRPr="00000000" w14:paraId="0000050D">
            <w:pPr>
              <w:rPr>
                <w:rFonts w:ascii="Arial" w:cs="Arial" w:eastAsia="Arial" w:hAnsi="Arial"/>
                <w:color w:val="000000"/>
              </w:rPr>
            </w:pPr>
            <w:r w:rsidDel="00000000" w:rsidR="00000000" w:rsidRPr="00000000">
              <w:rPr>
                <w:rFonts w:ascii="Arial" w:cs="Arial" w:eastAsia="Arial" w:hAnsi="Arial"/>
                <w:color w:val="000000"/>
                <w:rtl w:val="0"/>
              </w:rPr>
              <w:t xml:space="preserve">CCF</w:t>
            </w:r>
          </w:p>
        </w:tc>
      </w:tr>
      <w:tr>
        <w:trPr>
          <w:cantSplit w:val="0"/>
          <w:trHeight w:val="310" w:hRule="atLeast"/>
          <w:tblHeader w:val="0"/>
        </w:trPr>
        <w:tc>
          <w:tcPr/>
          <w:p w:rsidR="00000000" w:rsidDel="00000000" w:rsidP="00000000" w:rsidRDefault="00000000" w:rsidRPr="00000000" w14:paraId="0000050E">
            <w:pPr>
              <w:rPr>
                <w:rFonts w:ascii="Arial" w:cs="Arial" w:eastAsia="Arial" w:hAnsi="Arial"/>
                <w:color w:val="000000"/>
              </w:rPr>
            </w:pPr>
            <w:r w:rsidDel="00000000" w:rsidR="00000000" w:rsidRPr="00000000">
              <w:rPr>
                <w:rFonts w:ascii="Arial" w:cs="Arial" w:eastAsia="Arial" w:hAnsi="Arial"/>
                <w:color w:val="000000"/>
                <w:rtl w:val="0"/>
              </w:rPr>
              <w:t xml:space="preserve">0</w:t>
            </w:r>
          </w:p>
        </w:tc>
        <w:tc>
          <w:tcPr/>
          <w:p w:rsidR="00000000" w:rsidDel="00000000" w:rsidP="00000000" w:rsidRDefault="00000000" w:rsidRPr="00000000" w14:paraId="0000050F">
            <w:pPr>
              <w:jc w:val="right"/>
              <w:rPr>
                <w:rFonts w:ascii="Arial" w:cs="Arial" w:eastAsia="Arial" w:hAnsi="Arial"/>
                <w:color w:val="000000"/>
              </w:rPr>
            </w:pPr>
            <w:r w:rsidDel="00000000" w:rsidR="00000000" w:rsidRPr="00000000">
              <w:rPr>
                <w:rFonts w:ascii="Arial" w:cs="Arial" w:eastAsia="Arial" w:hAnsi="Arial"/>
                <w:color w:val="000000"/>
                <w:rtl w:val="0"/>
              </w:rPr>
              <w:t xml:space="preserve">-40</w:t>
            </w:r>
          </w:p>
        </w:tc>
        <w:tc>
          <w:tcPr/>
          <w:p w:rsidR="00000000" w:rsidDel="00000000" w:rsidP="00000000" w:rsidRDefault="00000000" w:rsidRPr="00000000" w14:paraId="00000510">
            <w:pPr>
              <w:jc w:val="right"/>
              <w:rPr>
                <w:rFonts w:ascii="Arial" w:cs="Arial" w:eastAsia="Arial" w:hAnsi="Arial"/>
                <w:color w:val="000000"/>
              </w:rPr>
            </w:pPr>
            <w:r w:rsidDel="00000000" w:rsidR="00000000" w:rsidRPr="00000000">
              <w:rPr>
                <w:rFonts w:ascii="Arial" w:cs="Arial" w:eastAsia="Arial" w:hAnsi="Arial"/>
                <w:color w:val="000000"/>
                <w:rtl w:val="0"/>
              </w:rPr>
              <w:t xml:space="preserve">-40</w:t>
            </w:r>
          </w:p>
        </w:tc>
        <w:tc>
          <w:tcPr/>
          <w:p w:rsidR="00000000" w:rsidDel="00000000" w:rsidP="00000000" w:rsidRDefault="00000000" w:rsidRPr="00000000" w14:paraId="00000511">
            <w:pPr>
              <w:jc w:val="right"/>
              <w:rPr>
                <w:rFonts w:ascii="Arial" w:cs="Arial" w:eastAsia="Arial" w:hAnsi="Arial"/>
                <w:color w:val="000000"/>
              </w:rPr>
            </w:pPr>
            <w:r w:rsidDel="00000000" w:rsidR="00000000" w:rsidRPr="00000000">
              <w:rPr>
                <w:rFonts w:ascii="Arial" w:cs="Arial" w:eastAsia="Arial" w:hAnsi="Arial"/>
                <w:color w:val="000000"/>
                <w:rtl w:val="0"/>
              </w:rPr>
              <w:t xml:space="preserve">-30</w:t>
            </w:r>
          </w:p>
        </w:tc>
        <w:tc>
          <w:tcPr/>
          <w:p w:rsidR="00000000" w:rsidDel="00000000" w:rsidP="00000000" w:rsidRDefault="00000000" w:rsidRPr="00000000" w14:paraId="00000512">
            <w:pPr>
              <w:jc w:val="right"/>
              <w:rPr>
                <w:rFonts w:ascii="Arial" w:cs="Arial" w:eastAsia="Arial" w:hAnsi="Arial"/>
                <w:color w:val="000000"/>
              </w:rPr>
            </w:pPr>
            <w:r w:rsidDel="00000000" w:rsidR="00000000" w:rsidRPr="00000000">
              <w:rPr>
                <w:rFonts w:ascii="Arial" w:cs="Arial" w:eastAsia="Arial" w:hAnsi="Arial"/>
                <w:color w:val="000000"/>
                <w:rtl w:val="0"/>
              </w:rPr>
              <w:t xml:space="preserve">-30</w:t>
            </w:r>
          </w:p>
        </w:tc>
        <w:tc>
          <w:tcPr/>
          <w:p w:rsidR="00000000" w:rsidDel="00000000" w:rsidP="00000000" w:rsidRDefault="00000000" w:rsidRPr="00000000" w14:paraId="00000513">
            <w:pPr>
              <w:jc w:val="right"/>
              <w:rPr>
                <w:rFonts w:ascii="Arial" w:cs="Arial" w:eastAsia="Arial" w:hAnsi="Arial"/>
                <w:color w:val="000000"/>
              </w:rPr>
            </w:pPr>
            <w:r w:rsidDel="00000000" w:rsidR="00000000" w:rsidRPr="00000000">
              <w:rPr>
                <w:rFonts w:ascii="Arial" w:cs="Arial" w:eastAsia="Arial" w:hAnsi="Arial"/>
                <w:color w:val="000000"/>
                <w:rtl w:val="0"/>
              </w:rPr>
              <w:t xml:space="preserve">-50</w:t>
            </w:r>
          </w:p>
        </w:tc>
        <w:tc>
          <w:tcPr/>
          <w:p w:rsidR="00000000" w:rsidDel="00000000" w:rsidP="00000000" w:rsidRDefault="00000000" w:rsidRPr="00000000" w14:paraId="00000514">
            <w:pPr>
              <w:jc w:val="right"/>
              <w:rPr>
                <w:rFonts w:ascii="Arial" w:cs="Arial" w:eastAsia="Arial" w:hAnsi="Arial"/>
                <w:color w:val="000000"/>
              </w:rPr>
            </w:pPr>
            <w:r w:rsidDel="00000000" w:rsidR="00000000" w:rsidRPr="00000000">
              <w:rPr>
                <w:rFonts w:ascii="Arial" w:cs="Arial" w:eastAsia="Arial" w:hAnsi="Arial"/>
                <w:color w:val="000000"/>
                <w:rtl w:val="0"/>
              </w:rPr>
              <w:t xml:space="preserve">-50</w:t>
            </w:r>
          </w:p>
        </w:tc>
      </w:tr>
      <w:tr>
        <w:trPr>
          <w:cantSplit w:val="0"/>
          <w:trHeight w:val="310" w:hRule="atLeast"/>
          <w:tblHeader w:val="0"/>
        </w:trPr>
        <w:tc>
          <w:tcPr/>
          <w:p w:rsidR="00000000" w:rsidDel="00000000" w:rsidP="00000000" w:rsidRDefault="00000000" w:rsidRPr="00000000" w14:paraId="00000515">
            <w:pPr>
              <w:rPr>
                <w:rFonts w:ascii="Arial" w:cs="Arial" w:eastAsia="Arial" w:hAnsi="Arial"/>
                <w:color w:val="000000"/>
              </w:rPr>
            </w:pPr>
            <w:r w:rsidDel="00000000" w:rsidR="00000000" w:rsidRPr="00000000">
              <w:rPr>
                <w:rFonts w:ascii="Arial" w:cs="Arial" w:eastAsia="Arial" w:hAnsi="Arial"/>
                <w:color w:val="000000"/>
                <w:rtl w:val="0"/>
              </w:rPr>
              <w:t xml:space="preserve">1</w:t>
            </w:r>
          </w:p>
        </w:tc>
        <w:tc>
          <w:tcPr/>
          <w:p w:rsidR="00000000" w:rsidDel="00000000" w:rsidP="00000000" w:rsidRDefault="00000000" w:rsidRPr="00000000" w14:paraId="00000516">
            <w:pPr>
              <w:jc w:val="right"/>
              <w:rPr>
                <w:rFonts w:ascii="Arial" w:cs="Arial" w:eastAsia="Arial" w:hAnsi="Arial"/>
                <w:color w:val="000000"/>
              </w:rPr>
            </w:pPr>
            <w:r w:rsidDel="00000000" w:rsidR="00000000" w:rsidRPr="00000000">
              <w:rPr>
                <w:rFonts w:ascii="Arial" w:cs="Arial" w:eastAsia="Arial" w:hAnsi="Arial"/>
                <w:color w:val="000000"/>
                <w:rtl w:val="0"/>
              </w:rPr>
              <w:t xml:space="preserve">10</w:t>
            </w:r>
          </w:p>
        </w:tc>
        <w:tc>
          <w:tcPr/>
          <w:p w:rsidR="00000000" w:rsidDel="00000000" w:rsidP="00000000" w:rsidRDefault="00000000" w:rsidRPr="00000000" w14:paraId="00000517">
            <w:pPr>
              <w:jc w:val="right"/>
              <w:rPr>
                <w:rFonts w:ascii="Arial" w:cs="Arial" w:eastAsia="Arial" w:hAnsi="Arial"/>
                <w:color w:val="000000"/>
              </w:rPr>
            </w:pPr>
            <w:r w:rsidDel="00000000" w:rsidR="00000000" w:rsidRPr="00000000">
              <w:rPr>
                <w:rFonts w:ascii="Arial" w:cs="Arial" w:eastAsia="Arial" w:hAnsi="Arial"/>
                <w:color w:val="000000"/>
                <w:rtl w:val="0"/>
              </w:rPr>
              <w:t xml:space="preserve">-30</w:t>
            </w:r>
          </w:p>
        </w:tc>
        <w:tc>
          <w:tcPr/>
          <w:p w:rsidR="00000000" w:rsidDel="00000000" w:rsidP="00000000" w:rsidRDefault="00000000" w:rsidRPr="00000000" w14:paraId="00000518">
            <w:pPr>
              <w:jc w:val="right"/>
              <w:rPr>
                <w:rFonts w:ascii="Arial" w:cs="Arial" w:eastAsia="Arial" w:hAnsi="Arial"/>
                <w:color w:val="000000"/>
              </w:rPr>
            </w:pPr>
            <w:r w:rsidDel="00000000" w:rsidR="00000000" w:rsidRPr="00000000">
              <w:rPr>
                <w:rFonts w:ascii="Arial" w:cs="Arial" w:eastAsia="Arial" w:hAnsi="Arial"/>
                <w:color w:val="000000"/>
                <w:rtl w:val="0"/>
              </w:rPr>
              <w:t xml:space="preserve">6</w:t>
            </w:r>
          </w:p>
        </w:tc>
        <w:tc>
          <w:tcPr/>
          <w:p w:rsidR="00000000" w:rsidDel="00000000" w:rsidP="00000000" w:rsidRDefault="00000000" w:rsidRPr="00000000" w14:paraId="00000519">
            <w:pPr>
              <w:jc w:val="right"/>
              <w:rPr>
                <w:rFonts w:ascii="Arial" w:cs="Arial" w:eastAsia="Arial" w:hAnsi="Arial"/>
                <w:color w:val="000000"/>
              </w:rPr>
            </w:pPr>
            <w:r w:rsidDel="00000000" w:rsidR="00000000" w:rsidRPr="00000000">
              <w:rPr>
                <w:rFonts w:ascii="Arial" w:cs="Arial" w:eastAsia="Arial" w:hAnsi="Arial"/>
                <w:color w:val="000000"/>
                <w:rtl w:val="0"/>
              </w:rPr>
              <w:t xml:space="preserve">-24</w:t>
            </w:r>
          </w:p>
        </w:tc>
        <w:tc>
          <w:tcPr/>
          <w:p w:rsidR="00000000" w:rsidDel="00000000" w:rsidP="00000000" w:rsidRDefault="00000000" w:rsidRPr="00000000" w14:paraId="0000051A">
            <w:pPr>
              <w:jc w:val="right"/>
              <w:rPr>
                <w:rFonts w:ascii="Arial" w:cs="Arial" w:eastAsia="Arial" w:hAnsi="Arial"/>
                <w:color w:val="000000"/>
              </w:rPr>
            </w:pPr>
            <w:r w:rsidDel="00000000" w:rsidR="00000000" w:rsidRPr="00000000">
              <w:rPr>
                <w:rFonts w:ascii="Arial" w:cs="Arial" w:eastAsia="Arial" w:hAnsi="Arial"/>
                <w:color w:val="000000"/>
                <w:rtl w:val="0"/>
              </w:rPr>
              <w:t xml:space="preserve">5</w:t>
            </w:r>
          </w:p>
        </w:tc>
        <w:tc>
          <w:tcPr/>
          <w:p w:rsidR="00000000" w:rsidDel="00000000" w:rsidP="00000000" w:rsidRDefault="00000000" w:rsidRPr="00000000" w14:paraId="0000051B">
            <w:pPr>
              <w:jc w:val="right"/>
              <w:rPr>
                <w:rFonts w:ascii="Arial" w:cs="Arial" w:eastAsia="Arial" w:hAnsi="Arial"/>
                <w:color w:val="000000"/>
              </w:rPr>
            </w:pPr>
            <w:r w:rsidDel="00000000" w:rsidR="00000000" w:rsidRPr="00000000">
              <w:rPr>
                <w:rFonts w:ascii="Arial" w:cs="Arial" w:eastAsia="Arial" w:hAnsi="Arial"/>
                <w:color w:val="000000"/>
                <w:rtl w:val="0"/>
              </w:rPr>
              <w:t xml:space="preserve">-45</w:t>
            </w:r>
          </w:p>
        </w:tc>
      </w:tr>
      <w:tr>
        <w:trPr>
          <w:cantSplit w:val="0"/>
          <w:trHeight w:val="310" w:hRule="atLeast"/>
          <w:tblHeader w:val="0"/>
        </w:trPr>
        <w:tc>
          <w:tcPr/>
          <w:p w:rsidR="00000000" w:rsidDel="00000000" w:rsidP="00000000" w:rsidRDefault="00000000" w:rsidRPr="00000000" w14:paraId="0000051C">
            <w:pPr>
              <w:rPr>
                <w:rFonts w:ascii="Arial" w:cs="Arial" w:eastAsia="Arial" w:hAnsi="Arial"/>
                <w:color w:val="000000"/>
              </w:rPr>
            </w:pPr>
            <w:r w:rsidDel="00000000" w:rsidR="00000000" w:rsidRPr="00000000">
              <w:rPr>
                <w:rFonts w:ascii="Arial" w:cs="Arial" w:eastAsia="Arial" w:hAnsi="Arial"/>
                <w:color w:val="000000"/>
                <w:rtl w:val="0"/>
              </w:rPr>
              <w:t xml:space="preserve">2</w:t>
            </w:r>
          </w:p>
        </w:tc>
        <w:tc>
          <w:tcPr/>
          <w:p w:rsidR="00000000" w:rsidDel="00000000" w:rsidP="00000000" w:rsidRDefault="00000000" w:rsidRPr="00000000" w14:paraId="0000051D">
            <w:pPr>
              <w:jc w:val="right"/>
              <w:rPr>
                <w:rFonts w:ascii="Arial" w:cs="Arial" w:eastAsia="Arial" w:hAnsi="Arial"/>
                <w:color w:val="000000"/>
              </w:rPr>
            </w:pPr>
            <w:r w:rsidDel="00000000" w:rsidR="00000000" w:rsidRPr="00000000">
              <w:rPr>
                <w:rFonts w:ascii="Arial" w:cs="Arial" w:eastAsia="Arial" w:hAnsi="Arial"/>
                <w:color w:val="000000"/>
                <w:rtl w:val="0"/>
              </w:rPr>
              <w:t xml:space="preserve">12</w:t>
            </w:r>
          </w:p>
        </w:tc>
        <w:tc>
          <w:tcPr/>
          <w:p w:rsidR="00000000" w:rsidDel="00000000" w:rsidP="00000000" w:rsidRDefault="00000000" w:rsidRPr="00000000" w14:paraId="0000051E">
            <w:pPr>
              <w:jc w:val="right"/>
              <w:rPr>
                <w:rFonts w:ascii="Arial" w:cs="Arial" w:eastAsia="Arial" w:hAnsi="Arial"/>
                <w:color w:val="000000"/>
              </w:rPr>
            </w:pPr>
            <w:r w:rsidDel="00000000" w:rsidR="00000000" w:rsidRPr="00000000">
              <w:rPr>
                <w:rFonts w:ascii="Arial" w:cs="Arial" w:eastAsia="Arial" w:hAnsi="Arial"/>
                <w:color w:val="000000"/>
                <w:rtl w:val="0"/>
              </w:rPr>
              <w:t xml:space="preserve">-18</w:t>
            </w:r>
          </w:p>
        </w:tc>
        <w:tc>
          <w:tcPr/>
          <w:p w:rsidR="00000000" w:rsidDel="00000000" w:rsidP="00000000" w:rsidRDefault="00000000" w:rsidRPr="00000000" w14:paraId="0000051F">
            <w:pPr>
              <w:jc w:val="right"/>
              <w:rPr>
                <w:rFonts w:ascii="Arial" w:cs="Arial" w:eastAsia="Arial" w:hAnsi="Arial"/>
                <w:color w:val="000000"/>
              </w:rPr>
            </w:pPr>
            <w:r w:rsidDel="00000000" w:rsidR="00000000" w:rsidRPr="00000000">
              <w:rPr>
                <w:rFonts w:ascii="Arial" w:cs="Arial" w:eastAsia="Arial" w:hAnsi="Arial"/>
                <w:color w:val="000000"/>
                <w:rtl w:val="0"/>
              </w:rPr>
              <w:t xml:space="preserve">6</w:t>
            </w:r>
          </w:p>
        </w:tc>
        <w:tc>
          <w:tcPr/>
          <w:p w:rsidR="00000000" w:rsidDel="00000000" w:rsidP="00000000" w:rsidRDefault="00000000" w:rsidRPr="00000000" w14:paraId="00000520">
            <w:pPr>
              <w:jc w:val="right"/>
              <w:rPr>
                <w:rFonts w:ascii="Arial" w:cs="Arial" w:eastAsia="Arial" w:hAnsi="Arial"/>
                <w:color w:val="000000"/>
              </w:rPr>
            </w:pPr>
            <w:r w:rsidDel="00000000" w:rsidR="00000000" w:rsidRPr="00000000">
              <w:rPr>
                <w:rFonts w:ascii="Arial" w:cs="Arial" w:eastAsia="Arial" w:hAnsi="Arial"/>
                <w:color w:val="000000"/>
                <w:rtl w:val="0"/>
              </w:rPr>
              <w:t xml:space="preserve">-18</w:t>
            </w:r>
          </w:p>
        </w:tc>
        <w:tc>
          <w:tcPr/>
          <w:p w:rsidR="00000000" w:rsidDel="00000000" w:rsidP="00000000" w:rsidRDefault="00000000" w:rsidRPr="00000000" w14:paraId="00000521">
            <w:pPr>
              <w:jc w:val="right"/>
              <w:rPr>
                <w:rFonts w:ascii="Arial" w:cs="Arial" w:eastAsia="Arial" w:hAnsi="Arial"/>
                <w:color w:val="000000"/>
              </w:rPr>
            </w:pPr>
            <w:r w:rsidDel="00000000" w:rsidR="00000000" w:rsidRPr="00000000">
              <w:rPr>
                <w:rFonts w:ascii="Arial" w:cs="Arial" w:eastAsia="Arial" w:hAnsi="Arial"/>
                <w:color w:val="000000"/>
                <w:rtl w:val="0"/>
              </w:rPr>
              <w:t xml:space="preserve">10</w:t>
            </w:r>
          </w:p>
        </w:tc>
        <w:tc>
          <w:tcPr/>
          <w:p w:rsidR="00000000" w:rsidDel="00000000" w:rsidP="00000000" w:rsidRDefault="00000000" w:rsidRPr="00000000" w14:paraId="00000522">
            <w:pPr>
              <w:jc w:val="right"/>
              <w:rPr>
                <w:rFonts w:ascii="Arial" w:cs="Arial" w:eastAsia="Arial" w:hAnsi="Arial"/>
                <w:color w:val="000000"/>
              </w:rPr>
            </w:pPr>
            <w:r w:rsidDel="00000000" w:rsidR="00000000" w:rsidRPr="00000000">
              <w:rPr>
                <w:rFonts w:ascii="Arial" w:cs="Arial" w:eastAsia="Arial" w:hAnsi="Arial"/>
                <w:color w:val="000000"/>
                <w:rtl w:val="0"/>
              </w:rPr>
              <w:t xml:space="preserve">-35</w:t>
            </w:r>
          </w:p>
        </w:tc>
      </w:tr>
      <w:tr>
        <w:trPr>
          <w:cantSplit w:val="0"/>
          <w:trHeight w:val="310" w:hRule="atLeast"/>
          <w:tblHeader w:val="0"/>
        </w:trPr>
        <w:tc>
          <w:tcPr/>
          <w:p w:rsidR="00000000" w:rsidDel="00000000" w:rsidP="00000000" w:rsidRDefault="00000000" w:rsidRPr="00000000" w14:paraId="00000523">
            <w:pPr>
              <w:rPr>
                <w:rFonts w:ascii="Arial" w:cs="Arial" w:eastAsia="Arial" w:hAnsi="Arial"/>
                <w:color w:val="000000"/>
              </w:rPr>
            </w:pPr>
            <w:r w:rsidDel="00000000" w:rsidR="00000000" w:rsidRPr="00000000">
              <w:rPr>
                <w:rFonts w:ascii="Arial" w:cs="Arial" w:eastAsia="Arial" w:hAnsi="Arial"/>
                <w:color w:val="000000"/>
                <w:rtl w:val="0"/>
              </w:rPr>
              <w:t xml:space="preserve">3</w:t>
            </w:r>
          </w:p>
        </w:tc>
        <w:tc>
          <w:tcPr/>
          <w:p w:rsidR="00000000" w:rsidDel="00000000" w:rsidP="00000000" w:rsidRDefault="00000000" w:rsidRPr="00000000" w14:paraId="00000524">
            <w:pPr>
              <w:jc w:val="right"/>
              <w:rPr>
                <w:rFonts w:ascii="Arial" w:cs="Arial" w:eastAsia="Arial" w:hAnsi="Arial"/>
                <w:color w:val="000000"/>
              </w:rPr>
            </w:pPr>
            <w:r w:rsidDel="00000000" w:rsidR="00000000" w:rsidRPr="00000000">
              <w:rPr>
                <w:rFonts w:ascii="Arial" w:cs="Arial" w:eastAsia="Arial" w:hAnsi="Arial"/>
                <w:color w:val="000000"/>
                <w:rtl w:val="0"/>
              </w:rPr>
              <w:t xml:space="preserve">14</w:t>
            </w:r>
          </w:p>
        </w:tc>
        <w:tc>
          <w:tcPr/>
          <w:p w:rsidR="00000000" w:rsidDel="00000000" w:rsidP="00000000" w:rsidRDefault="00000000" w:rsidRPr="00000000" w14:paraId="00000525">
            <w:pPr>
              <w:jc w:val="right"/>
              <w:rPr>
                <w:rFonts w:ascii="Arial" w:cs="Arial" w:eastAsia="Arial" w:hAnsi="Arial"/>
                <w:color w:val="000000"/>
              </w:rPr>
            </w:pPr>
            <w:r w:rsidDel="00000000" w:rsidR="00000000" w:rsidRPr="00000000">
              <w:rPr>
                <w:rFonts w:ascii="Arial" w:cs="Arial" w:eastAsia="Arial" w:hAnsi="Arial"/>
                <w:color w:val="000000"/>
                <w:rtl w:val="0"/>
              </w:rPr>
              <w:t xml:space="preserve">-4</w:t>
            </w:r>
          </w:p>
        </w:tc>
        <w:tc>
          <w:tcPr/>
          <w:p w:rsidR="00000000" w:rsidDel="00000000" w:rsidP="00000000" w:rsidRDefault="00000000" w:rsidRPr="00000000" w14:paraId="00000526">
            <w:pPr>
              <w:jc w:val="right"/>
              <w:rPr>
                <w:rFonts w:ascii="Arial" w:cs="Arial" w:eastAsia="Arial" w:hAnsi="Arial"/>
                <w:color w:val="000000"/>
              </w:rPr>
            </w:pPr>
            <w:r w:rsidDel="00000000" w:rsidR="00000000" w:rsidRPr="00000000">
              <w:rPr>
                <w:rFonts w:ascii="Arial" w:cs="Arial" w:eastAsia="Arial" w:hAnsi="Arial"/>
                <w:color w:val="000000"/>
                <w:rtl w:val="0"/>
              </w:rPr>
              <w:t xml:space="preserve">6</w:t>
            </w:r>
          </w:p>
        </w:tc>
        <w:tc>
          <w:tcPr/>
          <w:p w:rsidR="00000000" w:rsidDel="00000000" w:rsidP="00000000" w:rsidRDefault="00000000" w:rsidRPr="00000000" w14:paraId="00000527">
            <w:pPr>
              <w:jc w:val="right"/>
              <w:rPr>
                <w:rFonts w:ascii="Arial" w:cs="Arial" w:eastAsia="Arial" w:hAnsi="Arial"/>
                <w:color w:val="000000"/>
              </w:rPr>
            </w:pPr>
            <w:r w:rsidDel="00000000" w:rsidR="00000000" w:rsidRPr="00000000">
              <w:rPr>
                <w:rFonts w:ascii="Arial" w:cs="Arial" w:eastAsia="Arial" w:hAnsi="Arial"/>
                <w:color w:val="000000"/>
                <w:rtl w:val="0"/>
              </w:rPr>
              <w:t xml:space="preserve">-12</w:t>
            </w:r>
          </w:p>
        </w:tc>
        <w:tc>
          <w:tcPr/>
          <w:p w:rsidR="00000000" w:rsidDel="00000000" w:rsidP="00000000" w:rsidRDefault="00000000" w:rsidRPr="00000000" w14:paraId="00000528">
            <w:pPr>
              <w:jc w:val="right"/>
              <w:rPr>
                <w:rFonts w:ascii="Arial" w:cs="Arial" w:eastAsia="Arial" w:hAnsi="Arial"/>
                <w:color w:val="000000"/>
              </w:rPr>
            </w:pPr>
            <w:r w:rsidDel="00000000" w:rsidR="00000000" w:rsidRPr="00000000">
              <w:rPr>
                <w:rFonts w:ascii="Arial" w:cs="Arial" w:eastAsia="Arial" w:hAnsi="Arial"/>
                <w:color w:val="000000"/>
                <w:rtl w:val="0"/>
              </w:rPr>
              <w:t xml:space="preserve">20</w:t>
            </w:r>
          </w:p>
        </w:tc>
        <w:tc>
          <w:tcPr/>
          <w:p w:rsidR="00000000" w:rsidDel="00000000" w:rsidP="00000000" w:rsidRDefault="00000000" w:rsidRPr="00000000" w14:paraId="00000529">
            <w:pPr>
              <w:jc w:val="right"/>
              <w:rPr>
                <w:rFonts w:ascii="Arial" w:cs="Arial" w:eastAsia="Arial" w:hAnsi="Arial"/>
                <w:color w:val="000000"/>
              </w:rPr>
            </w:pPr>
            <w:r w:rsidDel="00000000" w:rsidR="00000000" w:rsidRPr="00000000">
              <w:rPr>
                <w:rFonts w:ascii="Arial" w:cs="Arial" w:eastAsia="Arial" w:hAnsi="Arial"/>
                <w:color w:val="000000"/>
                <w:rtl w:val="0"/>
              </w:rPr>
              <w:t xml:space="preserve">-15</w:t>
            </w:r>
          </w:p>
        </w:tc>
      </w:tr>
      <w:tr>
        <w:trPr>
          <w:cantSplit w:val="0"/>
          <w:trHeight w:val="310" w:hRule="atLeast"/>
          <w:tblHeader w:val="0"/>
        </w:trPr>
        <w:tc>
          <w:tcPr/>
          <w:p w:rsidR="00000000" w:rsidDel="00000000" w:rsidP="00000000" w:rsidRDefault="00000000" w:rsidRPr="00000000" w14:paraId="0000052A">
            <w:pPr>
              <w:rPr>
                <w:rFonts w:ascii="Arial" w:cs="Arial" w:eastAsia="Arial" w:hAnsi="Arial"/>
                <w:color w:val="000000"/>
              </w:rPr>
            </w:pPr>
            <w:r w:rsidDel="00000000" w:rsidR="00000000" w:rsidRPr="00000000">
              <w:rPr>
                <w:rFonts w:ascii="Arial" w:cs="Arial" w:eastAsia="Arial" w:hAnsi="Arial"/>
                <w:color w:val="000000"/>
                <w:rtl w:val="0"/>
              </w:rPr>
              <w:t xml:space="preserve">4</w:t>
            </w:r>
          </w:p>
        </w:tc>
        <w:tc>
          <w:tcPr/>
          <w:p w:rsidR="00000000" w:rsidDel="00000000" w:rsidP="00000000" w:rsidRDefault="00000000" w:rsidRPr="00000000" w14:paraId="0000052B">
            <w:pPr>
              <w:jc w:val="right"/>
              <w:rPr>
                <w:rFonts w:ascii="Arial" w:cs="Arial" w:eastAsia="Arial" w:hAnsi="Arial"/>
                <w:color w:val="000000"/>
              </w:rPr>
            </w:pPr>
            <w:r w:rsidDel="00000000" w:rsidR="00000000" w:rsidRPr="00000000">
              <w:rPr>
                <w:rFonts w:ascii="Arial" w:cs="Arial" w:eastAsia="Arial" w:hAnsi="Arial"/>
                <w:color w:val="000000"/>
                <w:rtl w:val="0"/>
              </w:rPr>
              <w:t xml:space="preserve">10</w:t>
            </w:r>
          </w:p>
        </w:tc>
        <w:tc>
          <w:tcPr/>
          <w:p w:rsidR="00000000" w:rsidDel="00000000" w:rsidP="00000000" w:rsidRDefault="00000000" w:rsidRPr="00000000" w14:paraId="0000052C">
            <w:pPr>
              <w:jc w:val="right"/>
              <w:rPr>
                <w:rFonts w:ascii="Arial" w:cs="Arial" w:eastAsia="Arial" w:hAnsi="Arial"/>
                <w:color w:val="000000"/>
              </w:rPr>
            </w:pPr>
            <w:r w:rsidDel="00000000" w:rsidR="00000000" w:rsidRPr="00000000">
              <w:rPr>
                <w:rFonts w:ascii="Arial" w:cs="Arial" w:eastAsia="Arial" w:hAnsi="Arial"/>
                <w:color w:val="000000"/>
                <w:rtl w:val="0"/>
              </w:rPr>
              <w:t xml:space="preserve">6</w:t>
            </w:r>
          </w:p>
        </w:tc>
        <w:tc>
          <w:tcPr/>
          <w:p w:rsidR="00000000" w:rsidDel="00000000" w:rsidP="00000000" w:rsidRDefault="00000000" w:rsidRPr="00000000" w14:paraId="0000052D">
            <w:pPr>
              <w:jc w:val="right"/>
              <w:rPr>
                <w:rFonts w:ascii="Arial" w:cs="Arial" w:eastAsia="Arial" w:hAnsi="Arial"/>
                <w:color w:val="000000"/>
              </w:rPr>
            </w:pPr>
            <w:r w:rsidDel="00000000" w:rsidR="00000000" w:rsidRPr="00000000">
              <w:rPr>
                <w:rFonts w:ascii="Arial" w:cs="Arial" w:eastAsia="Arial" w:hAnsi="Arial"/>
                <w:color w:val="000000"/>
                <w:rtl w:val="0"/>
              </w:rPr>
              <w:t xml:space="preserve">6</w:t>
            </w:r>
          </w:p>
        </w:tc>
        <w:tc>
          <w:tcPr/>
          <w:p w:rsidR="00000000" w:rsidDel="00000000" w:rsidP="00000000" w:rsidRDefault="00000000" w:rsidRPr="00000000" w14:paraId="0000052E">
            <w:pPr>
              <w:jc w:val="right"/>
              <w:rPr>
                <w:rFonts w:ascii="Arial" w:cs="Arial" w:eastAsia="Arial" w:hAnsi="Arial"/>
                <w:color w:val="000000"/>
              </w:rPr>
            </w:pPr>
            <w:r w:rsidDel="00000000" w:rsidR="00000000" w:rsidRPr="00000000">
              <w:rPr>
                <w:rFonts w:ascii="Arial" w:cs="Arial" w:eastAsia="Arial" w:hAnsi="Arial"/>
                <w:color w:val="000000"/>
                <w:rtl w:val="0"/>
              </w:rPr>
              <w:t xml:space="preserve">-6</w:t>
            </w:r>
          </w:p>
        </w:tc>
        <w:tc>
          <w:tcPr/>
          <w:p w:rsidR="00000000" w:rsidDel="00000000" w:rsidP="00000000" w:rsidRDefault="00000000" w:rsidRPr="00000000" w14:paraId="0000052F">
            <w:pPr>
              <w:jc w:val="right"/>
              <w:rPr>
                <w:rFonts w:ascii="Arial" w:cs="Arial" w:eastAsia="Arial" w:hAnsi="Arial"/>
                <w:color w:val="000000"/>
              </w:rPr>
            </w:pPr>
            <w:r w:rsidDel="00000000" w:rsidR="00000000" w:rsidRPr="00000000">
              <w:rPr>
                <w:rFonts w:ascii="Arial" w:cs="Arial" w:eastAsia="Arial" w:hAnsi="Arial"/>
                <w:color w:val="000000"/>
                <w:rtl w:val="0"/>
              </w:rPr>
              <w:t xml:space="preserve">25</w:t>
            </w:r>
          </w:p>
        </w:tc>
        <w:tc>
          <w:tcPr/>
          <w:p w:rsidR="00000000" w:rsidDel="00000000" w:rsidP="00000000" w:rsidRDefault="00000000" w:rsidRPr="00000000" w14:paraId="00000530">
            <w:pPr>
              <w:jc w:val="right"/>
              <w:rPr>
                <w:rFonts w:ascii="Arial" w:cs="Arial" w:eastAsia="Arial" w:hAnsi="Arial"/>
                <w:color w:val="000000"/>
              </w:rPr>
            </w:pPr>
            <w:r w:rsidDel="00000000" w:rsidR="00000000" w:rsidRPr="00000000">
              <w:rPr>
                <w:rFonts w:ascii="Arial" w:cs="Arial" w:eastAsia="Arial" w:hAnsi="Arial"/>
                <w:color w:val="000000"/>
                <w:rtl w:val="0"/>
              </w:rPr>
              <w:t xml:space="preserve">10</w:t>
            </w:r>
          </w:p>
        </w:tc>
      </w:tr>
      <w:tr>
        <w:trPr>
          <w:cantSplit w:val="0"/>
          <w:trHeight w:val="310" w:hRule="atLeast"/>
          <w:tblHeader w:val="0"/>
        </w:trPr>
        <w:tc>
          <w:tcPr/>
          <w:p w:rsidR="00000000" w:rsidDel="00000000" w:rsidP="00000000" w:rsidRDefault="00000000" w:rsidRPr="00000000" w14:paraId="00000531">
            <w:pPr>
              <w:rPr>
                <w:rFonts w:ascii="Arial" w:cs="Arial" w:eastAsia="Arial" w:hAnsi="Arial"/>
                <w:color w:val="000000"/>
              </w:rPr>
            </w:pPr>
            <w:r w:rsidDel="00000000" w:rsidR="00000000" w:rsidRPr="00000000">
              <w:rPr>
                <w:rFonts w:ascii="Arial" w:cs="Arial" w:eastAsia="Arial" w:hAnsi="Arial"/>
                <w:color w:val="000000"/>
                <w:rtl w:val="0"/>
              </w:rPr>
              <w:t xml:space="preserve">5</w:t>
            </w:r>
          </w:p>
        </w:tc>
        <w:tc>
          <w:tcPr/>
          <w:p w:rsidR="00000000" w:rsidDel="00000000" w:rsidP="00000000" w:rsidRDefault="00000000" w:rsidRPr="00000000" w14:paraId="00000532">
            <w:pPr>
              <w:jc w:val="right"/>
              <w:rPr>
                <w:rFonts w:ascii="Arial" w:cs="Arial" w:eastAsia="Arial" w:hAnsi="Arial"/>
                <w:color w:val="000000"/>
              </w:rPr>
            </w:pPr>
            <w:r w:rsidDel="00000000" w:rsidR="00000000" w:rsidRPr="00000000">
              <w:rPr>
                <w:rFonts w:ascii="Arial" w:cs="Arial" w:eastAsia="Arial" w:hAnsi="Arial"/>
                <w:color w:val="000000"/>
                <w:rtl w:val="0"/>
              </w:rPr>
              <w:t xml:space="preserve">8</w:t>
            </w:r>
          </w:p>
        </w:tc>
        <w:tc>
          <w:tcPr/>
          <w:p w:rsidR="00000000" w:rsidDel="00000000" w:rsidP="00000000" w:rsidRDefault="00000000" w:rsidRPr="00000000" w14:paraId="00000533">
            <w:pPr>
              <w:jc w:val="right"/>
              <w:rPr>
                <w:rFonts w:ascii="Arial" w:cs="Arial" w:eastAsia="Arial" w:hAnsi="Arial"/>
                <w:color w:val="000000"/>
              </w:rPr>
            </w:pPr>
            <w:r w:rsidDel="00000000" w:rsidR="00000000" w:rsidRPr="00000000">
              <w:rPr>
                <w:rFonts w:ascii="Arial" w:cs="Arial" w:eastAsia="Arial" w:hAnsi="Arial"/>
                <w:color w:val="000000"/>
                <w:rtl w:val="0"/>
              </w:rPr>
              <w:t xml:space="preserve">14</w:t>
            </w:r>
          </w:p>
        </w:tc>
        <w:tc>
          <w:tcPr/>
          <w:p w:rsidR="00000000" w:rsidDel="00000000" w:rsidP="00000000" w:rsidRDefault="00000000" w:rsidRPr="00000000" w14:paraId="00000534">
            <w:pPr>
              <w:jc w:val="right"/>
              <w:rPr>
                <w:rFonts w:ascii="Arial" w:cs="Arial" w:eastAsia="Arial" w:hAnsi="Arial"/>
                <w:color w:val="000000"/>
              </w:rPr>
            </w:pPr>
            <w:r w:rsidDel="00000000" w:rsidR="00000000" w:rsidRPr="00000000">
              <w:rPr>
                <w:rFonts w:ascii="Arial" w:cs="Arial" w:eastAsia="Arial" w:hAnsi="Arial"/>
                <w:color w:val="000000"/>
                <w:rtl w:val="0"/>
              </w:rPr>
              <w:t xml:space="preserve">6</w:t>
            </w:r>
          </w:p>
        </w:tc>
        <w:tc>
          <w:tcPr/>
          <w:p w:rsidR="00000000" w:rsidDel="00000000" w:rsidP="00000000" w:rsidRDefault="00000000" w:rsidRPr="00000000" w14:paraId="00000535">
            <w:pPr>
              <w:jc w:val="right"/>
              <w:rPr>
                <w:rFonts w:ascii="Arial" w:cs="Arial" w:eastAsia="Arial" w:hAnsi="Arial"/>
                <w:color w:val="000000"/>
              </w:rPr>
            </w:pPr>
            <w:r w:rsidDel="00000000" w:rsidR="00000000" w:rsidRPr="00000000">
              <w:rPr>
                <w:rFonts w:ascii="Arial" w:cs="Arial" w:eastAsia="Arial" w:hAnsi="Arial"/>
                <w:color w:val="000000"/>
                <w:rtl w:val="0"/>
              </w:rPr>
              <w:t xml:space="preserve">0</w:t>
            </w:r>
          </w:p>
        </w:tc>
        <w:tc>
          <w:tcPr/>
          <w:p w:rsidR="00000000" w:rsidDel="00000000" w:rsidP="00000000" w:rsidRDefault="00000000" w:rsidRPr="00000000" w14:paraId="00000536">
            <w:pPr>
              <w:jc w:val="right"/>
              <w:rPr>
                <w:rFonts w:ascii="Arial" w:cs="Arial" w:eastAsia="Arial" w:hAnsi="Arial"/>
                <w:color w:val="000000"/>
              </w:rPr>
            </w:pPr>
            <w:r w:rsidDel="00000000" w:rsidR="00000000" w:rsidRPr="00000000">
              <w:rPr>
                <w:rFonts w:ascii="Arial" w:cs="Arial" w:eastAsia="Arial" w:hAnsi="Arial"/>
                <w:color w:val="000000"/>
                <w:rtl w:val="0"/>
              </w:rPr>
              <w:t xml:space="preserve">15</w:t>
            </w:r>
          </w:p>
        </w:tc>
        <w:tc>
          <w:tcPr/>
          <w:p w:rsidR="00000000" w:rsidDel="00000000" w:rsidP="00000000" w:rsidRDefault="00000000" w:rsidRPr="00000000" w14:paraId="00000537">
            <w:pPr>
              <w:jc w:val="right"/>
              <w:rPr>
                <w:rFonts w:ascii="Arial" w:cs="Arial" w:eastAsia="Arial" w:hAnsi="Arial"/>
                <w:color w:val="000000"/>
              </w:rPr>
            </w:pPr>
            <w:r w:rsidDel="00000000" w:rsidR="00000000" w:rsidRPr="00000000">
              <w:rPr>
                <w:rFonts w:ascii="Arial" w:cs="Arial" w:eastAsia="Arial" w:hAnsi="Arial"/>
                <w:color w:val="000000"/>
                <w:rtl w:val="0"/>
              </w:rPr>
              <w:t xml:space="preserve">25</w:t>
            </w:r>
          </w:p>
        </w:tc>
      </w:tr>
      <w:tr>
        <w:trPr>
          <w:cantSplit w:val="0"/>
          <w:trHeight w:val="310" w:hRule="atLeast"/>
          <w:tblHeader w:val="0"/>
        </w:trPr>
        <w:tc>
          <w:tcPr/>
          <w:p w:rsidR="00000000" w:rsidDel="00000000" w:rsidP="00000000" w:rsidRDefault="00000000" w:rsidRPr="00000000" w14:paraId="00000538">
            <w:pPr>
              <w:jc w:val="left"/>
              <w:rPr>
                <w:rFonts w:ascii="Arial" w:cs="Arial" w:eastAsia="Arial" w:hAnsi="Arial"/>
                <w:color w:val="000000"/>
              </w:rPr>
            </w:pPr>
            <w:r w:rsidDel="00000000" w:rsidR="00000000" w:rsidRPr="00000000">
              <w:rPr>
                <w:rFonts w:ascii="Arial" w:cs="Arial" w:eastAsia="Arial" w:hAnsi="Arial"/>
                <w:color w:val="000000"/>
                <w:rtl w:val="0"/>
              </w:rPr>
              <w:t xml:space="preserve"> </w:t>
            </w:r>
          </w:p>
        </w:tc>
        <w:tc>
          <w:tcPr/>
          <w:p w:rsidR="00000000" w:rsidDel="00000000" w:rsidP="00000000" w:rsidRDefault="00000000" w:rsidRPr="00000000" w14:paraId="00000539">
            <w:pPr>
              <w:rPr>
                <w:rFonts w:ascii="Arial" w:cs="Arial" w:eastAsia="Arial" w:hAnsi="Arial"/>
                <w:color w:val="000000"/>
              </w:rPr>
            </w:pPr>
            <w:r w:rsidDel="00000000" w:rsidR="00000000" w:rsidRPr="00000000">
              <w:rPr>
                <w:rFonts w:ascii="Arial" w:cs="Arial" w:eastAsia="Arial" w:hAnsi="Arial"/>
                <w:color w:val="000000"/>
                <w:rtl w:val="0"/>
              </w:rPr>
              <w:t xml:space="preserve"> </w:t>
            </w:r>
          </w:p>
        </w:tc>
        <w:tc>
          <w:tcPr/>
          <w:p w:rsidR="00000000" w:rsidDel="00000000" w:rsidP="00000000" w:rsidRDefault="00000000" w:rsidRPr="00000000" w14:paraId="0000053A">
            <w:pPr>
              <w:rPr>
                <w:rFonts w:ascii="Arial" w:cs="Arial" w:eastAsia="Arial" w:hAnsi="Arial"/>
                <w:color w:val="000000"/>
              </w:rPr>
            </w:pPr>
            <w:r w:rsidDel="00000000" w:rsidR="00000000" w:rsidRPr="00000000">
              <w:rPr>
                <w:rFonts w:ascii="Arial" w:cs="Arial" w:eastAsia="Arial" w:hAnsi="Arial"/>
                <w:color w:val="000000"/>
                <w:rtl w:val="0"/>
              </w:rPr>
              <w:t xml:space="preserve"> </w:t>
            </w:r>
          </w:p>
        </w:tc>
        <w:tc>
          <w:tcPr/>
          <w:p w:rsidR="00000000" w:rsidDel="00000000" w:rsidP="00000000" w:rsidRDefault="00000000" w:rsidRPr="00000000" w14:paraId="0000053B">
            <w:pPr>
              <w:rPr>
                <w:rFonts w:ascii="Arial" w:cs="Arial" w:eastAsia="Arial" w:hAnsi="Arial"/>
                <w:color w:val="000000"/>
              </w:rPr>
            </w:pPr>
            <w:r w:rsidDel="00000000" w:rsidR="00000000" w:rsidRPr="00000000">
              <w:rPr>
                <w:rFonts w:ascii="Arial" w:cs="Arial" w:eastAsia="Arial" w:hAnsi="Arial"/>
                <w:color w:val="000000"/>
                <w:rtl w:val="0"/>
              </w:rPr>
              <w:t xml:space="preserve"> </w:t>
            </w:r>
          </w:p>
        </w:tc>
        <w:tc>
          <w:tcPr/>
          <w:p w:rsidR="00000000" w:rsidDel="00000000" w:rsidP="00000000" w:rsidRDefault="00000000" w:rsidRPr="00000000" w14:paraId="0000053C">
            <w:pPr>
              <w:rPr>
                <w:rFonts w:ascii="Arial" w:cs="Arial" w:eastAsia="Arial" w:hAnsi="Arial"/>
                <w:color w:val="000000"/>
              </w:rPr>
            </w:pPr>
            <w:r w:rsidDel="00000000" w:rsidR="00000000" w:rsidRPr="00000000">
              <w:rPr>
                <w:rFonts w:ascii="Arial" w:cs="Arial" w:eastAsia="Arial" w:hAnsi="Arial"/>
                <w:color w:val="000000"/>
                <w:rtl w:val="0"/>
              </w:rPr>
              <w:t xml:space="preserve"> </w:t>
            </w:r>
          </w:p>
        </w:tc>
        <w:tc>
          <w:tcPr/>
          <w:p w:rsidR="00000000" w:rsidDel="00000000" w:rsidP="00000000" w:rsidRDefault="00000000" w:rsidRPr="00000000" w14:paraId="0000053D">
            <w:pPr>
              <w:rPr>
                <w:rFonts w:ascii="Arial" w:cs="Arial" w:eastAsia="Arial" w:hAnsi="Arial"/>
                <w:color w:val="000000"/>
              </w:rPr>
            </w:pPr>
            <w:r w:rsidDel="00000000" w:rsidR="00000000" w:rsidRPr="00000000">
              <w:rPr>
                <w:rFonts w:ascii="Arial" w:cs="Arial" w:eastAsia="Arial" w:hAnsi="Arial"/>
                <w:color w:val="000000"/>
                <w:rtl w:val="0"/>
              </w:rPr>
              <w:t xml:space="preserve"> </w:t>
            </w:r>
          </w:p>
        </w:tc>
        <w:tc>
          <w:tcPr/>
          <w:p w:rsidR="00000000" w:rsidDel="00000000" w:rsidP="00000000" w:rsidRDefault="00000000" w:rsidRPr="00000000" w14:paraId="0000053E">
            <w:pPr>
              <w:rPr>
                <w:rFonts w:ascii="Arial" w:cs="Arial" w:eastAsia="Arial" w:hAnsi="Arial"/>
                <w:color w:val="000000"/>
              </w:rPr>
            </w:pPr>
            <w:r w:rsidDel="00000000" w:rsidR="00000000" w:rsidRPr="00000000">
              <w:rPr>
                <w:rFonts w:ascii="Arial" w:cs="Arial" w:eastAsia="Arial" w:hAnsi="Arial"/>
                <w:color w:val="000000"/>
                <w:rtl w:val="0"/>
              </w:rPr>
              <w:t xml:space="preserve"> </w:t>
            </w:r>
          </w:p>
        </w:tc>
      </w:tr>
      <w:tr>
        <w:trPr>
          <w:cantSplit w:val="0"/>
          <w:trHeight w:val="310" w:hRule="atLeast"/>
          <w:tblHeader w:val="0"/>
        </w:trPr>
        <w:tc>
          <w:tcPr/>
          <w:p w:rsidR="00000000" w:rsidDel="00000000" w:rsidP="00000000" w:rsidRDefault="00000000" w:rsidRPr="00000000" w14:paraId="0000053F">
            <w:pPr>
              <w:jc w:val="left"/>
              <w:rPr>
                <w:rFonts w:ascii="Arial" w:cs="Arial" w:eastAsia="Arial" w:hAnsi="Arial"/>
                <w:color w:val="000000"/>
              </w:rPr>
            </w:pPr>
            <w:r w:rsidDel="00000000" w:rsidR="00000000" w:rsidRPr="00000000">
              <w:rPr>
                <w:rtl w:val="0"/>
              </w:rPr>
            </w:r>
          </w:p>
        </w:tc>
        <w:tc>
          <w:tcPr/>
          <w:p w:rsidR="00000000" w:rsidDel="00000000" w:rsidP="00000000" w:rsidRDefault="00000000" w:rsidRPr="00000000" w14:paraId="00000540">
            <w:pPr>
              <w:jc w:val="right"/>
              <w:rPr>
                <w:rFonts w:ascii="Arial" w:cs="Arial" w:eastAsia="Arial" w:hAnsi="Arial"/>
                <w:color w:val="000000"/>
              </w:rPr>
            </w:pPr>
            <w:r w:rsidDel="00000000" w:rsidR="00000000" w:rsidRPr="00000000">
              <w:rPr>
                <w:rFonts w:ascii="Arial" w:cs="Arial" w:eastAsia="Arial" w:hAnsi="Arial"/>
                <w:color w:val="000000"/>
                <w:rtl w:val="0"/>
              </w:rPr>
              <w:t xml:space="preserve">3.4</w:t>
            </w:r>
          </w:p>
        </w:tc>
        <w:tc>
          <w:tcPr/>
          <w:p w:rsidR="00000000" w:rsidDel="00000000" w:rsidP="00000000" w:rsidRDefault="00000000" w:rsidRPr="00000000" w14:paraId="00000541">
            <w:pPr>
              <w:rPr>
                <w:rFonts w:ascii="Arial" w:cs="Arial" w:eastAsia="Arial" w:hAnsi="Arial"/>
                <w:color w:val="000000"/>
              </w:rPr>
            </w:pPr>
            <w:r w:rsidDel="00000000" w:rsidR="00000000" w:rsidRPr="00000000">
              <w:rPr>
                <w:rFonts w:ascii="Arial" w:cs="Arial" w:eastAsia="Arial" w:hAnsi="Arial"/>
                <w:color w:val="000000"/>
                <w:rtl w:val="0"/>
              </w:rPr>
              <w:t xml:space="preserve"> </w:t>
            </w:r>
          </w:p>
        </w:tc>
        <w:tc>
          <w:tcPr/>
          <w:p w:rsidR="00000000" w:rsidDel="00000000" w:rsidP="00000000" w:rsidRDefault="00000000" w:rsidRPr="00000000" w14:paraId="00000542">
            <w:pPr>
              <w:jc w:val="right"/>
              <w:rPr>
                <w:rFonts w:ascii="Arial" w:cs="Arial" w:eastAsia="Arial" w:hAnsi="Arial"/>
                <w:color w:val="000000"/>
              </w:rPr>
            </w:pPr>
            <w:r w:rsidDel="00000000" w:rsidR="00000000" w:rsidRPr="00000000">
              <w:rPr>
                <w:rFonts w:ascii="Arial" w:cs="Arial" w:eastAsia="Arial" w:hAnsi="Arial"/>
                <w:color w:val="000000"/>
                <w:rtl w:val="0"/>
              </w:rPr>
              <w:t xml:space="preserve">5</w:t>
            </w:r>
          </w:p>
        </w:tc>
        <w:tc>
          <w:tcPr/>
          <w:p w:rsidR="00000000" w:rsidDel="00000000" w:rsidP="00000000" w:rsidRDefault="00000000" w:rsidRPr="00000000" w14:paraId="00000543">
            <w:pPr>
              <w:rPr>
                <w:rFonts w:ascii="Arial" w:cs="Arial" w:eastAsia="Arial" w:hAnsi="Arial"/>
                <w:color w:val="000000"/>
              </w:rPr>
            </w:pPr>
            <w:r w:rsidDel="00000000" w:rsidR="00000000" w:rsidRPr="00000000">
              <w:rPr>
                <w:rFonts w:ascii="Arial" w:cs="Arial" w:eastAsia="Arial" w:hAnsi="Arial"/>
                <w:color w:val="000000"/>
                <w:rtl w:val="0"/>
              </w:rPr>
              <w:t xml:space="preserve"> </w:t>
            </w:r>
          </w:p>
        </w:tc>
        <w:tc>
          <w:tcPr/>
          <w:p w:rsidR="00000000" w:rsidDel="00000000" w:rsidP="00000000" w:rsidRDefault="00000000" w:rsidRPr="00000000" w14:paraId="00000544">
            <w:pPr>
              <w:jc w:val="right"/>
              <w:rPr>
                <w:rFonts w:ascii="Arial" w:cs="Arial" w:eastAsia="Arial" w:hAnsi="Arial"/>
                <w:color w:val="000000"/>
              </w:rPr>
            </w:pPr>
            <w:r w:rsidDel="00000000" w:rsidR="00000000" w:rsidRPr="00000000">
              <w:rPr>
                <w:rFonts w:ascii="Arial" w:cs="Arial" w:eastAsia="Arial" w:hAnsi="Arial"/>
                <w:color w:val="000000"/>
                <w:rtl w:val="0"/>
              </w:rPr>
              <w:t xml:space="preserve">3.6</w:t>
            </w:r>
          </w:p>
        </w:tc>
        <w:tc>
          <w:tcPr/>
          <w:p w:rsidR="00000000" w:rsidDel="00000000" w:rsidP="00000000" w:rsidRDefault="00000000" w:rsidRPr="00000000" w14:paraId="00000545">
            <w:pPr>
              <w:rPr>
                <w:rFonts w:ascii="Arial" w:cs="Arial" w:eastAsia="Arial" w:hAnsi="Arial"/>
                <w:color w:val="000000"/>
              </w:rPr>
            </w:pPr>
            <w:r w:rsidDel="00000000" w:rsidR="00000000" w:rsidRPr="00000000">
              <w:rPr>
                <w:rFonts w:ascii="Arial" w:cs="Arial" w:eastAsia="Arial" w:hAnsi="Arial"/>
                <w:color w:val="000000"/>
                <w:rtl w:val="0"/>
              </w:rPr>
              <w:t xml:space="preserve"> </w:t>
            </w:r>
          </w:p>
        </w:tc>
      </w:tr>
    </w:tbl>
    <w:p w:rsidR="00000000" w:rsidDel="00000000" w:rsidP="00000000" w:rsidRDefault="00000000" w:rsidRPr="00000000" w14:paraId="00000546">
      <w:pPr>
        <w:rPr/>
      </w:pPr>
      <w:r w:rsidDel="00000000" w:rsidR="00000000" w:rsidRPr="00000000">
        <w:rPr>
          <w:rtl w:val="0"/>
        </w:rPr>
      </w:r>
    </w:p>
    <w:p w:rsidR="00000000" w:rsidDel="00000000" w:rsidP="00000000" w:rsidRDefault="00000000" w:rsidRPr="00000000" w14:paraId="00000547">
      <w:pPr>
        <w:pStyle w:val="Heading2"/>
        <w:rPr/>
      </w:pPr>
      <w:bookmarkStart w:colFirst="0" w:colLast="0" w:name="_heading=h.8n0uws3itk20" w:id="45"/>
      <w:bookmarkEnd w:id="45"/>
      <w:r w:rsidDel="00000000" w:rsidR="00000000" w:rsidRPr="00000000">
        <w:rPr>
          <w:rtl w:val="0"/>
        </w:rPr>
        <w:t xml:space="preserve">Appendix 3.5 IRR</w:t>
      </w:r>
    </w:p>
    <w:tbl>
      <w:tblPr>
        <w:tblStyle w:val="Table38"/>
        <w:tblW w:w="8119.0" w:type="dxa"/>
        <w:jc w:val="left"/>
        <w:tblBorders>
          <w:top w:color="95b3d7" w:space="0" w:sz="4" w:val="single"/>
          <w:left w:color="95b3d7" w:space="0" w:sz="4" w:val="single"/>
          <w:bottom w:color="95b3d7" w:space="0" w:sz="4" w:val="single"/>
          <w:right w:color="95b3d7" w:space="0" w:sz="4" w:val="single"/>
          <w:insideH w:color="95b3d7" w:space="0" w:sz="4" w:val="single"/>
          <w:insideV w:color="95b3d7" w:space="0" w:sz="4" w:val="single"/>
        </w:tblBorders>
        <w:tblLayout w:type="fixed"/>
        <w:tblLook w:val="04A0"/>
      </w:tblPr>
      <w:tblGrid>
        <w:gridCol w:w="1572"/>
        <w:gridCol w:w="2571"/>
        <w:gridCol w:w="1405"/>
        <w:gridCol w:w="2571"/>
        <w:tblGridChange w:id="0">
          <w:tblGrid>
            <w:gridCol w:w="1572"/>
            <w:gridCol w:w="2571"/>
            <w:gridCol w:w="1405"/>
            <w:gridCol w:w="2571"/>
          </w:tblGrid>
        </w:tblGridChange>
      </w:tblGrid>
      <w:tr>
        <w:trPr>
          <w:cantSplit w:val="0"/>
          <w:trHeight w:val="534" w:hRule="atLeast"/>
          <w:tblHeader w:val="0"/>
        </w:trPr>
        <w:tc>
          <w:tcPr/>
          <w:p w:rsidR="00000000" w:rsidDel="00000000" w:rsidP="00000000" w:rsidRDefault="00000000" w:rsidRPr="00000000" w14:paraId="00000548">
            <w:pPr>
              <w:jc w:val="left"/>
              <w:rPr>
                <w:rFonts w:ascii="Arial" w:cs="Arial" w:eastAsia="Arial" w:hAnsi="Arial"/>
                <w:color w:val="000000"/>
              </w:rPr>
            </w:pPr>
            <w:r w:rsidDel="00000000" w:rsidR="00000000" w:rsidRPr="00000000">
              <w:rPr>
                <w:rFonts w:ascii="Arial" w:cs="Arial" w:eastAsia="Arial" w:hAnsi="Arial"/>
                <w:color w:val="000000"/>
                <w:rtl w:val="0"/>
              </w:rPr>
              <w:t xml:space="preserve"> </w:t>
            </w:r>
          </w:p>
        </w:tc>
        <w:tc>
          <w:tcPr/>
          <w:p w:rsidR="00000000" w:rsidDel="00000000" w:rsidP="00000000" w:rsidRDefault="00000000" w:rsidRPr="00000000" w14:paraId="00000549">
            <w:pPr>
              <w:jc w:val="center"/>
              <w:rPr>
                <w:rFonts w:ascii="Arial" w:cs="Arial" w:eastAsia="Arial" w:hAnsi="Arial"/>
                <w:color w:val="000000"/>
              </w:rPr>
            </w:pPr>
            <w:r w:rsidDel="00000000" w:rsidR="00000000" w:rsidRPr="00000000">
              <w:rPr>
                <w:rFonts w:ascii="Arial" w:cs="Arial" w:eastAsia="Arial" w:hAnsi="Arial"/>
                <w:color w:val="000000"/>
                <w:rtl w:val="0"/>
              </w:rPr>
              <w:t xml:space="preserve">A</w:t>
            </w:r>
          </w:p>
        </w:tc>
        <w:tc>
          <w:tcPr/>
          <w:p w:rsidR="00000000" w:rsidDel="00000000" w:rsidP="00000000" w:rsidRDefault="00000000" w:rsidRPr="00000000" w14:paraId="0000054A">
            <w:pPr>
              <w:jc w:val="center"/>
              <w:rPr>
                <w:rFonts w:ascii="Arial" w:cs="Arial" w:eastAsia="Arial" w:hAnsi="Arial"/>
                <w:color w:val="000000"/>
              </w:rPr>
            </w:pPr>
            <w:r w:rsidDel="00000000" w:rsidR="00000000" w:rsidRPr="00000000">
              <w:rPr>
                <w:rFonts w:ascii="Arial" w:cs="Arial" w:eastAsia="Arial" w:hAnsi="Arial"/>
                <w:color w:val="000000"/>
                <w:rtl w:val="0"/>
              </w:rPr>
              <w:t xml:space="preserve">B</w:t>
            </w:r>
          </w:p>
        </w:tc>
        <w:tc>
          <w:tcPr/>
          <w:p w:rsidR="00000000" w:rsidDel="00000000" w:rsidP="00000000" w:rsidRDefault="00000000" w:rsidRPr="00000000" w14:paraId="0000054B">
            <w:pPr>
              <w:jc w:val="center"/>
              <w:rPr>
                <w:rFonts w:ascii="Arial" w:cs="Arial" w:eastAsia="Arial" w:hAnsi="Arial"/>
                <w:color w:val="000000"/>
              </w:rPr>
            </w:pPr>
            <w:r w:rsidDel="00000000" w:rsidR="00000000" w:rsidRPr="00000000">
              <w:rPr>
                <w:rFonts w:ascii="Arial" w:cs="Arial" w:eastAsia="Arial" w:hAnsi="Arial"/>
                <w:color w:val="000000"/>
                <w:rtl w:val="0"/>
              </w:rPr>
              <w:t xml:space="preserve">C</w:t>
            </w:r>
          </w:p>
        </w:tc>
      </w:tr>
      <w:tr>
        <w:trPr>
          <w:cantSplit w:val="0"/>
          <w:trHeight w:val="534" w:hRule="atLeast"/>
          <w:tblHeader w:val="0"/>
        </w:trPr>
        <w:tc>
          <w:tcPr/>
          <w:p w:rsidR="00000000" w:rsidDel="00000000" w:rsidP="00000000" w:rsidRDefault="00000000" w:rsidRPr="00000000" w14:paraId="0000054C">
            <w:pPr>
              <w:jc w:val="left"/>
              <w:rPr>
                <w:rFonts w:ascii="Arial" w:cs="Arial" w:eastAsia="Arial" w:hAnsi="Arial"/>
                <w:color w:val="000000"/>
              </w:rPr>
            </w:pPr>
            <w:r w:rsidDel="00000000" w:rsidR="00000000" w:rsidRPr="00000000">
              <w:rPr>
                <w:rFonts w:ascii="Arial" w:cs="Arial" w:eastAsia="Arial" w:hAnsi="Arial"/>
                <w:color w:val="000000"/>
                <w:rtl w:val="0"/>
              </w:rPr>
              <w:t xml:space="preserve">IRR</w:t>
            </w:r>
          </w:p>
        </w:tc>
        <w:tc>
          <w:tcPr/>
          <w:p w:rsidR="00000000" w:rsidDel="00000000" w:rsidP="00000000" w:rsidRDefault="00000000" w:rsidRPr="00000000" w14:paraId="0000054D">
            <w:pPr>
              <w:rPr>
                <w:rFonts w:ascii="Arial" w:cs="Arial" w:eastAsia="Arial" w:hAnsi="Arial"/>
                <w:color w:val="000000"/>
              </w:rPr>
            </w:pPr>
            <w:r w:rsidDel="00000000" w:rsidR="00000000" w:rsidRPr="00000000">
              <w:rPr>
                <w:rFonts w:ascii="Arial" w:cs="Arial" w:eastAsia="Arial" w:hAnsi="Arial"/>
                <w:color w:val="000000"/>
                <w:rtl w:val="0"/>
              </w:rPr>
              <w:t xml:space="preserve">11.32%</w:t>
            </w:r>
          </w:p>
        </w:tc>
        <w:tc>
          <w:tcPr/>
          <w:p w:rsidR="00000000" w:rsidDel="00000000" w:rsidP="00000000" w:rsidRDefault="00000000" w:rsidRPr="00000000" w14:paraId="0000054E">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0%</w:t>
            </w:r>
          </w:p>
        </w:tc>
        <w:tc>
          <w:tcPr/>
          <w:p w:rsidR="00000000" w:rsidDel="00000000" w:rsidP="00000000" w:rsidRDefault="00000000" w:rsidRPr="00000000" w14:paraId="0000054F">
            <w:pPr>
              <w:rPr>
                <w:rFonts w:ascii="Arial" w:cs="Arial" w:eastAsia="Arial" w:hAnsi="Arial"/>
                <w:color w:val="000000"/>
              </w:rPr>
            </w:pPr>
            <w:r w:rsidDel="00000000" w:rsidR="00000000" w:rsidRPr="00000000">
              <w:rPr>
                <w:rFonts w:ascii="Arial" w:cs="Arial" w:eastAsia="Arial" w:hAnsi="Arial"/>
                <w:color w:val="000000"/>
                <w:rtl w:val="0"/>
              </w:rPr>
              <w:t xml:space="preserve">12.79%</w:t>
            </w:r>
          </w:p>
        </w:tc>
      </w:tr>
    </w:tbl>
    <w:p w:rsidR="00000000" w:rsidDel="00000000" w:rsidP="00000000" w:rsidRDefault="00000000" w:rsidRPr="00000000" w14:paraId="00000550">
      <w:pPr>
        <w:rPr/>
      </w:pPr>
      <w:r w:rsidDel="00000000" w:rsidR="00000000" w:rsidRPr="00000000">
        <w:rPr>
          <w:rtl w:val="0"/>
        </w:rPr>
      </w:r>
    </w:p>
    <w:sectPr>
      <w:footerReference r:id="rId23"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mbria"/>
  <w:font w:name="Cambria Math">
    <w:embedRegular w:fontKey="{00000000-0000-0000-0000-000000000000}" r:id="rId1"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551">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552">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
      </w:rPr>
    </w:rPrDefault>
    <w:pPrDefault>
      <w:pPr>
        <w:spacing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Bdr>
        <w:bottom w:color="000000" w:space="1" w:sz="12" w:val="single"/>
      </w:pBdr>
      <w:jc w:val="center"/>
    </w:pPr>
    <w:rPr>
      <w:b w:val="1"/>
      <w:bCs w:val="1"/>
      <w:color w:val="03045e"/>
      <w:sz w:val="32"/>
      <w:szCs w:val="32"/>
    </w:rPr>
  </w:style>
  <w:style w:type="paragraph" w:styleId="Heading2">
    <w:name w:val="heading 2"/>
    <w:basedOn w:val="Normal"/>
    <w:next w:val="Normal"/>
    <w:pPr>
      <w:keepNext w:val="1"/>
      <w:keepLines w:val="1"/>
      <w:spacing w:after="240" w:lineRule="auto"/>
    </w:pPr>
    <w:rPr>
      <w:b w:val="1"/>
      <w:bCs w:val="1"/>
      <w:color w:val="03045e"/>
      <w:sz w:val="28"/>
      <w:szCs w:val="28"/>
    </w:rPr>
  </w:style>
  <w:style w:type="paragraph" w:styleId="Heading3">
    <w:name w:val="heading 3"/>
    <w:basedOn w:val="Normal"/>
    <w:next w:val="Normal"/>
    <w:pPr>
      <w:keepNext w:val="1"/>
      <w:keepLines w:val="1"/>
      <w:spacing w:after="240" w:lineRule="auto"/>
    </w:pPr>
    <w:rPr>
      <w:b w:val="1"/>
      <w:bCs w:val="1"/>
      <w:color w:val="0077b6"/>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iCs w:val="1"/>
      <w:color w:val="666666"/>
      <w:sz w:val="22"/>
      <w:szCs w:val="22"/>
    </w:rPr>
  </w:style>
  <w:style w:type="paragraph" w:styleId="Title">
    <w:name w:val="Title"/>
    <w:basedOn w:val="Normal"/>
    <w:next w:val="Normal"/>
    <w:pPr>
      <w:keepNext w:val="1"/>
      <w:keepLines w:val="1"/>
      <w:spacing w:after="60" w:lineRule="auto"/>
    </w:pPr>
    <w:rPr>
      <w:sz w:val="52"/>
      <w:szCs w:val="5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tblPr>
      <w:tblStyleRowBandSize w:val="1"/>
      <w:tblStyleColBandSize w:val="1"/>
      <w:tblCellMar>
        <w:top w:w="100.0" w:type="dxa"/>
        <w:left w:w="100.0" w:type="dxa"/>
        <w:bottom w:w="100.0" w:type="dxa"/>
        <w:right w:w="100.0" w:type="dxa"/>
      </w:tblCellMar>
    </w:tblPr>
  </w:style>
  <w:style w:type="table" w:styleId="Table7">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8">
    <w:basedOn w:val="TableNormal"/>
    <w:tblPr>
      <w:tblStyleRowBandSize w:val="1"/>
      <w:tblStyleColBandSize w:val="1"/>
      <w:tblCellMar>
        <w:top w:w="100.0" w:type="dxa"/>
        <w:left w:w="100.0" w:type="dxa"/>
        <w:bottom w:w="100.0" w:type="dxa"/>
        <w:right w:w="100.0" w:type="dxa"/>
      </w:tblCellMar>
    </w:tblPr>
  </w:style>
  <w:style w:type="table" w:styleId="Table9">
    <w:basedOn w:val="TableNormal"/>
    <w:tblPr>
      <w:tblStyleRowBandSize w:val="1"/>
      <w:tblStyleColBandSize w:val="1"/>
      <w:tblCellMar>
        <w:top w:w="100.0" w:type="dxa"/>
        <w:left w:w="100.0" w:type="dxa"/>
        <w:bottom w:w="100.0" w:type="dxa"/>
        <w:right w:w="100.0" w:type="dxa"/>
      </w:tblCellMar>
    </w:tblPr>
  </w:style>
  <w:style w:type="table" w:styleId="Table10">
    <w:basedOn w:val="TableNormal"/>
    <w:tblPr>
      <w:tblStyleRowBandSize w:val="1"/>
      <w:tblStyleColBandSize w:val="1"/>
      <w:tblCellMar>
        <w:top w:w="100.0" w:type="dxa"/>
        <w:left w:w="100.0" w:type="dxa"/>
        <w:bottom w:w="100.0" w:type="dxa"/>
        <w:right w:w="100.0" w:type="dxa"/>
      </w:tblCellMar>
    </w:tblPr>
  </w:style>
  <w:style w:type="table" w:styleId="Table11">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12">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13">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14">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15">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16">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17">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18">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19">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20">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21">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22">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23">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24">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25">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26">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27">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28">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29">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30">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31">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32">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33">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34">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35">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36">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37">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38">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tblPr>
      <w:tblStyleRowBandSize w:val="1"/>
      <w:tblStyleColBandSize w:val="1"/>
      <w:tblCellMar>
        <w:top w:w="100.0" w:type="dxa"/>
        <w:left w:w="100.0" w:type="dxa"/>
        <w:bottom w:w="100.0" w:type="dxa"/>
        <w:right w:w="100.0" w:type="dxa"/>
      </w:tblCellMar>
    </w:tblPr>
  </w:style>
  <w:style w:type="table" w:styleId="Table7">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8">
    <w:basedOn w:val="TableNormal"/>
    <w:tblPr>
      <w:tblStyleRowBandSize w:val="1"/>
      <w:tblStyleColBandSize w:val="1"/>
      <w:tblCellMar>
        <w:top w:w="100.0" w:type="dxa"/>
        <w:left w:w="100.0" w:type="dxa"/>
        <w:bottom w:w="100.0" w:type="dxa"/>
        <w:right w:w="100.0" w:type="dxa"/>
      </w:tblCellMar>
    </w:tblPr>
  </w:style>
  <w:style w:type="table" w:styleId="Table9">
    <w:basedOn w:val="TableNormal"/>
    <w:tblPr>
      <w:tblStyleRowBandSize w:val="1"/>
      <w:tblStyleColBandSize w:val="1"/>
      <w:tblCellMar>
        <w:top w:w="100.0" w:type="dxa"/>
        <w:left w:w="100.0" w:type="dxa"/>
        <w:bottom w:w="100.0" w:type="dxa"/>
        <w:right w:w="100.0" w:type="dxa"/>
      </w:tblCellMar>
    </w:tblPr>
  </w:style>
  <w:style w:type="table" w:styleId="Table10">
    <w:basedOn w:val="TableNormal"/>
    <w:tblPr>
      <w:tblStyleRowBandSize w:val="1"/>
      <w:tblStyleColBandSize w:val="1"/>
      <w:tblCellMar>
        <w:top w:w="100.0" w:type="dxa"/>
        <w:left w:w="100.0" w:type="dxa"/>
        <w:bottom w:w="100.0" w:type="dxa"/>
        <w:right w:w="100.0" w:type="dxa"/>
      </w:tblCellMar>
    </w:tblPr>
  </w:style>
  <w:style w:type="table" w:styleId="Table11">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12">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13">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14">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15">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16">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17">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18">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19">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20">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21">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22">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23">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24">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25">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26">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27">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28">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29">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30">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31">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32">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33">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34">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35">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36">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37">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 w:type="table" w:styleId="Table38">
    <w:basedOn w:val="TableNormal"/>
    <w:pPr>
      <w:spacing w:line="240" w:lineRule="auto"/>
      <w:jc w:val="left"/>
    </w:pPr>
    <w:rPr>
      <w:rFonts w:ascii="Cambria" w:cs="Cambria" w:eastAsia="Cambria" w:hAnsi="Cambria"/>
    </w:r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5b3d7" w:space="0" w:sz="4" w:val="single"/>
        </w:tcBorders>
      </w:tcPr>
    </w:tblStylePr>
    <w:tblStylePr w:type="nwCell">
      <w:tcPr>
        <w:tcBorders>
          <w:bottom w:color="95b3d7" w:space="0" w:sz="4" w:val="single"/>
        </w:tcBorders>
      </w:tcPr>
    </w:tblStylePr>
    <w:tblStylePr w:type="seCell">
      <w:tcPr>
        <w:tcBorders>
          <w:top w:color="95b3d7" w:space="0" w:sz="4" w:val="single"/>
        </w:tcBorders>
      </w:tcPr>
    </w:tblStylePr>
    <w:tblStylePr w:type="swCell">
      <w:tcPr>
        <w:tcBorders>
          <w:top w:color="95b3d7" w:space="0" w:sz="4" w:val="single"/>
        </w:tcBorders>
      </w:tcPr>
    </w:tblStyle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1108/qrfm-06-2016-0018" TargetMode="External"/><Relationship Id="rId11" Type="http://schemas.openxmlformats.org/officeDocument/2006/relationships/hyperlink" Target="https://doi.org/10.1002/jcaf.22540" TargetMode="External"/><Relationship Id="rId22" Type="http://schemas.openxmlformats.org/officeDocument/2006/relationships/hyperlink" Target="https://doi.org/10.2991/icpel-17.2017.62" TargetMode="External"/><Relationship Id="rId10" Type="http://schemas.openxmlformats.org/officeDocument/2006/relationships/hyperlink" Target="https://doi.org/10.1016/j.jbusres.2018.07.039" TargetMode="External"/><Relationship Id="rId21" Type="http://schemas.openxmlformats.org/officeDocument/2006/relationships/hyperlink" Target="https://doi.org/10.1108/ebr-12-2018-0209" TargetMode="External"/><Relationship Id="rId13" Type="http://schemas.openxmlformats.org/officeDocument/2006/relationships/hyperlink" Target="https://doi.org/10.2866/5014477" TargetMode="External"/><Relationship Id="rId12" Type="http://schemas.openxmlformats.org/officeDocument/2006/relationships/hyperlink" Target="https://doi.org/10.1287/mnsc.2015.2415" TargetMode="External"/><Relationship Id="rId23" Type="http://schemas.openxmlformats.org/officeDocument/2006/relationships/footer" Target="foot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111/jbfa.12367" TargetMode="External"/><Relationship Id="rId15" Type="http://schemas.openxmlformats.org/officeDocument/2006/relationships/hyperlink" Target="https://doi.org/10.1080/15140326.2020.1711591" TargetMode="External"/><Relationship Id="rId14" Type="http://schemas.openxmlformats.org/officeDocument/2006/relationships/hyperlink" Target="https://doi.org/10.1111/jscm.12293" TargetMode="External"/><Relationship Id="rId17" Type="http://schemas.openxmlformats.org/officeDocument/2006/relationships/hyperlink" Target="https://unitesi.unive.it/bitstream/20.500.14247/4284/1/872666-1280209.pdf" TargetMode="External"/><Relationship Id="rId16" Type="http://schemas.openxmlformats.org/officeDocument/2006/relationships/hyperlink" Target="https://doi.org/10.1590/0103-6513.20190020" TargetMode="External"/><Relationship Id="rId5" Type="http://schemas.openxmlformats.org/officeDocument/2006/relationships/styles" Target="styles.xml"/><Relationship Id="rId19" Type="http://schemas.openxmlformats.org/officeDocument/2006/relationships/hyperlink" Target="https://doi.org/10.3390/pr9010102" TargetMode="External"/><Relationship Id="rId6" Type="http://schemas.openxmlformats.org/officeDocument/2006/relationships/customXml" Target="../customXML/item1.xml"/><Relationship Id="rId18" Type="http://schemas.openxmlformats.org/officeDocument/2006/relationships/hyperlink" Target="https://doi.org/10.5267/j.msl.2018.10.010" TargetMode="External"/><Relationship Id="rId7" Type="http://schemas.openxmlformats.org/officeDocument/2006/relationships/image" Target="media/image1.png"/><Relationship Id="rId8" Type="http://schemas.openxmlformats.org/officeDocument/2006/relationships/hyperlink" Target="https://doi.org/10.1111/acfi.13391"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CambriaMath-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bIkxiLajwkmFMogXVHFdrAxLCDQ==">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