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F42C93" wp14:paraId="11CA7929" wp14:textId="2FD582A4">
      <w:pPr>
        <w:spacing w:before="212" w:beforeAutospacing="off" w:after="120" w:afterAutospacing="off" w:line="36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7E68DC60">
        <w:drawing>
          <wp:inline xmlns:wp14="http://schemas.microsoft.com/office/word/2010/wordprocessingDrawing" wp14:editId="545A8E37" wp14:anchorId="70754F2A">
            <wp:extent cx="2971800" cy="1181100"/>
            <wp:effectExtent l="0" t="0" r="0" b="0"/>
            <wp:docPr id="21393923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9392374" name="Picture 2139392374"/>
                    <pic:cNvPicPr/>
                  </pic:nvPicPr>
                  <pic:blipFill>
                    <a:blip xmlns:r="http://schemas.openxmlformats.org/officeDocument/2006/relationships" r:embed="rId395281659">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37F42C93" wp14:paraId="5A3C100D" wp14:textId="3E1ED833">
      <w:pPr>
        <w:spacing w:before="212" w:beforeAutospacing="off" w:after="120" w:afterAutospacing="off" w:line="360" w:lineRule="auto"/>
        <w:rPr>
          <w:rFonts w:ascii="Arial" w:hAnsi="Arial" w:eastAsia="Arial" w:cs="Arial"/>
          <w:b w:val="0"/>
          <w:bCs w:val="0"/>
          <w:i w:val="0"/>
          <w:iCs w:val="0"/>
          <w:caps w:val="0"/>
          <w:smallCaps w:val="0"/>
          <w:noProof w:val="0"/>
          <w:color w:val="000000" w:themeColor="text1" w:themeTint="FF" w:themeShade="FF"/>
          <w:sz w:val="48"/>
          <w:szCs w:val="48"/>
          <w:highlight w:val="black"/>
          <w:lang w:val="en-GB"/>
        </w:rPr>
      </w:pPr>
    </w:p>
    <w:p xmlns:wp14="http://schemas.microsoft.com/office/word/2010/wordml" w:rsidP="37F42C93" wp14:paraId="0A96F770" wp14:textId="1E755694">
      <w:pPr>
        <w:keepNext w:val="0"/>
        <w:keepLines w:val="0"/>
        <w:spacing w:before="120" w:beforeAutospacing="off" w:after="12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37F42C93" w:rsidR="266DBB5B">
        <w:rPr>
          <w:rFonts w:ascii="Arial" w:hAnsi="Arial" w:eastAsia="Arial" w:cs="Arial"/>
          <w:b w:val="1"/>
          <w:bCs w:val="1"/>
          <w:i w:val="0"/>
          <w:iCs w:val="0"/>
          <w:caps w:val="0"/>
          <w:smallCaps w:val="0"/>
          <w:noProof w:val="0"/>
          <w:color w:val="000000" w:themeColor="text1" w:themeTint="FF" w:themeShade="FF"/>
          <w:sz w:val="48"/>
          <w:szCs w:val="48"/>
          <w:lang w:val="en-GB"/>
        </w:rPr>
        <w:t xml:space="preserve">The Changing Business </w:t>
      </w:r>
      <w:r w:rsidRPr="37F42C93" w:rsidR="266DBB5B">
        <w:rPr>
          <w:rFonts w:ascii="Arial" w:hAnsi="Arial" w:eastAsia="Arial" w:cs="Arial"/>
          <w:b w:val="1"/>
          <w:bCs w:val="1"/>
          <w:i w:val="0"/>
          <w:iCs w:val="0"/>
          <w:caps w:val="0"/>
          <w:smallCaps w:val="0"/>
          <w:noProof w:val="0"/>
          <w:color w:val="000000" w:themeColor="text1" w:themeTint="FF" w:themeShade="FF"/>
          <w:sz w:val="48"/>
          <w:szCs w:val="48"/>
          <w:lang w:val="en-GB"/>
        </w:rPr>
        <w:t>Environment</w:t>
      </w:r>
    </w:p>
    <w:p xmlns:wp14="http://schemas.microsoft.com/office/word/2010/wordml" w:rsidP="37F42C93" wp14:paraId="5FEBC569" wp14:textId="67730419">
      <w:pPr>
        <w:keepNext w:val="0"/>
        <w:keepLines w:val="0"/>
        <w:spacing w:before="120" w:beforeAutospacing="off" w:after="12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37F42C93" w:rsidR="266DBB5B">
        <w:rPr>
          <w:rFonts w:ascii="Arial" w:hAnsi="Arial" w:eastAsia="Arial" w:cs="Arial"/>
          <w:b w:val="1"/>
          <w:bCs w:val="1"/>
          <w:i w:val="0"/>
          <w:iCs w:val="0"/>
          <w:caps w:val="0"/>
          <w:smallCaps w:val="0"/>
          <w:noProof w:val="0"/>
          <w:color w:val="000000" w:themeColor="text1" w:themeTint="FF" w:themeShade="FF"/>
          <w:sz w:val="48"/>
          <w:szCs w:val="48"/>
          <w:lang w:val="en-GB"/>
        </w:rPr>
        <w:t>(BMBM 4010/D)</w:t>
      </w:r>
    </w:p>
    <w:p xmlns:wp14="http://schemas.microsoft.com/office/word/2010/wordml" w:rsidP="37F42C93" wp14:paraId="0991E464" wp14:textId="7C3D595D">
      <w:pPr>
        <w:pStyle w:val="Normal"/>
        <w:keepNext w:val="0"/>
        <w:keepLines w:val="0"/>
        <w:spacing w:before="120" w:beforeAutospacing="off" w:after="12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37F42C93" w:rsidR="4DDF1B09">
        <w:rPr>
          <w:rFonts w:ascii="Arial" w:hAnsi="Arial" w:eastAsia="Arial" w:cs="Arial"/>
          <w:b w:val="1"/>
          <w:bCs w:val="1"/>
          <w:i w:val="0"/>
          <w:iCs w:val="0"/>
          <w:caps w:val="0"/>
          <w:smallCaps w:val="0"/>
          <w:noProof w:val="0"/>
          <w:color w:val="000000" w:themeColor="text1" w:themeTint="FF" w:themeShade="FF"/>
          <w:sz w:val="48"/>
          <w:szCs w:val="48"/>
          <w:lang w:val="en-GB"/>
        </w:rPr>
        <w:t>Lecturer: Zoe Williams</w:t>
      </w:r>
    </w:p>
    <w:p xmlns:wp14="http://schemas.microsoft.com/office/word/2010/wordml" w:rsidP="37F42C93" wp14:paraId="5E3AE483" wp14:textId="6D3BF61E">
      <w:pPr>
        <w:pStyle w:val="Normal"/>
        <w:keepNext w:val="0"/>
        <w:keepLines w:val="0"/>
        <w:spacing w:before="120" w:beforeAutospacing="off" w:after="120" w:afterAutospacing="off" w:line="360" w:lineRule="auto"/>
        <w:jc w:val="center"/>
        <w:rPr>
          <w:rFonts w:ascii="Arial" w:hAnsi="Arial" w:eastAsia="Arial" w:cs="Arial"/>
          <w:b w:val="1"/>
          <w:bCs w:val="1"/>
          <w:noProof w:val="0"/>
          <w:sz w:val="48"/>
          <w:szCs w:val="48"/>
          <w:lang w:val="en-GB"/>
        </w:rPr>
      </w:pPr>
      <w:r w:rsidRPr="37F42C93" w:rsidR="64955028">
        <w:rPr>
          <w:rFonts w:ascii="Arial" w:hAnsi="Arial" w:eastAsia="Arial" w:cs="Arial"/>
          <w:b w:val="1"/>
          <w:bCs w:val="1"/>
          <w:i w:val="0"/>
          <w:iCs w:val="0"/>
          <w:caps w:val="0"/>
          <w:smallCaps w:val="0"/>
          <w:noProof w:val="0"/>
          <w:color w:val="000000" w:themeColor="text1" w:themeTint="FF" w:themeShade="FF"/>
          <w:sz w:val="48"/>
          <w:szCs w:val="48"/>
          <w:lang w:val="en-GB"/>
        </w:rPr>
        <w:t>Essay</w:t>
      </w:r>
      <w:r w:rsidRPr="37F42C93" w:rsidR="117D1C79">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37F42C93" w:rsidR="64955028">
        <w:rPr>
          <w:rFonts w:ascii="Arial" w:hAnsi="Arial" w:eastAsia="Arial" w:cs="Arial"/>
          <w:b w:val="1"/>
          <w:bCs w:val="1"/>
          <w:noProof w:val="0"/>
          <w:sz w:val="48"/>
          <w:szCs w:val="48"/>
          <w:lang w:val="en-GB"/>
        </w:rPr>
        <w:t>Adapting to Change: A Business Environment Analysis of HSBC bank</w:t>
      </w:r>
    </w:p>
    <w:p xmlns:wp14="http://schemas.microsoft.com/office/word/2010/wordml" w:rsidP="37F42C93" wp14:paraId="668002B0" wp14:textId="00B33636">
      <w:pPr>
        <w:keepNext w:val="0"/>
        <w:keepLines w:val="0"/>
        <w:spacing w:before="3" w:beforeAutospacing="off" w:after="12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highlight w:val="black"/>
          <w:lang w:val="en-GB"/>
        </w:rPr>
      </w:pPr>
      <w:r w:rsidRPr="37F42C93" w:rsidR="7E68DC60">
        <w:rPr>
          <w:rFonts w:ascii="Arial" w:hAnsi="Arial" w:eastAsia="Arial" w:cs="Arial"/>
          <w:b w:val="1"/>
          <w:bCs w:val="1"/>
          <w:i w:val="0"/>
          <w:iCs w:val="0"/>
          <w:caps w:val="0"/>
          <w:smallCaps w:val="0"/>
          <w:noProof w:val="0"/>
          <w:color w:val="000000" w:themeColor="text1" w:themeTint="FF" w:themeShade="FF"/>
          <w:sz w:val="48"/>
          <w:szCs w:val="48"/>
          <w:lang w:val="en-GB"/>
        </w:rPr>
        <w:t>Student Name: Elena Dimitrova</w:t>
      </w:r>
    </w:p>
    <w:p xmlns:wp14="http://schemas.microsoft.com/office/word/2010/wordml" w:rsidP="37F42C93" wp14:paraId="74036F42" wp14:textId="12F5BF73">
      <w:pPr>
        <w:keepNext w:val="0"/>
        <w:keepLines w:val="0"/>
        <w:spacing w:before="3" w:beforeAutospacing="off" w:after="12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highlight w:val="black"/>
          <w:lang w:val="en-GB"/>
        </w:rPr>
      </w:pPr>
      <w:r w:rsidRPr="37F42C93" w:rsidR="7E68DC60">
        <w:rPr>
          <w:rFonts w:ascii="Arial" w:hAnsi="Arial" w:eastAsia="Arial" w:cs="Arial"/>
          <w:b w:val="1"/>
          <w:bCs w:val="1"/>
          <w:i w:val="0"/>
          <w:iCs w:val="0"/>
          <w:caps w:val="0"/>
          <w:smallCaps w:val="0"/>
          <w:noProof w:val="0"/>
          <w:color w:val="000000" w:themeColor="text1" w:themeTint="FF" w:themeShade="FF"/>
          <w:sz w:val="48"/>
          <w:szCs w:val="48"/>
          <w:lang w:val="en-GB"/>
        </w:rPr>
        <w:t>Student Number: 2332890</w:t>
      </w:r>
    </w:p>
    <w:p xmlns:wp14="http://schemas.microsoft.com/office/word/2010/wordml" w:rsidP="37F42C93" wp14:paraId="468C1DF2" wp14:textId="19C32705">
      <w:pPr>
        <w:keepNext w:val="0"/>
        <w:keepLines w:val="0"/>
        <w:spacing w:before="120" w:beforeAutospacing="off" w:after="12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highlight w:val="black"/>
          <w:lang w:val="en-GB"/>
        </w:rPr>
      </w:pPr>
    </w:p>
    <w:p xmlns:wp14="http://schemas.microsoft.com/office/word/2010/wordml" w:rsidP="37F42C93" wp14:paraId="0F09CBF7" wp14:textId="3B0CE646">
      <w:pPr>
        <w:keepNext w:val="0"/>
        <w:keepLines w:val="0"/>
        <w:spacing w:before="120" w:beforeAutospacing="off" w:after="12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highlight w:val="black"/>
          <w:lang w:val="en-GB"/>
        </w:rPr>
      </w:pPr>
    </w:p>
    <w:p xmlns:wp14="http://schemas.microsoft.com/office/word/2010/wordml" w:rsidP="469ED168" wp14:paraId="1060F649" wp14:textId="0E096951">
      <w:pPr>
        <w:keepNext w:val="0"/>
        <w:keepLines w:val="0"/>
        <w:widowControl w:val="0"/>
        <w:spacing w:before="120" w:beforeAutospacing="off" w:after="120" w:afterAutospacing="off" w:line="360" w:lineRule="auto"/>
        <w:jc w:val="center"/>
        <w:rPr>
          <w:rFonts w:ascii="Arial" w:hAnsi="Arial" w:eastAsia="Arial" w:cs="Arial"/>
          <w:noProof w:val="0"/>
          <w:color w:val="auto"/>
          <w:sz w:val="24"/>
          <w:szCs w:val="24"/>
          <w:lang w:val="en-GB"/>
        </w:rPr>
      </w:pPr>
      <w:r w:rsidRPr="469ED168" w:rsidR="7E68DC60">
        <w:rPr>
          <w:rFonts w:ascii="Arial" w:hAnsi="Arial" w:eastAsia="Arial" w:cs="Arial"/>
          <w:b w:val="1"/>
          <w:bCs w:val="1"/>
          <w:i w:val="0"/>
          <w:iCs w:val="0"/>
          <w:caps w:val="0"/>
          <w:smallCaps w:val="0"/>
          <w:noProof w:val="0"/>
          <w:color w:val="000000" w:themeColor="text1" w:themeTint="FF" w:themeShade="FF"/>
          <w:sz w:val="48"/>
          <w:szCs w:val="48"/>
          <w:lang w:val="en-GB"/>
        </w:rPr>
        <w:t>Wordcount:</w:t>
      </w:r>
      <w:r w:rsidRPr="469ED168" w:rsidR="2D5E2C24">
        <w:rPr>
          <w:rFonts w:ascii="Arial" w:hAnsi="Arial" w:eastAsia="Arial" w:cs="Arial"/>
          <w:b w:val="1"/>
          <w:bCs w:val="1"/>
          <w:i w:val="0"/>
          <w:iCs w:val="0"/>
          <w:caps w:val="0"/>
          <w:smallCaps w:val="0"/>
          <w:noProof w:val="0"/>
          <w:color w:val="000000" w:themeColor="text1" w:themeTint="FF" w:themeShade="FF"/>
          <w:sz w:val="48"/>
          <w:szCs w:val="48"/>
          <w:lang w:val="en-GB"/>
        </w:rPr>
        <w:t xml:space="preserve"> 2767</w:t>
      </w:r>
    </w:p>
    <w:p xmlns:wp14="http://schemas.microsoft.com/office/word/2010/wordml" w:rsidP="469ED168" wp14:paraId="5ADD3E29" wp14:textId="5A46DD74">
      <w:pPr>
        <w:keepNext w:val="0"/>
        <w:keepLines w:val="0"/>
        <w:widowControl w:val="0"/>
        <w:spacing w:before="120" w:beforeAutospacing="off" w:after="120" w:afterAutospacing="off" w:line="360" w:lineRule="auto"/>
        <w:jc w:val="both"/>
        <w:rPr>
          <w:rFonts w:ascii="Arial" w:hAnsi="Arial" w:eastAsia="Arial" w:cs="Arial"/>
          <w:noProof w:val="0"/>
          <w:color w:val="auto"/>
          <w:sz w:val="24"/>
          <w:szCs w:val="24"/>
          <w:lang w:val="en-GB"/>
        </w:rPr>
      </w:pPr>
      <w:r w:rsidRPr="469ED168" w:rsidR="7E37581D">
        <w:rPr>
          <w:rFonts w:ascii="Arial" w:hAnsi="Arial" w:eastAsia="Arial" w:cs="Arial"/>
          <w:noProof w:val="0"/>
          <w:color w:val="auto"/>
          <w:sz w:val="24"/>
          <w:szCs w:val="24"/>
          <w:lang w:val="en-GB"/>
        </w:rPr>
        <w:t xml:space="preserve">This essay examines HSBC Holdings plc as a case study to investigate how a major global bank responds to external environmental changes through the PESTLE analytical framework. The analysis assesses the organisation’s responses to challenges arising from its external environment and evaluates the effectiveness of the strategies implemented. HSBC is one of the largest banking and financial services institutions worldwide </w:t>
      </w:r>
      <w:r w:rsidRPr="469ED168" w:rsidR="7E37581D">
        <w:rPr>
          <w:rFonts w:ascii="Arial" w:hAnsi="Arial" w:eastAsia="Arial" w:cs="Arial"/>
          <w:noProof w:val="0"/>
          <w:color w:val="auto"/>
          <w:sz w:val="24"/>
          <w:szCs w:val="24"/>
          <w:lang w:val="en-GB"/>
        </w:rPr>
        <w:t>(HSBC, 2024).</w:t>
      </w:r>
      <w:r w:rsidRPr="469ED168" w:rsidR="7E37581D">
        <w:rPr>
          <w:rFonts w:ascii="Arial" w:hAnsi="Arial" w:eastAsia="Arial" w:cs="Arial"/>
          <w:noProof w:val="0"/>
          <w:color w:val="auto"/>
          <w:sz w:val="24"/>
          <w:szCs w:val="24"/>
          <w:lang w:val="en-GB"/>
        </w:rPr>
        <w:t xml:space="preserve"> The acronym HSBC refers to The Hongkong and Shanghai Banking Corporation. Founded in Hong Kong in 1865 to </w:t>
      </w:r>
      <w:r w:rsidRPr="469ED168" w:rsidR="7E37581D">
        <w:rPr>
          <w:rFonts w:ascii="Arial" w:hAnsi="Arial" w:eastAsia="Arial" w:cs="Arial"/>
          <w:noProof w:val="0"/>
          <w:color w:val="auto"/>
          <w:sz w:val="24"/>
          <w:szCs w:val="24"/>
          <w:lang w:val="en-GB"/>
        </w:rPr>
        <w:t>facilitate</w:t>
      </w:r>
      <w:r w:rsidRPr="469ED168" w:rsidR="7E37581D">
        <w:rPr>
          <w:rFonts w:ascii="Arial" w:hAnsi="Arial" w:eastAsia="Arial" w:cs="Arial"/>
          <w:noProof w:val="0"/>
          <w:color w:val="auto"/>
          <w:sz w:val="24"/>
          <w:szCs w:val="24"/>
          <w:lang w:val="en-GB"/>
        </w:rPr>
        <w:t xml:space="preserve"> trade between Europe and Asia, the institution currently </w:t>
      </w:r>
      <w:r w:rsidRPr="469ED168" w:rsidR="7E37581D">
        <w:rPr>
          <w:rFonts w:ascii="Arial" w:hAnsi="Arial" w:eastAsia="Arial" w:cs="Arial"/>
          <w:noProof w:val="0"/>
          <w:color w:val="auto"/>
          <w:sz w:val="24"/>
          <w:szCs w:val="24"/>
          <w:lang w:val="en-GB"/>
        </w:rPr>
        <w:t>operates</w:t>
      </w:r>
      <w:r w:rsidRPr="469ED168" w:rsidR="7E37581D">
        <w:rPr>
          <w:rFonts w:ascii="Arial" w:hAnsi="Arial" w:eastAsia="Arial" w:cs="Arial"/>
          <w:noProof w:val="0"/>
          <w:color w:val="auto"/>
          <w:sz w:val="24"/>
          <w:szCs w:val="24"/>
          <w:lang w:val="en-GB"/>
        </w:rPr>
        <w:t xml:space="preserve"> in 57 countries and serves 41 million personal, wealth, and corporate customers </w:t>
      </w:r>
      <w:r w:rsidRPr="469ED168" w:rsidR="7E37581D">
        <w:rPr>
          <w:rFonts w:ascii="Arial" w:hAnsi="Arial" w:eastAsia="Arial" w:cs="Arial"/>
          <w:noProof w:val="0"/>
          <w:color w:val="auto"/>
          <w:sz w:val="24"/>
          <w:szCs w:val="24"/>
          <w:lang w:val="en-GB"/>
        </w:rPr>
        <w:t>(HSBC, 2025)</w:t>
      </w:r>
      <w:r w:rsidRPr="469ED168" w:rsidR="7E37581D">
        <w:rPr>
          <w:rFonts w:ascii="Arial" w:hAnsi="Arial" w:eastAsia="Arial" w:cs="Arial"/>
          <w:noProof w:val="0"/>
          <w:color w:val="auto"/>
          <w:sz w:val="24"/>
          <w:szCs w:val="24"/>
          <w:lang w:val="en-GB"/>
        </w:rPr>
        <w:t>.</w:t>
      </w:r>
      <w:r w:rsidRPr="469ED168" w:rsidR="14E51869">
        <w:rPr>
          <w:rFonts w:ascii="Arial" w:hAnsi="Arial" w:eastAsia="Arial" w:cs="Arial"/>
          <w:noProof w:val="0"/>
          <w:color w:val="auto"/>
          <w:sz w:val="24"/>
          <w:szCs w:val="24"/>
          <w:lang w:val="en-GB"/>
        </w:rPr>
        <w:t xml:space="preserve"> </w:t>
      </w:r>
      <w:r w:rsidRPr="469ED168" w:rsidR="18555D8E">
        <w:rPr>
          <w:rFonts w:ascii="Arial" w:hAnsi="Arial" w:eastAsia="Arial" w:cs="Arial"/>
          <w:b w:val="0"/>
          <w:bCs w:val="0"/>
          <w:i w:val="0"/>
          <w:iCs w:val="0"/>
          <w:caps w:val="0"/>
          <w:smallCaps w:val="0"/>
          <w:noProof w:val="0"/>
          <w:color w:val="auto"/>
          <w:sz w:val="24"/>
          <w:szCs w:val="24"/>
          <w:lang w:val="en-GB"/>
        </w:rPr>
        <w:t>In 1991, the organisation restructured into a holding company, HSBC Holdings plc, headquartered in London. This reorganisation</w:t>
      </w:r>
      <w:r w:rsidRPr="469ED168" w:rsidR="18555D8E">
        <w:rPr>
          <w:rFonts w:ascii="Arial" w:hAnsi="Arial" w:eastAsia="Arial" w:cs="Arial"/>
          <w:b w:val="0"/>
          <w:bCs w:val="0"/>
          <w:i w:val="0"/>
          <w:iCs w:val="0"/>
          <w:caps w:val="0"/>
          <w:smallCaps w:val="0"/>
          <w:noProof w:val="0"/>
          <w:color w:val="auto"/>
          <w:sz w:val="24"/>
          <w:szCs w:val="24"/>
          <w:lang w:val="en-GB"/>
        </w:rPr>
        <w:t xml:space="preserve"> </w:t>
      </w:r>
      <w:r w:rsidRPr="469ED168" w:rsidR="18555D8E">
        <w:rPr>
          <w:rFonts w:ascii="Arial" w:hAnsi="Arial" w:eastAsia="Arial" w:cs="Arial"/>
          <w:b w:val="0"/>
          <w:bCs w:val="0"/>
          <w:i w:val="0"/>
          <w:iCs w:val="0"/>
          <w:caps w:val="0"/>
          <w:smallCaps w:val="0"/>
          <w:noProof w:val="0"/>
          <w:color w:val="auto"/>
          <w:sz w:val="24"/>
          <w:szCs w:val="24"/>
          <w:lang w:val="en-GB"/>
        </w:rPr>
        <w:t>facilitate</w:t>
      </w:r>
      <w:r w:rsidRPr="469ED168" w:rsidR="18555D8E">
        <w:rPr>
          <w:rFonts w:ascii="Arial" w:hAnsi="Arial" w:eastAsia="Arial" w:cs="Arial"/>
          <w:b w:val="0"/>
          <w:bCs w:val="0"/>
          <w:i w:val="0"/>
          <w:iCs w:val="0"/>
          <w:caps w:val="0"/>
          <w:smallCaps w:val="0"/>
          <w:noProof w:val="0"/>
          <w:color w:val="auto"/>
          <w:sz w:val="24"/>
          <w:szCs w:val="24"/>
          <w:lang w:val="en-GB"/>
        </w:rPr>
        <w:t>d</w:t>
      </w:r>
      <w:r w:rsidRPr="469ED168" w:rsidR="18555D8E">
        <w:rPr>
          <w:rFonts w:ascii="Arial" w:hAnsi="Arial" w:eastAsia="Arial" w:cs="Arial"/>
          <w:b w:val="0"/>
          <w:bCs w:val="0"/>
          <w:i w:val="0"/>
          <w:iCs w:val="0"/>
          <w:caps w:val="0"/>
          <w:smallCaps w:val="0"/>
          <w:noProof w:val="0"/>
          <w:color w:val="auto"/>
          <w:sz w:val="24"/>
          <w:szCs w:val="24"/>
          <w:lang w:val="en-GB"/>
        </w:rPr>
        <w:t xml:space="preserve"> substantial expansion, particularly through the acquisition of Midland Bank in 1992, which was then the United Kingdom’s largest commercial bank. This acquisition positioned HSBC as one of the world’s largest banking and financial institutions </w:t>
      </w:r>
      <w:r w:rsidRPr="469ED168" w:rsidR="18555D8E">
        <w:rPr>
          <w:rFonts w:ascii="Arial" w:hAnsi="Arial" w:eastAsia="Arial" w:cs="Arial"/>
          <w:b w:val="0"/>
          <w:bCs w:val="0"/>
          <w:i w:val="0"/>
          <w:iCs w:val="0"/>
          <w:caps w:val="0"/>
          <w:smallCaps w:val="0"/>
          <w:noProof w:val="0"/>
          <w:color w:val="auto"/>
          <w:sz w:val="24"/>
          <w:szCs w:val="24"/>
          <w:lang w:val="en-GB"/>
        </w:rPr>
        <w:t>(The Editors of Encyclopaedia Britannica, 2024</w:t>
      </w:r>
      <w:r w:rsidRPr="469ED168" w:rsidR="18555D8E">
        <w:rPr>
          <w:rFonts w:ascii="Arial" w:hAnsi="Arial" w:eastAsia="Arial" w:cs="Arial"/>
          <w:b w:val="0"/>
          <w:bCs w:val="0"/>
          <w:i w:val="0"/>
          <w:iCs w:val="0"/>
          <w:caps w:val="0"/>
          <w:smallCaps w:val="0"/>
          <w:noProof w:val="0"/>
          <w:color w:val="auto"/>
          <w:sz w:val="24"/>
          <w:szCs w:val="24"/>
          <w:lang w:val="en-GB"/>
        </w:rPr>
        <w:t xml:space="preserve">). </w:t>
      </w:r>
      <w:r w:rsidRPr="469ED168" w:rsidR="619C246C">
        <w:rPr>
          <w:rFonts w:ascii="Arial" w:hAnsi="Arial" w:eastAsia="Arial" w:cs="Arial"/>
          <w:noProof w:val="0"/>
          <w:color w:val="auto"/>
          <w:sz w:val="24"/>
          <w:szCs w:val="24"/>
          <w:lang w:val="en-GB"/>
        </w:rPr>
        <w:t xml:space="preserve">Several key factors justify selecting HSBC for this analysis. Due to its </w:t>
      </w:r>
      <w:r w:rsidRPr="469ED168" w:rsidR="619C246C">
        <w:rPr>
          <w:rFonts w:ascii="Arial" w:hAnsi="Arial" w:eastAsia="Arial" w:cs="Arial"/>
          <w:noProof w:val="0"/>
          <w:color w:val="auto"/>
          <w:sz w:val="24"/>
          <w:szCs w:val="24"/>
          <w:lang w:val="en-GB"/>
        </w:rPr>
        <w:t>central role</w:t>
      </w:r>
      <w:r w:rsidRPr="469ED168" w:rsidR="619C246C">
        <w:rPr>
          <w:rFonts w:ascii="Arial" w:hAnsi="Arial" w:eastAsia="Arial" w:cs="Arial"/>
          <w:noProof w:val="0"/>
          <w:color w:val="auto"/>
          <w:sz w:val="24"/>
          <w:szCs w:val="24"/>
          <w:lang w:val="en-GB"/>
        </w:rPr>
        <w:t xml:space="preserve"> in economic stability, business trading, and financial flow, the banking industry is heavily influenced by external factors. The ability of a bank to navigate these pressures effectively is critical to its competitive advantage and long-term sustainability </w:t>
      </w:r>
      <w:r w:rsidRPr="469ED168" w:rsidR="619C246C">
        <w:rPr>
          <w:rFonts w:ascii="Arial" w:hAnsi="Arial" w:eastAsia="Arial" w:cs="Arial"/>
          <w:noProof w:val="0"/>
          <w:color w:val="auto"/>
          <w:sz w:val="24"/>
          <w:szCs w:val="24"/>
          <w:lang w:val="en-GB"/>
        </w:rPr>
        <w:t>(Bloom et al., 2018).</w:t>
      </w:r>
      <w:r w:rsidRPr="469ED168" w:rsidR="619C246C">
        <w:rPr>
          <w:rFonts w:ascii="Arial" w:hAnsi="Arial" w:eastAsia="Arial" w:cs="Arial"/>
          <w:noProof w:val="0"/>
          <w:color w:val="auto"/>
          <w:sz w:val="24"/>
          <w:szCs w:val="24"/>
          <w:lang w:val="en-GB"/>
        </w:rPr>
        <w:t xml:space="preserve"> HSBC’s extensive international operations expose the bank to diverse regulatory regimes, political risks, and currency fluctuations, making it vulnerable to shifts in economic policy and global market conditions. Furthermore, technological innovation and digital transformation are reshaping customer expectations (</w:t>
      </w:r>
      <w:r w:rsidRPr="469ED168" w:rsidR="619C246C">
        <w:rPr>
          <w:rFonts w:ascii="Arial" w:hAnsi="Arial" w:eastAsia="Arial" w:cs="Arial"/>
          <w:noProof w:val="0"/>
          <w:color w:val="auto"/>
          <w:sz w:val="24"/>
          <w:szCs w:val="24"/>
          <w:lang w:val="en-GB"/>
        </w:rPr>
        <w:t>Bhattacharyya et al., 2020</w:t>
      </w:r>
      <w:r w:rsidRPr="469ED168" w:rsidR="619C246C">
        <w:rPr>
          <w:rFonts w:ascii="Arial" w:hAnsi="Arial" w:eastAsia="Arial" w:cs="Arial"/>
          <w:noProof w:val="0"/>
          <w:color w:val="auto"/>
          <w:sz w:val="24"/>
          <w:szCs w:val="24"/>
          <w:lang w:val="en-GB"/>
        </w:rPr>
        <w:t xml:space="preserve">; </w:t>
      </w:r>
      <w:r w:rsidRPr="469ED168" w:rsidR="619C246C">
        <w:rPr>
          <w:rFonts w:ascii="Arial" w:hAnsi="Arial" w:eastAsia="Arial" w:cs="Arial"/>
          <w:noProof w:val="0"/>
          <w:color w:val="auto"/>
          <w:sz w:val="24"/>
          <w:szCs w:val="24"/>
          <w:lang w:val="en-GB"/>
        </w:rPr>
        <w:t>Dhouha</w:t>
      </w:r>
      <w:r w:rsidRPr="469ED168" w:rsidR="619C246C">
        <w:rPr>
          <w:rFonts w:ascii="Arial" w:hAnsi="Arial" w:eastAsia="Arial" w:cs="Arial"/>
          <w:noProof w:val="0"/>
          <w:color w:val="auto"/>
          <w:sz w:val="24"/>
          <w:szCs w:val="24"/>
          <w:lang w:val="en-GB"/>
        </w:rPr>
        <w:t xml:space="preserve"> </w:t>
      </w:r>
      <w:r w:rsidRPr="469ED168" w:rsidR="619C246C">
        <w:rPr>
          <w:rFonts w:ascii="Arial" w:hAnsi="Arial" w:eastAsia="Arial" w:cs="Arial"/>
          <w:noProof w:val="0"/>
          <w:color w:val="auto"/>
          <w:sz w:val="24"/>
          <w:szCs w:val="24"/>
          <w:lang w:val="en-GB"/>
        </w:rPr>
        <w:t>Nefla</w:t>
      </w:r>
      <w:r w:rsidRPr="469ED168" w:rsidR="619C246C">
        <w:rPr>
          <w:rFonts w:ascii="Arial" w:hAnsi="Arial" w:eastAsia="Arial" w:cs="Arial"/>
          <w:noProof w:val="0"/>
          <w:color w:val="auto"/>
          <w:sz w:val="24"/>
          <w:szCs w:val="24"/>
          <w:lang w:val="en-GB"/>
        </w:rPr>
        <w:t xml:space="preserve"> and </w:t>
      </w:r>
      <w:r w:rsidRPr="469ED168" w:rsidR="619C246C">
        <w:rPr>
          <w:rFonts w:ascii="Arial" w:hAnsi="Arial" w:eastAsia="Arial" w:cs="Arial"/>
          <w:noProof w:val="0"/>
          <w:color w:val="auto"/>
          <w:sz w:val="24"/>
          <w:szCs w:val="24"/>
          <w:lang w:val="en-GB"/>
        </w:rPr>
        <w:t>Jellouli</w:t>
      </w:r>
      <w:r w:rsidRPr="469ED168" w:rsidR="619C246C">
        <w:rPr>
          <w:rFonts w:ascii="Arial" w:hAnsi="Arial" w:eastAsia="Arial" w:cs="Arial"/>
          <w:noProof w:val="0"/>
          <w:color w:val="auto"/>
          <w:sz w:val="24"/>
          <w:szCs w:val="24"/>
          <w:lang w:val="en-GB"/>
        </w:rPr>
        <w:t>, 2025).</w:t>
      </w:r>
      <w:r w:rsidRPr="469ED168" w:rsidR="619C246C">
        <w:rPr>
          <w:rFonts w:ascii="Arial" w:hAnsi="Arial" w:eastAsia="Arial" w:cs="Arial"/>
          <w:noProof w:val="0"/>
          <w:color w:val="auto"/>
          <w:sz w:val="24"/>
          <w:szCs w:val="24"/>
          <w:lang w:val="en-GB"/>
        </w:rPr>
        <w:t xml:space="preserve"> Institutions such as HSBC are adopting digital services while </w:t>
      </w:r>
      <w:r w:rsidRPr="469ED168" w:rsidR="619C246C">
        <w:rPr>
          <w:rFonts w:ascii="Arial" w:hAnsi="Arial" w:eastAsia="Arial" w:cs="Arial"/>
          <w:noProof w:val="0"/>
          <w:color w:val="auto"/>
          <w:sz w:val="24"/>
          <w:szCs w:val="24"/>
          <w:lang w:val="en-GB"/>
        </w:rPr>
        <w:t>maintaining</w:t>
      </w:r>
      <w:r w:rsidRPr="469ED168" w:rsidR="619C246C">
        <w:rPr>
          <w:rFonts w:ascii="Arial" w:hAnsi="Arial" w:eastAsia="Arial" w:cs="Arial"/>
          <w:noProof w:val="0"/>
          <w:color w:val="auto"/>
          <w:sz w:val="24"/>
          <w:szCs w:val="24"/>
          <w:lang w:val="en-GB"/>
        </w:rPr>
        <w:t xml:space="preserve"> regulatory compliance and security. In addition, social and environmental pressures, including evolving sustainability standards and ethical banking practices, are increasingly shaping stakeholder behaviour and influencing corporate strategy (</w:t>
      </w:r>
      <w:r w:rsidRPr="469ED168" w:rsidR="619C246C">
        <w:rPr>
          <w:rFonts w:ascii="Arial" w:hAnsi="Arial" w:eastAsia="Arial" w:cs="Arial"/>
          <w:noProof w:val="0"/>
          <w:color w:val="auto"/>
          <w:sz w:val="24"/>
          <w:szCs w:val="24"/>
          <w:lang w:val="en-GB"/>
        </w:rPr>
        <w:t>Urban and Wójcik, 2019)</w:t>
      </w:r>
      <w:r w:rsidRPr="469ED168" w:rsidR="619C246C">
        <w:rPr>
          <w:rFonts w:ascii="Arial" w:hAnsi="Arial" w:eastAsia="Arial" w:cs="Arial"/>
          <w:noProof w:val="0"/>
          <w:color w:val="auto"/>
          <w:sz w:val="24"/>
          <w:szCs w:val="24"/>
          <w:lang w:val="en-GB"/>
        </w:rPr>
        <w:t xml:space="preserve">. HSBC’s participation in environmental, social, and governance (ESG) initiatives reflects broader industry trends and stakeholder expectations </w:t>
      </w:r>
      <w:r w:rsidRPr="469ED168" w:rsidR="619C246C">
        <w:rPr>
          <w:rFonts w:ascii="Arial" w:hAnsi="Arial" w:eastAsia="Arial" w:cs="Arial"/>
          <w:noProof w:val="0"/>
          <w:color w:val="auto"/>
          <w:sz w:val="24"/>
          <w:szCs w:val="24"/>
          <w:lang w:val="en-GB"/>
        </w:rPr>
        <w:t>(UNEPFI, 2022;</w:t>
      </w:r>
      <w:r w:rsidRPr="469ED168" w:rsidR="619C246C">
        <w:rPr>
          <w:rFonts w:ascii="Arial" w:hAnsi="Arial" w:eastAsia="Arial" w:cs="Arial"/>
          <w:noProof w:val="0"/>
          <w:color w:val="auto"/>
          <w:sz w:val="24"/>
          <w:szCs w:val="24"/>
          <w:lang w:val="en-GB"/>
        </w:rPr>
        <w:t xml:space="preserve"> </w:t>
      </w:r>
      <w:r w:rsidRPr="469ED168" w:rsidR="619C246C">
        <w:rPr>
          <w:rFonts w:ascii="Arial" w:hAnsi="Arial" w:eastAsia="Arial" w:cs="Arial"/>
          <w:noProof w:val="0"/>
          <w:color w:val="auto"/>
          <w:sz w:val="24"/>
          <w:szCs w:val="24"/>
          <w:lang w:val="en-GB"/>
        </w:rPr>
        <w:t>Cho, 2022)</w:t>
      </w:r>
      <w:r w:rsidRPr="469ED168" w:rsidR="619C246C">
        <w:rPr>
          <w:rFonts w:ascii="Arial" w:hAnsi="Arial" w:eastAsia="Arial" w:cs="Arial"/>
          <w:noProof w:val="0"/>
          <w:color w:val="auto"/>
          <w:sz w:val="24"/>
          <w:szCs w:val="24"/>
          <w:lang w:val="en-GB"/>
        </w:rPr>
        <w:t xml:space="preserve">. Nevertheless, reconciling profitability with sustainability commitments </w:t>
      </w:r>
      <w:r w:rsidRPr="469ED168" w:rsidR="619C246C">
        <w:rPr>
          <w:rFonts w:ascii="Arial" w:hAnsi="Arial" w:eastAsia="Arial" w:cs="Arial"/>
          <w:noProof w:val="0"/>
          <w:color w:val="auto"/>
          <w:sz w:val="24"/>
          <w:szCs w:val="24"/>
          <w:lang w:val="en-GB"/>
        </w:rPr>
        <w:t>remains</w:t>
      </w:r>
      <w:r w:rsidRPr="469ED168" w:rsidR="619C246C">
        <w:rPr>
          <w:rFonts w:ascii="Arial" w:hAnsi="Arial" w:eastAsia="Arial" w:cs="Arial"/>
          <w:noProof w:val="0"/>
          <w:color w:val="auto"/>
          <w:sz w:val="24"/>
          <w:szCs w:val="24"/>
          <w:lang w:val="en-GB"/>
        </w:rPr>
        <w:t xml:space="preserve"> a significant challenge, especially when ongoing involvement with carbon-intensive industries may conflict with stakeholder expectations and long-term climate </w:t>
      </w:r>
      <w:r w:rsidRPr="469ED168" w:rsidR="619C246C">
        <w:rPr>
          <w:rFonts w:ascii="Arial" w:hAnsi="Arial" w:eastAsia="Arial" w:cs="Arial"/>
          <w:noProof w:val="0"/>
          <w:color w:val="auto"/>
          <w:sz w:val="24"/>
          <w:szCs w:val="24"/>
          <w:lang w:val="en-GB"/>
        </w:rPr>
        <w:t>objectives</w:t>
      </w:r>
      <w:r w:rsidRPr="469ED168" w:rsidR="619C246C">
        <w:rPr>
          <w:rFonts w:ascii="Arial" w:hAnsi="Arial" w:eastAsia="Arial" w:cs="Arial"/>
          <w:noProof w:val="0"/>
          <w:color w:val="auto"/>
          <w:sz w:val="24"/>
          <w:szCs w:val="24"/>
          <w:lang w:val="en-GB"/>
        </w:rPr>
        <w:t xml:space="preserve"> </w:t>
      </w:r>
      <w:r w:rsidRPr="469ED168" w:rsidR="28424DFF">
        <w:rPr>
          <w:rFonts w:ascii="Arial" w:hAnsi="Arial" w:eastAsia="Arial" w:cs="Arial"/>
          <w:b w:val="0"/>
          <w:bCs w:val="0"/>
          <w:i w:val="0"/>
          <w:iCs w:val="0"/>
          <w:caps w:val="0"/>
          <w:smallCaps w:val="0"/>
          <w:noProof w:val="0"/>
          <w:color w:val="000000" w:themeColor="text1" w:themeTint="FF" w:themeShade="FF"/>
          <w:sz w:val="24"/>
          <w:szCs w:val="24"/>
          <w:lang w:val="en-GB"/>
        </w:rPr>
        <w:t>(</w:t>
      </w:r>
      <w:r w:rsidRPr="469ED168" w:rsidR="28424DFF">
        <w:rPr>
          <w:rFonts w:ascii="Arial" w:hAnsi="Arial" w:eastAsia="Arial" w:cs="Arial"/>
          <w:b w:val="0"/>
          <w:bCs w:val="0"/>
          <w:i w:val="0"/>
          <w:iCs w:val="0"/>
          <w:caps w:val="0"/>
          <w:smallCaps w:val="0"/>
          <w:noProof w:val="0"/>
          <w:color w:val="000000" w:themeColor="text1" w:themeTint="FF" w:themeShade="FF"/>
          <w:sz w:val="24"/>
          <w:szCs w:val="24"/>
          <w:lang w:val="en-GB"/>
        </w:rPr>
        <w:t>Hallswroth</w:t>
      </w:r>
      <w:r w:rsidRPr="469ED168" w:rsidR="28424DFF">
        <w:rPr>
          <w:rFonts w:ascii="Arial" w:hAnsi="Arial" w:eastAsia="Arial" w:cs="Arial"/>
          <w:b w:val="0"/>
          <w:bCs w:val="0"/>
          <w:i w:val="0"/>
          <w:iCs w:val="0"/>
          <w:caps w:val="0"/>
          <w:smallCaps w:val="0"/>
          <w:noProof w:val="0"/>
          <w:color w:val="000000" w:themeColor="text1" w:themeTint="FF" w:themeShade="FF"/>
          <w:sz w:val="24"/>
          <w:szCs w:val="24"/>
          <w:lang w:val="en-GB"/>
        </w:rPr>
        <w:t>, et al., 2019)</w:t>
      </w:r>
      <w:r w:rsidRPr="469ED168" w:rsidR="619C246C">
        <w:rPr>
          <w:rFonts w:ascii="Arial" w:hAnsi="Arial" w:eastAsia="Arial" w:cs="Arial"/>
          <w:noProof w:val="0"/>
          <w:color w:val="auto"/>
          <w:sz w:val="24"/>
          <w:szCs w:val="24"/>
          <w:lang w:val="en-GB"/>
        </w:rPr>
        <w:t>.</w:t>
      </w:r>
    </w:p>
    <w:p xmlns:wp14="http://schemas.microsoft.com/office/word/2010/wordml" w:rsidP="469ED168" wp14:paraId="4F8894DB" wp14:textId="01768118">
      <w:pPr>
        <w:pStyle w:val="Normal"/>
        <w:widowControl w:val="0"/>
        <w:suppressLineNumbers w:val="0"/>
        <w:spacing w:before="120" w:beforeAutospacing="off" w:after="120" w:afterAutospacing="off" w:line="360" w:lineRule="auto"/>
        <w:ind w:left="0" w:right="0"/>
        <w:jc w:val="both"/>
        <w:rPr>
          <w:rFonts w:ascii="Arial" w:hAnsi="Arial" w:eastAsia="Arial" w:cs="Arial"/>
          <w:noProof w:val="0"/>
          <w:color w:val="auto"/>
          <w:sz w:val="24"/>
          <w:szCs w:val="24"/>
          <w:lang w:val="en-GB"/>
        </w:rPr>
      </w:pPr>
      <w:r w:rsidRPr="469ED168" w:rsidR="7F2CCE0E">
        <w:rPr>
          <w:rFonts w:ascii="Arial" w:hAnsi="Arial" w:eastAsia="Arial" w:cs="Arial"/>
          <w:noProof w:val="0"/>
          <w:color w:val="auto"/>
          <w:sz w:val="24"/>
          <w:szCs w:val="24"/>
          <w:lang w:val="en-GB"/>
        </w:rPr>
        <w:t>The concept of a business environment refers to the totality of internal and external factors that influence an organisation’s operations, performance, and strategic decision-making</w:t>
      </w:r>
      <w:r w:rsidRPr="469ED168" w:rsidR="2AA4CC0C">
        <w:rPr>
          <w:rFonts w:ascii="Arial" w:hAnsi="Arial" w:eastAsia="Arial" w:cs="Arial"/>
          <w:noProof w:val="0"/>
          <w:color w:val="auto"/>
          <w:sz w:val="24"/>
          <w:szCs w:val="24"/>
          <w:lang w:val="en-GB"/>
        </w:rPr>
        <w:t xml:space="preserve"> </w:t>
      </w:r>
      <w:r w:rsidRPr="469ED168" w:rsidR="7F2CCE0E">
        <w:rPr>
          <w:rFonts w:ascii="Arial" w:hAnsi="Arial" w:eastAsia="Arial" w:cs="Arial"/>
          <w:noProof w:val="0"/>
          <w:color w:val="auto"/>
          <w:sz w:val="24"/>
          <w:szCs w:val="24"/>
          <w:lang w:val="en-GB"/>
        </w:rPr>
        <w:t>(Worthington et al., 2018). The external factors encompass everything from economic conditions, political developments, and legal frameworks to social trends, technological advancements, and environmental considerations. A business environment is not static; it is dynamic and constantly evolving, shaped by both predictable changes, such as demographic shifts or regulatory reforms, and unforeseen events, such as economic crises or geopolitical conflicts (World Bank, 2025).</w:t>
      </w:r>
      <w:r w:rsidRPr="469ED168" w:rsidR="7651E9F5">
        <w:rPr>
          <w:rFonts w:ascii="Arial" w:hAnsi="Arial" w:eastAsia="Arial" w:cs="Arial"/>
          <w:noProof w:val="0"/>
          <w:color w:val="auto"/>
          <w:sz w:val="24"/>
          <w:szCs w:val="24"/>
          <w:lang w:val="en-GB"/>
        </w:rPr>
        <w:t xml:space="preserve"> </w:t>
      </w:r>
      <w:r w:rsidRPr="469ED168" w:rsidR="4D7CD83F">
        <w:rPr>
          <w:rFonts w:ascii="Arial" w:hAnsi="Arial" w:eastAsia="Arial" w:cs="Arial"/>
          <w:noProof w:val="0"/>
          <w:color w:val="auto"/>
          <w:sz w:val="24"/>
          <w:szCs w:val="24"/>
          <w:lang w:val="en-GB"/>
        </w:rPr>
        <w:t>Internal factors</w:t>
      </w:r>
      <w:r w:rsidRPr="469ED168" w:rsidR="42DB27FC">
        <w:rPr>
          <w:rFonts w:ascii="Arial" w:hAnsi="Arial" w:eastAsia="Arial" w:cs="Arial"/>
          <w:noProof w:val="0"/>
          <w:color w:val="auto"/>
          <w:sz w:val="24"/>
          <w:szCs w:val="24"/>
          <w:lang w:val="en-GB"/>
        </w:rPr>
        <w:t>,</w:t>
      </w:r>
      <w:r w:rsidRPr="469ED168" w:rsidR="4D7CD83F">
        <w:rPr>
          <w:rFonts w:ascii="Arial" w:hAnsi="Arial" w:eastAsia="Arial" w:cs="Arial"/>
          <w:noProof w:val="0"/>
          <w:color w:val="auto"/>
          <w:sz w:val="24"/>
          <w:szCs w:val="24"/>
          <w:lang w:val="en-GB"/>
        </w:rPr>
        <w:t xml:space="preserve"> </w:t>
      </w:r>
      <w:r w:rsidRPr="469ED168" w:rsidR="358BBE4E">
        <w:rPr>
          <w:rFonts w:ascii="Arial" w:hAnsi="Arial" w:eastAsia="Arial" w:cs="Arial"/>
          <w:noProof w:val="0"/>
          <w:color w:val="auto"/>
          <w:sz w:val="24"/>
          <w:szCs w:val="24"/>
          <w:lang w:val="en-GB"/>
        </w:rPr>
        <w:t>including</w:t>
      </w:r>
      <w:r w:rsidRPr="469ED168" w:rsidR="4D7CD83F">
        <w:rPr>
          <w:rFonts w:ascii="Arial" w:hAnsi="Arial" w:eastAsia="Arial" w:cs="Arial"/>
          <w:noProof w:val="0"/>
          <w:color w:val="auto"/>
          <w:sz w:val="24"/>
          <w:szCs w:val="24"/>
          <w:lang w:val="en-GB"/>
        </w:rPr>
        <w:t xml:space="preserve"> organisational culture, leadership styles, operational capabilities, and financial resources</w:t>
      </w:r>
      <w:r w:rsidRPr="469ED168" w:rsidR="71909AB1">
        <w:rPr>
          <w:rFonts w:ascii="Arial" w:hAnsi="Arial" w:eastAsia="Arial" w:cs="Arial"/>
          <w:noProof w:val="0"/>
          <w:color w:val="auto"/>
          <w:sz w:val="24"/>
          <w:szCs w:val="24"/>
          <w:lang w:val="en-GB"/>
        </w:rPr>
        <w:t>,</w:t>
      </w:r>
      <w:r w:rsidRPr="469ED168" w:rsidR="4D7CD83F">
        <w:rPr>
          <w:rFonts w:ascii="Arial" w:hAnsi="Arial" w:eastAsia="Arial" w:cs="Arial"/>
          <w:noProof w:val="0"/>
          <w:color w:val="auto"/>
          <w:sz w:val="24"/>
          <w:szCs w:val="24"/>
          <w:lang w:val="en-GB"/>
        </w:rPr>
        <w:t xml:space="preserve"> interact with external conditions to shape business operations, competitiveness, and growth. A comprehensive understanding of the business environment requires not only </w:t>
      </w:r>
      <w:r w:rsidRPr="469ED168" w:rsidR="4D7CD83F">
        <w:rPr>
          <w:rFonts w:ascii="Arial" w:hAnsi="Arial" w:eastAsia="Arial" w:cs="Arial"/>
          <w:noProof w:val="0"/>
          <w:color w:val="auto"/>
          <w:sz w:val="24"/>
          <w:szCs w:val="24"/>
          <w:lang w:val="en-GB"/>
        </w:rPr>
        <w:t>identifying</w:t>
      </w:r>
      <w:r w:rsidRPr="469ED168" w:rsidR="4D7CD83F">
        <w:rPr>
          <w:rFonts w:ascii="Arial" w:hAnsi="Arial" w:eastAsia="Arial" w:cs="Arial"/>
          <w:noProof w:val="0"/>
          <w:color w:val="auto"/>
          <w:sz w:val="24"/>
          <w:szCs w:val="24"/>
          <w:lang w:val="en-GB"/>
        </w:rPr>
        <w:t xml:space="preserve"> these factors individually but also analysing their interactions and the extent to which they influence the organisation’s strategic options (Worthington et al., 2018). Systematic analysis of the business environment is crucial for organisations to sustain competitiveness, achieve long-term growth, and </w:t>
      </w:r>
      <w:r w:rsidRPr="469ED168" w:rsidR="4D7CD83F">
        <w:rPr>
          <w:rFonts w:ascii="Arial" w:hAnsi="Arial" w:eastAsia="Arial" w:cs="Arial"/>
          <w:noProof w:val="0"/>
          <w:color w:val="auto"/>
          <w:sz w:val="24"/>
          <w:szCs w:val="24"/>
          <w:lang w:val="en-GB"/>
        </w:rPr>
        <w:t>anticipate</w:t>
      </w:r>
      <w:r w:rsidRPr="469ED168" w:rsidR="4D7CD83F">
        <w:rPr>
          <w:rFonts w:ascii="Arial" w:hAnsi="Arial" w:eastAsia="Arial" w:cs="Arial"/>
          <w:noProof w:val="0"/>
          <w:color w:val="auto"/>
          <w:sz w:val="24"/>
          <w:szCs w:val="24"/>
          <w:lang w:val="en-GB"/>
        </w:rPr>
        <w:t xml:space="preserve"> potential risks.</w:t>
      </w:r>
      <w:r w:rsidRPr="469ED168" w:rsidR="33B699F6">
        <w:rPr>
          <w:rFonts w:ascii="Arial" w:hAnsi="Arial" w:eastAsia="Arial" w:cs="Arial"/>
          <w:noProof w:val="0"/>
          <w:color w:val="auto"/>
          <w:sz w:val="24"/>
          <w:szCs w:val="24"/>
          <w:lang w:val="en-GB"/>
        </w:rPr>
        <w:t xml:space="preserve"> </w:t>
      </w:r>
      <w:r w:rsidRPr="469ED168" w:rsidR="22E30628">
        <w:rPr>
          <w:rFonts w:ascii="Arial" w:hAnsi="Arial" w:eastAsia="Arial" w:cs="Arial"/>
          <w:noProof w:val="0"/>
          <w:color w:val="auto"/>
          <w:sz w:val="24"/>
          <w:szCs w:val="24"/>
          <w:lang w:val="en-GB"/>
        </w:rPr>
        <w:t xml:space="preserve">For multinational corporations such as HSBC, the complexity of operating across diverse markets amplifies the importance of environmental awareness (IMF, 2024; IMF, 2025). Political and regulatory changes exert direct and significant effects on financial institutions. Tax reforms, banking regulations, anti-money laundering legislation, and trade policies </w:t>
      </w:r>
      <w:r w:rsidRPr="469ED168" w:rsidR="22E30628">
        <w:rPr>
          <w:rFonts w:ascii="Arial" w:hAnsi="Arial" w:eastAsia="Arial" w:cs="Arial"/>
          <w:noProof w:val="0"/>
          <w:color w:val="auto"/>
          <w:sz w:val="24"/>
          <w:szCs w:val="24"/>
          <w:lang w:val="en-GB"/>
        </w:rPr>
        <w:t>determine</w:t>
      </w:r>
      <w:r w:rsidRPr="469ED168" w:rsidR="22E30628">
        <w:rPr>
          <w:rFonts w:ascii="Arial" w:hAnsi="Arial" w:eastAsia="Arial" w:cs="Arial"/>
          <w:noProof w:val="0"/>
          <w:color w:val="auto"/>
          <w:sz w:val="24"/>
          <w:szCs w:val="24"/>
          <w:lang w:val="en-GB"/>
        </w:rPr>
        <w:t xml:space="preserve"> operational compliance requirements and influence strategic decisions related to market entry, lending practices, and cross-border transactions</w:t>
      </w:r>
      <w:r w:rsidRPr="469ED168" w:rsidR="0EF5C532">
        <w:rPr>
          <w:rFonts w:ascii="Arial" w:hAnsi="Arial" w:eastAsia="Arial" w:cs="Arial"/>
          <w:noProof w:val="0"/>
          <w:color w:val="auto"/>
          <w:sz w:val="24"/>
          <w:szCs w:val="24"/>
          <w:lang w:val="en-GB"/>
        </w:rPr>
        <w:t xml:space="preserve"> (Bank for International Settlements, 2019)</w:t>
      </w:r>
      <w:r w:rsidRPr="469ED168" w:rsidR="22E30628">
        <w:rPr>
          <w:rFonts w:ascii="Arial" w:hAnsi="Arial" w:eastAsia="Arial" w:cs="Arial"/>
          <w:noProof w:val="0"/>
          <w:color w:val="auto"/>
          <w:sz w:val="24"/>
          <w:szCs w:val="24"/>
          <w:lang w:val="en-GB"/>
        </w:rPr>
        <w:t>. Economic factors, including interest rates, inflation, currency fluctuations, and global growth trends, also directly affect financial institutions’ profitability, lending capacity, and investment strategies (Xu et al., 2019; Alzoubi, 2022).</w:t>
      </w:r>
      <w:r w:rsidRPr="469ED168" w:rsidR="171D8656">
        <w:rPr>
          <w:rFonts w:ascii="Arial" w:hAnsi="Arial" w:eastAsia="Arial" w:cs="Arial"/>
          <w:noProof w:val="0"/>
          <w:color w:val="auto"/>
          <w:sz w:val="24"/>
          <w:szCs w:val="24"/>
          <w:lang w:val="en-GB"/>
        </w:rPr>
        <w:t xml:space="preserve"> </w:t>
      </w:r>
      <w:r w:rsidRPr="469ED168" w:rsidR="18555D8E">
        <w:rPr>
          <w:rFonts w:ascii="Arial" w:hAnsi="Arial" w:eastAsia="Arial" w:cs="Arial"/>
          <w:b w:val="0"/>
          <w:bCs w:val="0"/>
          <w:i w:val="0"/>
          <w:iCs w:val="0"/>
          <w:caps w:val="0"/>
          <w:smallCaps w:val="0"/>
          <w:noProof w:val="0"/>
          <w:color w:val="auto"/>
          <w:sz w:val="24"/>
          <w:szCs w:val="24"/>
          <w:lang w:val="en-GB"/>
        </w:rPr>
        <w:t>Social and cultural factors are also critical components of the business environment.</w:t>
      </w:r>
      <w:r w:rsidRPr="469ED168" w:rsidR="7A233232">
        <w:rPr>
          <w:rFonts w:ascii="Arial" w:hAnsi="Arial" w:eastAsia="Arial" w:cs="Arial"/>
          <w:noProof w:val="0"/>
          <w:color w:val="auto"/>
          <w:sz w:val="24"/>
          <w:szCs w:val="24"/>
          <w:lang w:val="en-GB"/>
        </w:rPr>
        <w:t xml:space="preserve"> Changes in consumer behaviour, demographics, and societal expectations directly influence demand and shape customer engagement strategies. For HSBC, rising demand for digital banking, mobile payment solutions, personalised financial services, and sustainable investment products has driven substantial investment in technology and innovation.</w:t>
      </w:r>
      <w:r w:rsidRPr="469ED168" w:rsidR="2E0E85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ED168" w:rsidR="2E0E85C3">
        <w:rPr>
          <w:rFonts w:ascii="Arial" w:hAnsi="Arial" w:eastAsia="Arial" w:cs="Arial"/>
          <w:b w:val="0"/>
          <w:bCs w:val="0"/>
          <w:i w:val="0"/>
          <w:iCs w:val="0"/>
          <w:caps w:val="0"/>
          <w:smallCaps w:val="0"/>
          <w:noProof w:val="0"/>
          <w:color w:val="000000" w:themeColor="text1" w:themeTint="FF" w:themeShade="FF"/>
          <w:sz w:val="24"/>
          <w:szCs w:val="24"/>
          <w:lang w:val="en-GB"/>
        </w:rPr>
        <w:t>Hallswroth</w:t>
      </w:r>
      <w:r w:rsidRPr="469ED168" w:rsidR="2E0E85C3">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(2019) </w:t>
      </w:r>
      <w:r w:rsidRPr="469ED168" w:rsidR="2E0E85C3">
        <w:rPr>
          <w:rFonts w:ascii="Arial" w:hAnsi="Arial" w:eastAsia="Arial" w:cs="Arial"/>
          <w:noProof w:val="0"/>
          <w:color w:val="auto"/>
          <w:sz w:val="24"/>
          <w:szCs w:val="24"/>
          <w:lang w:val="en-GB"/>
        </w:rPr>
        <w:t>note</w:t>
      </w:r>
      <w:r w:rsidRPr="469ED168" w:rsidR="7A233232">
        <w:rPr>
          <w:rFonts w:ascii="Arial" w:hAnsi="Arial" w:eastAsia="Arial" w:cs="Arial"/>
          <w:noProof w:val="0"/>
          <w:color w:val="auto"/>
          <w:sz w:val="24"/>
          <w:szCs w:val="24"/>
          <w:lang w:val="en-GB"/>
        </w:rPr>
        <w:t xml:space="preserve"> that cultural awareness and sensitivity are vital to </w:t>
      </w:r>
      <w:r w:rsidRPr="469ED168" w:rsidR="7A233232">
        <w:rPr>
          <w:rFonts w:ascii="Arial" w:hAnsi="Arial" w:eastAsia="Arial" w:cs="Arial"/>
          <w:noProof w:val="0"/>
          <w:color w:val="auto"/>
          <w:sz w:val="24"/>
          <w:szCs w:val="24"/>
          <w:lang w:val="en-GB"/>
        </w:rPr>
        <w:t>maintaining</w:t>
      </w:r>
      <w:r w:rsidRPr="469ED168" w:rsidR="7A233232">
        <w:rPr>
          <w:rFonts w:ascii="Arial" w:hAnsi="Arial" w:eastAsia="Arial" w:cs="Arial"/>
          <w:noProof w:val="0"/>
          <w:color w:val="auto"/>
          <w:sz w:val="24"/>
          <w:szCs w:val="24"/>
          <w:lang w:val="en-GB"/>
        </w:rPr>
        <w:t xml:space="preserve"> customer trust and operational effectiveness across HSBC’s international footprint.</w:t>
      </w:r>
      <w:r w:rsidRPr="469ED168" w:rsidR="68767946">
        <w:rPr>
          <w:rFonts w:ascii="Arial" w:hAnsi="Arial" w:eastAsia="Arial" w:cs="Arial"/>
          <w:noProof w:val="0"/>
          <w:color w:val="auto"/>
          <w:sz w:val="24"/>
          <w:szCs w:val="24"/>
          <w:lang w:val="en-GB"/>
        </w:rPr>
        <w:t xml:space="preserve"> Technological developments have become a defining feature of modern business environments, particularly in the financial sector. Rapid advancements in digital banking, artificial intelligence, blockchain, cloud computing, and cybersecurity have transformed the way banks </w:t>
      </w:r>
      <w:r w:rsidRPr="469ED168" w:rsidR="68767946">
        <w:rPr>
          <w:rFonts w:ascii="Arial" w:hAnsi="Arial" w:eastAsia="Arial" w:cs="Arial"/>
          <w:noProof w:val="0"/>
          <w:color w:val="auto"/>
          <w:sz w:val="24"/>
          <w:szCs w:val="24"/>
          <w:lang w:val="en-GB"/>
        </w:rPr>
        <w:t>operate</w:t>
      </w:r>
      <w:r w:rsidRPr="469ED168" w:rsidR="68767946">
        <w:rPr>
          <w:rFonts w:ascii="Arial" w:hAnsi="Arial" w:eastAsia="Arial" w:cs="Arial"/>
          <w:noProof w:val="0"/>
          <w:color w:val="auto"/>
          <w:sz w:val="24"/>
          <w:szCs w:val="24"/>
          <w:lang w:val="en-GB"/>
        </w:rPr>
        <w:t xml:space="preserve"> and compete (93digital, 2020). For HSBC, staying at the forefront of technological innovation is essential to remain relevant, meet customer expectations, and ensure operational efficiency. According to Dupont (2019), technology allows for improved data analytics, enhanced risk management, streamlined operations, and innovative service delivery, yet it also introduces new risks related to cyber threats, system failures, and regulatory compliance.</w:t>
      </w:r>
      <w:r w:rsidRPr="469ED168" w:rsidR="2057F09A">
        <w:rPr>
          <w:rFonts w:ascii="Arial" w:hAnsi="Arial" w:eastAsia="Arial" w:cs="Arial"/>
          <w:noProof w:val="0"/>
          <w:color w:val="auto"/>
          <w:sz w:val="24"/>
          <w:szCs w:val="24"/>
          <w:lang w:val="en-GB"/>
        </w:rPr>
        <w:t xml:space="preserve"> Legal and environmental considerations further illustrate the scope of the business environment. On the legal side, regulatory compliance, adherence to data protection laws, and observance of international banking standards such as Basel III are mandatory </w:t>
      </w:r>
      <w:r w:rsidRPr="469ED168" w:rsidR="1CD461EB">
        <w:rPr>
          <w:rFonts w:ascii="Arial" w:hAnsi="Arial" w:eastAsia="Arial" w:cs="Arial"/>
          <w:noProof w:val="0"/>
          <w:color w:val="auto"/>
          <w:sz w:val="24"/>
          <w:szCs w:val="24"/>
          <w:lang w:val="en-GB"/>
        </w:rPr>
        <w:t xml:space="preserve">to </w:t>
      </w:r>
      <w:r w:rsidRPr="469ED168" w:rsidR="1CD461EB">
        <w:rPr>
          <w:rFonts w:ascii="Arial" w:hAnsi="Arial" w:eastAsia="Arial" w:cs="Arial"/>
          <w:noProof w:val="0"/>
          <w:color w:val="auto"/>
          <w:sz w:val="24"/>
          <w:szCs w:val="24"/>
          <w:lang w:val="en-GB"/>
        </w:rPr>
        <w:t>maintain</w:t>
      </w:r>
      <w:r w:rsidRPr="469ED168" w:rsidR="2057F09A">
        <w:rPr>
          <w:rFonts w:ascii="Arial" w:hAnsi="Arial" w:eastAsia="Arial" w:cs="Arial"/>
          <w:noProof w:val="0"/>
          <w:color w:val="auto"/>
          <w:sz w:val="24"/>
          <w:szCs w:val="24"/>
          <w:lang w:val="en-GB"/>
        </w:rPr>
        <w:t xml:space="preserve"> </w:t>
      </w:r>
      <w:r w:rsidRPr="469ED168" w:rsidR="2057F09A">
        <w:rPr>
          <w:rFonts w:ascii="Arial" w:hAnsi="Arial" w:eastAsia="Arial" w:cs="Arial"/>
          <w:noProof w:val="0"/>
          <w:color w:val="auto"/>
          <w:sz w:val="24"/>
          <w:szCs w:val="24"/>
          <w:lang w:val="en-GB"/>
        </w:rPr>
        <w:t xml:space="preserve">operational legitimacy and </w:t>
      </w:r>
      <w:r w:rsidRPr="469ED168" w:rsidR="592B99C4">
        <w:rPr>
          <w:rFonts w:ascii="Arial" w:hAnsi="Arial" w:eastAsia="Arial" w:cs="Arial"/>
          <w:noProof w:val="0"/>
          <w:color w:val="auto"/>
          <w:sz w:val="24"/>
          <w:szCs w:val="24"/>
          <w:lang w:val="en-GB"/>
        </w:rPr>
        <w:t>avoid</w:t>
      </w:r>
      <w:r w:rsidRPr="469ED168" w:rsidR="2057F09A">
        <w:rPr>
          <w:rFonts w:ascii="Arial" w:hAnsi="Arial" w:eastAsia="Arial" w:cs="Arial"/>
          <w:noProof w:val="0"/>
          <w:color w:val="auto"/>
          <w:sz w:val="24"/>
          <w:szCs w:val="24"/>
          <w:lang w:val="en-GB"/>
        </w:rPr>
        <w:t xml:space="preserve"> financial penalties </w:t>
      </w:r>
      <w:r w:rsidRPr="469ED168" w:rsidR="112341AC">
        <w:rPr>
          <w:rFonts w:ascii="Arial" w:hAnsi="Arial" w:eastAsia="Arial" w:cs="Arial"/>
          <w:noProof w:val="0"/>
          <w:sz w:val="24"/>
          <w:szCs w:val="24"/>
          <w:lang w:val="en-GB"/>
        </w:rPr>
        <w:t>(Bank for International Settlements, 2019)</w:t>
      </w:r>
      <w:r w:rsidRPr="469ED168" w:rsidR="2057F09A">
        <w:rPr>
          <w:rFonts w:ascii="Arial" w:hAnsi="Arial" w:eastAsia="Arial" w:cs="Arial"/>
          <w:noProof w:val="0"/>
          <w:color w:val="auto"/>
          <w:sz w:val="24"/>
          <w:szCs w:val="24"/>
          <w:lang w:val="en-GB"/>
        </w:rPr>
        <w:t>. Meanwhile, environmental factors</w:t>
      </w:r>
      <w:r w:rsidRPr="469ED168" w:rsidR="0A4CEFC6">
        <w:rPr>
          <w:rFonts w:ascii="Arial" w:hAnsi="Arial" w:eastAsia="Arial" w:cs="Arial"/>
          <w:noProof w:val="0"/>
          <w:color w:val="auto"/>
          <w:sz w:val="24"/>
          <w:szCs w:val="24"/>
          <w:lang w:val="en-GB"/>
        </w:rPr>
        <w:t xml:space="preserve"> </w:t>
      </w:r>
      <w:r w:rsidRPr="469ED168" w:rsidR="2057F09A">
        <w:rPr>
          <w:rFonts w:ascii="Arial" w:hAnsi="Arial" w:eastAsia="Arial" w:cs="Arial"/>
          <w:noProof w:val="0"/>
          <w:color w:val="auto"/>
          <w:sz w:val="24"/>
          <w:szCs w:val="24"/>
          <w:lang w:val="en-GB"/>
        </w:rPr>
        <w:t>including climate change, insufficiency in resources, and sustainability expectations</w:t>
      </w:r>
      <w:r w:rsidRPr="469ED168" w:rsidR="1AD029ED">
        <w:rPr>
          <w:rFonts w:ascii="Arial" w:hAnsi="Arial" w:eastAsia="Arial" w:cs="Arial"/>
          <w:noProof w:val="0"/>
          <w:color w:val="auto"/>
          <w:sz w:val="24"/>
          <w:szCs w:val="24"/>
          <w:lang w:val="en-GB"/>
        </w:rPr>
        <w:t xml:space="preserve"> </w:t>
      </w:r>
      <w:r w:rsidRPr="469ED168" w:rsidR="2057F09A">
        <w:rPr>
          <w:rFonts w:ascii="Arial" w:hAnsi="Arial" w:eastAsia="Arial" w:cs="Arial"/>
          <w:noProof w:val="0"/>
          <w:color w:val="auto"/>
          <w:sz w:val="24"/>
          <w:szCs w:val="24"/>
          <w:lang w:val="en-GB"/>
        </w:rPr>
        <w:t>have become increasingly critical as stakeholders demand responsible corporate practices (NGFS, 2019; Bank of England, 2019; Carbone et al., 2019). Consequently, organisations like HSBC are under pressure to integrate environmental, social, and governance (ESG) considerations into strategic planning, product offerings, and investment decisions (UNEPFI, 2019).</w:t>
      </w:r>
    </w:p>
    <w:p xmlns:wp14="http://schemas.microsoft.com/office/word/2010/wordml" w:rsidP="469ED168" wp14:paraId="229A3EC6" wp14:textId="61385752">
      <w:pPr>
        <w:pStyle w:val="Normal"/>
        <w:widowControl w:val="0"/>
        <w:suppressLineNumbers w:val="0"/>
        <w:bidi w:val="0"/>
        <w:spacing w:before="120" w:beforeAutospacing="off" w:after="120" w:afterAutospacing="off" w:line="360" w:lineRule="auto"/>
        <w:ind w:left="0" w:right="0"/>
        <w:jc w:val="both"/>
        <w:rPr>
          <w:rFonts w:ascii="Arial" w:hAnsi="Arial" w:eastAsia="Arial" w:cs="Arial"/>
          <w:noProof w:val="0"/>
          <w:color w:val="auto"/>
          <w:sz w:val="24"/>
          <w:szCs w:val="24"/>
          <w:lang w:val="en-GB"/>
        </w:rPr>
      </w:pPr>
      <w:r w:rsidRPr="469ED168" w:rsidR="18555D8E">
        <w:rPr>
          <w:rFonts w:ascii="Arial" w:hAnsi="Arial" w:eastAsia="Arial" w:cs="Arial"/>
          <w:b w:val="0"/>
          <w:bCs w:val="0"/>
          <w:i w:val="0"/>
          <w:iCs w:val="0"/>
          <w:caps w:val="0"/>
          <w:smallCaps w:val="0"/>
          <w:noProof w:val="0"/>
          <w:color w:val="auto"/>
          <w:sz w:val="24"/>
          <w:szCs w:val="24"/>
          <w:lang w:val="en-GB"/>
        </w:rPr>
        <w:t xml:space="preserve">To systematically evaluate these diverse factors, businesses employ theoretical models such as PESTLE analysis and Porter’s Five Forces. PESTLE analysis categorises external influences into six dimensions: political, economic, social, technological, legal, and environmental </w:t>
      </w:r>
      <w:r w:rsidRPr="469ED168" w:rsidR="18555D8E">
        <w:rPr>
          <w:rFonts w:ascii="Arial" w:hAnsi="Arial" w:eastAsia="Arial" w:cs="Arial"/>
          <w:b w:val="0"/>
          <w:bCs w:val="0"/>
          <w:i w:val="0"/>
          <w:iCs w:val="0"/>
          <w:caps w:val="0"/>
          <w:smallCaps w:val="0"/>
          <w:noProof w:val="0"/>
          <w:color w:val="auto"/>
          <w:sz w:val="24"/>
          <w:szCs w:val="24"/>
          <w:lang w:val="en-GB"/>
        </w:rPr>
        <w:t>(</w:t>
      </w:r>
      <w:r w:rsidRPr="469ED168" w:rsidR="286F95F9">
        <w:rPr>
          <w:rFonts w:ascii="Arial" w:hAnsi="Arial" w:eastAsia="Arial" w:cs="Arial"/>
          <w:b w:val="0"/>
          <w:bCs w:val="0"/>
          <w:i w:val="0"/>
          <w:iCs w:val="0"/>
          <w:caps w:val="0"/>
          <w:smallCaps w:val="0"/>
          <w:noProof w:val="0"/>
          <w:color w:val="auto"/>
          <w:sz w:val="24"/>
          <w:szCs w:val="24"/>
          <w:lang w:val="en-GB"/>
        </w:rPr>
        <w:t xml:space="preserve">Ullah </w:t>
      </w:r>
      <w:r w:rsidRPr="469ED168" w:rsidR="18555D8E">
        <w:rPr>
          <w:rFonts w:ascii="Arial" w:hAnsi="Arial" w:eastAsia="Arial" w:cs="Arial"/>
          <w:b w:val="0"/>
          <w:bCs w:val="0"/>
          <w:i w:val="0"/>
          <w:iCs w:val="0"/>
          <w:caps w:val="0"/>
          <w:smallCaps w:val="0"/>
          <w:noProof w:val="0"/>
          <w:color w:val="auto"/>
          <w:sz w:val="24"/>
          <w:szCs w:val="24"/>
          <w:lang w:val="en-GB"/>
        </w:rPr>
        <w:t>Qadri and Tariq, 2025</w:t>
      </w:r>
      <w:r w:rsidRPr="469ED168" w:rsidR="18555D8E">
        <w:rPr>
          <w:rFonts w:ascii="Arial" w:hAnsi="Arial" w:eastAsia="Arial" w:cs="Arial"/>
          <w:b w:val="0"/>
          <w:bCs w:val="0"/>
          <w:i w:val="0"/>
          <w:iCs w:val="0"/>
          <w:caps w:val="0"/>
          <w:smallCaps w:val="0"/>
          <w:noProof w:val="0"/>
          <w:color w:val="auto"/>
          <w:sz w:val="24"/>
          <w:szCs w:val="24"/>
          <w:lang w:val="en-GB"/>
        </w:rPr>
        <w:t xml:space="preserve">). This model allows organisations to </w:t>
      </w:r>
      <w:r w:rsidRPr="469ED168" w:rsidR="18555D8E">
        <w:rPr>
          <w:rFonts w:ascii="Arial" w:hAnsi="Arial" w:eastAsia="Arial" w:cs="Arial"/>
          <w:b w:val="0"/>
          <w:bCs w:val="0"/>
          <w:i w:val="0"/>
          <w:iCs w:val="0"/>
          <w:caps w:val="0"/>
          <w:smallCaps w:val="0"/>
          <w:noProof w:val="0"/>
          <w:color w:val="auto"/>
          <w:sz w:val="24"/>
          <w:szCs w:val="24"/>
          <w:lang w:val="en-GB"/>
        </w:rPr>
        <w:t>identify</w:t>
      </w:r>
      <w:r w:rsidRPr="469ED168" w:rsidR="18555D8E">
        <w:rPr>
          <w:rFonts w:ascii="Arial" w:hAnsi="Arial" w:eastAsia="Arial" w:cs="Arial"/>
          <w:b w:val="0"/>
          <w:bCs w:val="0"/>
          <w:i w:val="0"/>
          <w:iCs w:val="0"/>
          <w:caps w:val="0"/>
          <w:smallCaps w:val="0"/>
          <w:noProof w:val="0"/>
          <w:color w:val="auto"/>
          <w:sz w:val="24"/>
          <w:szCs w:val="24"/>
          <w:lang w:val="en-GB"/>
        </w:rPr>
        <w:t xml:space="preserve"> potential threats and opportunities within the macro-environment, supporting informed strategic decision-making.</w:t>
      </w:r>
      <w:r w:rsidRPr="469ED168" w:rsidR="7B0E631F">
        <w:rPr>
          <w:rFonts w:ascii="Arial" w:hAnsi="Arial" w:eastAsia="Arial" w:cs="Arial"/>
          <w:b w:val="0"/>
          <w:bCs w:val="0"/>
          <w:i w:val="0"/>
          <w:iCs w:val="0"/>
          <w:caps w:val="0"/>
          <w:smallCaps w:val="0"/>
          <w:noProof w:val="0"/>
          <w:color w:val="auto"/>
          <w:sz w:val="24"/>
          <w:szCs w:val="24"/>
          <w:lang w:val="en-GB"/>
        </w:rPr>
        <w:t xml:space="preserve"> </w:t>
      </w:r>
      <w:r w:rsidRPr="469ED168" w:rsidR="19C79CF2">
        <w:rPr>
          <w:rFonts w:ascii="Arial" w:hAnsi="Arial" w:eastAsia="Arial" w:cs="Arial"/>
          <w:noProof w:val="0"/>
          <w:color w:val="auto"/>
          <w:sz w:val="24"/>
          <w:szCs w:val="24"/>
          <w:lang w:val="en-GB"/>
        </w:rPr>
        <w:t>Porter’s Five Forces, on the other hand, focuses on industry</w:t>
      </w:r>
      <w:r w:rsidRPr="469ED168" w:rsidR="6A0401B4">
        <w:rPr>
          <w:rFonts w:ascii="Arial" w:hAnsi="Arial" w:eastAsia="Arial" w:cs="Arial"/>
          <w:noProof w:val="0"/>
          <w:color w:val="auto"/>
          <w:sz w:val="24"/>
          <w:szCs w:val="24"/>
          <w:lang w:val="en-GB"/>
        </w:rPr>
        <w:t>-specific</w:t>
      </w:r>
      <w:r w:rsidRPr="469ED168" w:rsidR="19C79CF2">
        <w:rPr>
          <w:rFonts w:ascii="Arial" w:hAnsi="Arial" w:eastAsia="Arial" w:cs="Arial"/>
          <w:noProof w:val="0"/>
          <w:color w:val="auto"/>
          <w:sz w:val="24"/>
          <w:szCs w:val="24"/>
          <w:lang w:val="en-GB"/>
        </w:rPr>
        <w:t xml:space="preserve"> competition by analysing new entrants, supplier and buyer power, substitute risks, and rivalry</w:t>
      </w:r>
      <w:r w:rsidRPr="469ED168" w:rsidR="4938039C">
        <w:rPr>
          <w:rFonts w:ascii="Arial" w:hAnsi="Arial" w:eastAsia="Arial" w:cs="Arial"/>
          <w:noProof w:val="0"/>
          <w:color w:val="auto"/>
          <w:sz w:val="24"/>
          <w:szCs w:val="24"/>
          <w:lang w:val="en-GB"/>
        </w:rPr>
        <w:t xml:space="preserve"> within the sector</w:t>
      </w:r>
      <w:r w:rsidRPr="469ED168" w:rsidR="19C79CF2">
        <w:rPr>
          <w:rFonts w:ascii="Arial" w:hAnsi="Arial" w:eastAsia="Arial" w:cs="Arial"/>
          <w:noProof w:val="0"/>
          <w:color w:val="auto"/>
          <w:sz w:val="24"/>
          <w:szCs w:val="24"/>
          <w:lang w:val="en-GB"/>
        </w:rPr>
        <w:t xml:space="preserve"> </w:t>
      </w:r>
      <w:r w:rsidRPr="469ED168" w:rsidR="19C79CF2">
        <w:rPr>
          <w:rFonts w:ascii="Arial" w:hAnsi="Arial" w:eastAsia="Arial" w:cs="Arial"/>
          <w:noProof w:val="0"/>
          <w:color w:val="auto"/>
          <w:sz w:val="24"/>
          <w:szCs w:val="24"/>
          <w:lang w:val="en-GB"/>
        </w:rPr>
        <w:t>(Porter, 2008)</w:t>
      </w:r>
      <w:r w:rsidRPr="469ED168" w:rsidR="19C79CF2">
        <w:rPr>
          <w:rFonts w:ascii="Arial" w:hAnsi="Arial" w:eastAsia="Arial" w:cs="Arial"/>
          <w:noProof w:val="0"/>
          <w:color w:val="auto"/>
          <w:sz w:val="24"/>
          <w:szCs w:val="24"/>
          <w:lang w:val="en-GB"/>
        </w:rPr>
        <w:t xml:space="preserve">. </w:t>
      </w:r>
      <w:r w:rsidRPr="469ED168" w:rsidR="069BDD2A">
        <w:rPr>
          <w:rFonts w:ascii="Arial" w:hAnsi="Arial" w:eastAsia="Arial" w:cs="Arial"/>
          <w:noProof w:val="0"/>
          <w:color w:val="auto"/>
          <w:sz w:val="24"/>
          <w:szCs w:val="24"/>
          <w:lang w:val="en-GB"/>
        </w:rPr>
        <w:t>Applying</w:t>
      </w:r>
      <w:r w:rsidRPr="469ED168" w:rsidR="19C79CF2">
        <w:rPr>
          <w:rFonts w:ascii="Arial" w:hAnsi="Arial" w:eastAsia="Arial" w:cs="Arial"/>
          <w:noProof w:val="0"/>
          <w:color w:val="auto"/>
          <w:sz w:val="24"/>
          <w:szCs w:val="24"/>
          <w:lang w:val="en-GB"/>
        </w:rPr>
        <w:t xml:space="preserve"> this model helps organisations measure competition and </w:t>
      </w:r>
      <w:r w:rsidRPr="469ED168" w:rsidR="19C79CF2">
        <w:rPr>
          <w:rFonts w:ascii="Arial" w:hAnsi="Arial" w:eastAsia="Arial" w:cs="Arial"/>
          <w:noProof w:val="0"/>
          <w:color w:val="auto"/>
          <w:sz w:val="24"/>
          <w:szCs w:val="24"/>
          <w:lang w:val="en-GB"/>
        </w:rPr>
        <w:t>identify</w:t>
      </w:r>
      <w:r w:rsidRPr="469ED168" w:rsidR="19C79CF2">
        <w:rPr>
          <w:rFonts w:ascii="Arial" w:hAnsi="Arial" w:eastAsia="Arial" w:cs="Arial"/>
          <w:noProof w:val="0"/>
          <w:color w:val="auto"/>
          <w:sz w:val="24"/>
          <w:szCs w:val="24"/>
          <w:lang w:val="en-GB"/>
        </w:rPr>
        <w:t xml:space="preserve"> </w:t>
      </w:r>
      <w:r w:rsidRPr="469ED168" w:rsidR="49401AA7">
        <w:rPr>
          <w:rFonts w:ascii="Arial" w:hAnsi="Arial" w:eastAsia="Arial" w:cs="Arial"/>
          <w:noProof w:val="0"/>
          <w:color w:val="auto"/>
          <w:sz w:val="24"/>
          <w:szCs w:val="24"/>
          <w:lang w:val="en-GB"/>
        </w:rPr>
        <w:t>opportunities</w:t>
      </w:r>
      <w:r w:rsidRPr="469ED168" w:rsidR="00B36907">
        <w:rPr>
          <w:rFonts w:ascii="Arial" w:hAnsi="Arial" w:eastAsia="Arial" w:cs="Arial"/>
          <w:noProof w:val="0"/>
          <w:color w:val="auto"/>
          <w:sz w:val="24"/>
          <w:szCs w:val="24"/>
          <w:lang w:val="en-GB"/>
        </w:rPr>
        <w:t xml:space="preserve"> </w:t>
      </w:r>
      <w:r w:rsidRPr="469ED168" w:rsidR="19C79CF2">
        <w:rPr>
          <w:rFonts w:ascii="Arial" w:hAnsi="Arial" w:eastAsia="Arial" w:cs="Arial"/>
          <w:noProof w:val="0"/>
          <w:color w:val="auto"/>
          <w:sz w:val="24"/>
          <w:szCs w:val="24"/>
          <w:lang w:val="en-GB"/>
        </w:rPr>
        <w:t xml:space="preserve">where </w:t>
      </w:r>
      <w:r w:rsidRPr="469ED168" w:rsidR="1B6AF540">
        <w:rPr>
          <w:rFonts w:ascii="Arial" w:hAnsi="Arial" w:eastAsia="Arial" w:cs="Arial"/>
          <w:noProof w:val="0"/>
          <w:color w:val="auto"/>
          <w:sz w:val="24"/>
          <w:szCs w:val="24"/>
          <w:lang w:val="en-GB"/>
        </w:rPr>
        <w:t xml:space="preserve">strategic </w:t>
      </w:r>
      <w:r w:rsidRPr="469ED168" w:rsidR="19C79CF2">
        <w:rPr>
          <w:rFonts w:ascii="Arial" w:hAnsi="Arial" w:eastAsia="Arial" w:cs="Arial"/>
          <w:noProof w:val="0"/>
          <w:color w:val="auto"/>
          <w:sz w:val="24"/>
          <w:szCs w:val="24"/>
          <w:lang w:val="en-GB"/>
        </w:rPr>
        <w:t xml:space="preserve">differentiation or innovation can improve market position. Combining these models offers a comprehensive view of macro and industry-specific </w:t>
      </w:r>
      <w:r w:rsidRPr="469ED168" w:rsidR="789E6D0D">
        <w:rPr>
          <w:rFonts w:ascii="Arial" w:hAnsi="Arial" w:eastAsia="Arial" w:cs="Arial"/>
          <w:noProof w:val="0"/>
          <w:color w:val="auto"/>
          <w:sz w:val="24"/>
          <w:szCs w:val="24"/>
          <w:lang w:val="en-GB"/>
        </w:rPr>
        <w:t>factors. For</w:t>
      </w:r>
      <w:r w:rsidRPr="469ED168" w:rsidR="18555D8E">
        <w:rPr>
          <w:rFonts w:ascii="Arial" w:hAnsi="Arial" w:eastAsia="Arial" w:cs="Arial"/>
          <w:b w:val="0"/>
          <w:bCs w:val="0"/>
          <w:i w:val="0"/>
          <w:iCs w:val="0"/>
          <w:caps w:val="0"/>
          <w:smallCaps w:val="0"/>
          <w:noProof w:val="0"/>
          <w:color w:val="auto"/>
          <w:sz w:val="24"/>
          <w:szCs w:val="24"/>
          <w:lang w:val="en-GB"/>
        </w:rPr>
        <w:t xml:space="preserve"> multinational banks like HSBC, this dual perspective is particularly valuable, as it integrates broad global trends with sectoral competitive dynamics, informing risk management, operational decisions, and long-term strategy </w:t>
      </w:r>
      <w:r w:rsidRPr="469ED168" w:rsidR="18555D8E">
        <w:rPr>
          <w:rFonts w:ascii="Arial" w:hAnsi="Arial" w:eastAsia="Arial" w:cs="Arial"/>
          <w:b w:val="0"/>
          <w:bCs w:val="0"/>
          <w:i w:val="0"/>
          <w:iCs w:val="0"/>
          <w:caps w:val="0"/>
          <w:smallCaps w:val="0"/>
          <w:noProof w:val="0"/>
          <w:color w:val="auto"/>
          <w:sz w:val="24"/>
          <w:szCs w:val="24"/>
          <w:lang w:val="en-GB"/>
        </w:rPr>
        <w:t>(Worthington et al., 2018)</w:t>
      </w:r>
      <w:r w:rsidRPr="469ED168" w:rsidR="18555D8E">
        <w:rPr>
          <w:rFonts w:ascii="Arial" w:hAnsi="Arial" w:eastAsia="Arial" w:cs="Arial"/>
          <w:b w:val="0"/>
          <w:bCs w:val="0"/>
          <w:i w:val="0"/>
          <w:iCs w:val="0"/>
          <w:caps w:val="0"/>
          <w:smallCaps w:val="0"/>
          <w:noProof w:val="0"/>
          <w:color w:val="auto"/>
          <w:sz w:val="24"/>
          <w:szCs w:val="24"/>
          <w:lang w:val="en-GB"/>
        </w:rPr>
        <w:t xml:space="preserve">. By continuously </w:t>
      </w:r>
      <w:r w:rsidRPr="469ED168" w:rsidR="18555D8E">
        <w:rPr>
          <w:rFonts w:ascii="Arial" w:hAnsi="Arial" w:eastAsia="Arial" w:cs="Arial"/>
          <w:b w:val="0"/>
          <w:bCs w:val="0"/>
          <w:i w:val="0"/>
          <w:iCs w:val="0"/>
          <w:caps w:val="0"/>
          <w:smallCaps w:val="0"/>
          <w:noProof w:val="0"/>
          <w:color w:val="auto"/>
          <w:sz w:val="24"/>
          <w:szCs w:val="24"/>
          <w:lang w:val="en-GB"/>
        </w:rPr>
        <w:t>monitoring</w:t>
      </w:r>
      <w:r w:rsidRPr="469ED168" w:rsidR="18555D8E">
        <w:rPr>
          <w:rFonts w:ascii="Arial" w:hAnsi="Arial" w:eastAsia="Arial" w:cs="Arial"/>
          <w:b w:val="0"/>
          <w:bCs w:val="0"/>
          <w:i w:val="0"/>
          <w:iCs w:val="0"/>
          <w:caps w:val="0"/>
          <w:smallCaps w:val="0"/>
          <w:noProof w:val="0"/>
          <w:color w:val="auto"/>
          <w:sz w:val="24"/>
          <w:szCs w:val="24"/>
          <w:lang w:val="en-GB"/>
        </w:rPr>
        <w:t xml:space="preserve"> and analysing the business environment, HSBC can not only mitigate potential risks but also seize opportunities for growth, innovation, and sustainable competitive advantage.</w:t>
      </w:r>
      <w:r w:rsidRPr="469ED168" w:rsidR="18791584">
        <w:rPr>
          <w:rFonts w:ascii="Arial" w:hAnsi="Arial" w:eastAsia="Arial" w:cs="Arial"/>
          <w:b w:val="0"/>
          <w:bCs w:val="0"/>
          <w:i w:val="0"/>
          <w:iCs w:val="0"/>
          <w:caps w:val="0"/>
          <w:smallCaps w:val="0"/>
          <w:noProof w:val="0"/>
          <w:color w:val="auto"/>
          <w:sz w:val="24"/>
          <w:szCs w:val="24"/>
          <w:lang w:val="en-GB"/>
        </w:rPr>
        <w:t xml:space="preserve"> </w:t>
      </w:r>
      <w:r w:rsidRPr="469ED168" w:rsidR="18555D8E">
        <w:rPr>
          <w:rFonts w:ascii="Arial" w:hAnsi="Arial" w:eastAsia="Arial" w:cs="Arial"/>
          <w:b w:val="0"/>
          <w:bCs w:val="0"/>
          <w:i w:val="0"/>
          <w:iCs w:val="0"/>
          <w:caps w:val="0"/>
          <w:smallCaps w:val="0"/>
          <w:noProof w:val="0"/>
          <w:color w:val="auto"/>
          <w:sz w:val="24"/>
          <w:szCs w:val="24"/>
          <w:lang w:val="en-GB"/>
        </w:rPr>
        <w:t xml:space="preserve">The capacity to interpret complex environmental signals, adapt organisational strategies, and implement effective responses is a critical determinant of success in the volatile and interconnected global financial sector. Evaluating HSBC’s external environment through a PESTLE analysis reveals the multifaceted and dynamic forces shaping its global operations and strategic decisions </w:t>
      </w:r>
      <w:r w:rsidRPr="469ED168" w:rsidR="18555D8E">
        <w:rPr>
          <w:rFonts w:ascii="Arial" w:hAnsi="Arial" w:eastAsia="Arial" w:cs="Arial"/>
          <w:b w:val="0"/>
          <w:bCs w:val="0"/>
          <w:i w:val="0"/>
          <w:iCs w:val="0"/>
          <w:caps w:val="0"/>
          <w:smallCaps w:val="0"/>
          <w:noProof w:val="0"/>
          <w:color w:val="auto"/>
          <w:sz w:val="24"/>
          <w:szCs w:val="24"/>
          <w:lang w:val="en-GB"/>
        </w:rPr>
        <w:t>(OECD, 2019)</w:t>
      </w:r>
      <w:r w:rsidRPr="469ED168" w:rsidR="18555D8E">
        <w:rPr>
          <w:rFonts w:ascii="Arial" w:hAnsi="Arial" w:eastAsia="Arial" w:cs="Arial"/>
          <w:b w:val="0"/>
          <w:bCs w:val="0"/>
          <w:i w:val="0"/>
          <w:iCs w:val="0"/>
          <w:caps w:val="0"/>
          <w:smallCaps w:val="0"/>
          <w:noProof w:val="0"/>
          <w:color w:val="auto"/>
          <w:sz w:val="24"/>
          <w:szCs w:val="24"/>
          <w:lang w:val="en-GB"/>
        </w:rPr>
        <w:t xml:space="preserve">. </w:t>
      </w:r>
      <w:r w:rsidRPr="469ED168" w:rsidR="66E2A0F2">
        <w:rPr>
          <w:rFonts w:ascii="Arial" w:hAnsi="Arial" w:eastAsia="Arial" w:cs="Arial"/>
          <w:noProof w:val="0"/>
          <w:color w:val="auto"/>
          <w:sz w:val="24"/>
          <w:szCs w:val="24"/>
          <w:lang w:val="en-GB"/>
        </w:rPr>
        <w:t xml:space="preserve">From a political perspective, HSBC is exposed to a complex network of governance systems, regulatory frameworks, and geopolitical pressures stemming from its multinational presence across over 60 countries and territories. The bank’s operations in Asia, particularly in Hong Kong and Mainland China, are influenced by shifting political and regulatory priorities, which must be balanced against international compliance requirements from Western authorities </w:t>
      </w:r>
      <w:r w:rsidRPr="469ED168" w:rsidR="66E2A0F2">
        <w:rPr>
          <w:rFonts w:ascii="Arial" w:hAnsi="Arial" w:eastAsia="Arial" w:cs="Arial"/>
          <w:noProof w:val="0"/>
          <w:color w:val="auto"/>
          <w:sz w:val="24"/>
          <w:szCs w:val="24"/>
          <w:lang w:val="en-GB"/>
        </w:rPr>
        <w:t>(OECD, 2019</w:t>
      </w:r>
      <w:r w:rsidRPr="469ED168" w:rsidR="66E2A0F2">
        <w:rPr>
          <w:rFonts w:ascii="Arial" w:hAnsi="Arial" w:eastAsia="Arial" w:cs="Arial"/>
          <w:noProof w:val="0"/>
          <w:color w:val="auto"/>
          <w:sz w:val="24"/>
          <w:szCs w:val="24"/>
          <w:lang w:val="en-GB"/>
        </w:rPr>
        <w:t xml:space="preserve">). Political developments such as Brexit have also </w:t>
      </w:r>
      <w:r w:rsidRPr="469ED168" w:rsidR="66E2A0F2">
        <w:rPr>
          <w:rFonts w:ascii="Arial" w:hAnsi="Arial" w:eastAsia="Arial" w:cs="Arial"/>
          <w:noProof w:val="0"/>
          <w:color w:val="auto"/>
          <w:sz w:val="24"/>
          <w:szCs w:val="24"/>
          <w:lang w:val="en-GB"/>
        </w:rPr>
        <w:t>necessitated</w:t>
      </w:r>
      <w:r w:rsidRPr="469ED168" w:rsidR="66E2A0F2">
        <w:rPr>
          <w:rFonts w:ascii="Arial" w:hAnsi="Arial" w:eastAsia="Arial" w:cs="Arial"/>
          <w:noProof w:val="0"/>
          <w:color w:val="auto"/>
          <w:sz w:val="24"/>
          <w:szCs w:val="24"/>
          <w:lang w:val="en-GB"/>
        </w:rPr>
        <w:t xml:space="preserve"> operational restructuring and strategic reallocation of resources, ensuring continued market access while meeting UK regulatory standards </w:t>
      </w:r>
      <w:r w:rsidRPr="469ED168" w:rsidR="66E2A0F2">
        <w:rPr>
          <w:rFonts w:ascii="Arial" w:hAnsi="Arial" w:eastAsia="Arial" w:cs="Arial"/>
          <w:noProof w:val="0"/>
          <w:color w:val="auto"/>
          <w:sz w:val="24"/>
          <w:szCs w:val="24"/>
          <w:lang w:val="en-GB"/>
        </w:rPr>
        <w:t>(Bloom et al., 2018)</w:t>
      </w:r>
      <w:r w:rsidRPr="469ED168" w:rsidR="66E2A0F2">
        <w:rPr>
          <w:rFonts w:ascii="Arial" w:hAnsi="Arial" w:eastAsia="Arial" w:cs="Arial"/>
          <w:noProof w:val="0"/>
          <w:color w:val="auto"/>
          <w:sz w:val="24"/>
          <w:szCs w:val="24"/>
          <w:lang w:val="en-GB"/>
        </w:rPr>
        <w:t>.</w:t>
      </w:r>
      <w:r w:rsidRPr="469ED168" w:rsidR="66E2A0F2">
        <w:rPr>
          <w:rFonts w:ascii="Arial" w:hAnsi="Arial" w:eastAsia="Arial" w:cs="Arial"/>
          <w:noProof w:val="0"/>
          <w:color w:val="auto"/>
          <w:sz w:val="24"/>
          <w:szCs w:val="24"/>
          <w:lang w:val="en-GB"/>
        </w:rPr>
        <w:t xml:space="preserve">  </w:t>
      </w:r>
      <w:r w:rsidRPr="469ED168" w:rsidR="29826590">
        <w:rPr>
          <w:rFonts w:ascii="Arial" w:hAnsi="Arial" w:eastAsia="Arial" w:cs="Arial"/>
          <w:noProof w:val="0"/>
          <w:color w:val="auto"/>
          <w:sz w:val="24"/>
          <w:szCs w:val="24"/>
          <w:lang w:val="en-GB"/>
        </w:rPr>
        <w:t xml:space="preserve">Economic factors have a direct and significant influence on HSBC’s performance. Economically, interest rate fluctuations, inflationary trends, global GDP growth, and currency volatility impact lending practices, investment strategies, and profitability. Rising interest rates can increase net interest margins but may simultaneously suppress borrowing demand in consumer and corporate markets already experiencing inflationary pressures. In 2025, HSBC’s financial reports highlighted adjustments in credit loss provisions due to economic uncertainties, reflecting the delicate balance the bank must </w:t>
      </w:r>
      <w:r w:rsidRPr="469ED168" w:rsidR="29826590">
        <w:rPr>
          <w:rFonts w:ascii="Arial" w:hAnsi="Arial" w:eastAsia="Arial" w:cs="Arial"/>
          <w:noProof w:val="0"/>
          <w:color w:val="auto"/>
          <w:sz w:val="24"/>
          <w:szCs w:val="24"/>
          <w:lang w:val="en-GB"/>
        </w:rPr>
        <w:t>maintain</w:t>
      </w:r>
      <w:r w:rsidRPr="469ED168" w:rsidR="29826590">
        <w:rPr>
          <w:rFonts w:ascii="Arial" w:hAnsi="Arial" w:eastAsia="Arial" w:cs="Arial"/>
          <w:noProof w:val="0"/>
          <w:color w:val="auto"/>
          <w:sz w:val="24"/>
          <w:szCs w:val="24"/>
          <w:lang w:val="en-GB"/>
        </w:rPr>
        <w:t xml:space="preserve"> between growth and risk management. Additionally, currency fluctuations, particularly between the US dollar, British pound, and Chinese yuan, affect earnings translation across markets, </w:t>
      </w:r>
      <w:r w:rsidRPr="469ED168" w:rsidR="29826590">
        <w:rPr>
          <w:rFonts w:ascii="Arial" w:hAnsi="Arial" w:eastAsia="Arial" w:cs="Arial"/>
          <w:noProof w:val="0"/>
          <w:color w:val="auto"/>
          <w:sz w:val="24"/>
          <w:szCs w:val="24"/>
          <w:lang w:val="en-GB"/>
        </w:rPr>
        <w:t>necessitating</w:t>
      </w:r>
      <w:r w:rsidRPr="469ED168" w:rsidR="29826590">
        <w:rPr>
          <w:rFonts w:ascii="Arial" w:hAnsi="Arial" w:eastAsia="Arial" w:cs="Arial"/>
          <w:noProof w:val="0"/>
          <w:color w:val="auto"/>
          <w:sz w:val="24"/>
          <w:szCs w:val="24"/>
          <w:lang w:val="en-GB"/>
        </w:rPr>
        <w:t xml:space="preserve"> robust hedging strategies and scenario-based forecasting </w:t>
      </w:r>
      <w:r w:rsidRPr="469ED168" w:rsidR="29826590">
        <w:rPr>
          <w:rFonts w:ascii="Arial" w:hAnsi="Arial" w:eastAsia="Arial" w:cs="Arial"/>
          <w:noProof w:val="0"/>
          <w:color w:val="auto"/>
          <w:sz w:val="24"/>
          <w:szCs w:val="24"/>
          <w:lang w:val="en-GB"/>
        </w:rPr>
        <w:t>(IMF, 2025)</w:t>
      </w:r>
      <w:r w:rsidRPr="469ED168" w:rsidR="29826590">
        <w:rPr>
          <w:rFonts w:ascii="Arial" w:hAnsi="Arial" w:eastAsia="Arial" w:cs="Arial"/>
          <w:noProof w:val="0"/>
          <w:color w:val="auto"/>
          <w:sz w:val="24"/>
          <w:szCs w:val="24"/>
          <w:lang w:val="en-GB"/>
        </w:rPr>
        <w:t xml:space="preserve">. Economic pressures also create opportunities for HSBC to expand fee-based services, wealth management offerings, and sustainable investment products, which are less sensitive to interest rate volatility </w:t>
      </w:r>
      <w:r w:rsidRPr="469ED168" w:rsidR="29826590">
        <w:rPr>
          <w:rFonts w:ascii="Arial" w:hAnsi="Arial" w:eastAsia="Arial" w:cs="Arial"/>
          <w:noProof w:val="0"/>
          <w:color w:val="auto"/>
          <w:sz w:val="24"/>
          <w:szCs w:val="24"/>
          <w:lang w:val="en-GB"/>
        </w:rPr>
        <w:t>(Xu et al., 2019)</w:t>
      </w:r>
      <w:r w:rsidRPr="469ED168" w:rsidR="29826590">
        <w:rPr>
          <w:rFonts w:ascii="Arial" w:hAnsi="Arial" w:eastAsia="Arial" w:cs="Arial"/>
          <w:noProof w:val="0"/>
          <w:color w:val="auto"/>
          <w:sz w:val="24"/>
          <w:szCs w:val="24"/>
          <w:lang w:val="en-GB"/>
        </w:rPr>
        <w:t>.</w:t>
      </w:r>
      <w:r w:rsidRPr="469ED168" w:rsidR="670F5D6C">
        <w:rPr>
          <w:rFonts w:ascii="Arial" w:hAnsi="Arial" w:eastAsia="Arial" w:cs="Arial"/>
          <w:noProof w:val="0"/>
          <w:color w:val="auto"/>
          <w:sz w:val="24"/>
          <w:szCs w:val="24"/>
          <w:lang w:val="en-GB"/>
        </w:rPr>
        <w:t xml:space="preserve"> </w:t>
      </w:r>
      <w:r w:rsidRPr="469ED168" w:rsidR="0E630F41">
        <w:rPr>
          <w:rFonts w:ascii="Arial" w:hAnsi="Arial" w:eastAsia="Arial" w:cs="Arial"/>
          <w:noProof w:val="0"/>
          <w:color w:val="auto"/>
          <w:sz w:val="24"/>
          <w:szCs w:val="24"/>
          <w:lang w:val="en-GB"/>
        </w:rPr>
        <w:t xml:space="preserve">Social factors include changing consumer behaviours, demographic trends, and societal expectations. Increasing digital literacy, mobile banking adoption, and demand for personalised financial solutions have transformed customer expectations. Reports </w:t>
      </w:r>
      <w:r w:rsidRPr="469ED168" w:rsidR="0E630F41">
        <w:rPr>
          <w:rFonts w:ascii="Arial" w:hAnsi="Arial" w:eastAsia="Arial" w:cs="Arial"/>
          <w:noProof w:val="0"/>
          <w:color w:val="auto"/>
          <w:sz w:val="24"/>
          <w:szCs w:val="24"/>
          <w:lang w:val="en-GB"/>
        </w:rPr>
        <w:t>indicate</w:t>
      </w:r>
      <w:r w:rsidRPr="469ED168" w:rsidR="0E630F41">
        <w:rPr>
          <w:rFonts w:ascii="Arial" w:hAnsi="Arial" w:eastAsia="Arial" w:cs="Arial"/>
          <w:noProof w:val="0"/>
          <w:color w:val="auto"/>
          <w:sz w:val="24"/>
          <w:szCs w:val="24"/>
          <w:lang w:val="en-GB"/>
        </w:rPr>
        <w:t xml:space="preserve"> that mobile banking penetration in Asia and Europe continues to grow </w:t>
      </w:r>
      <w:r w:rsidRPr="469ED168" w:rsidR="51AA47C5">
        <w:rPr>
          <w:rFonts w:ascii="Arial" w:hAnsi="Arial" w:eastAsia="Arial" w:cs="Arial"/>
          <w:noProof w:val="0"/>
          <w:color w:val="auto"/>
          <w:sz w:val="24"/>
          <w:szCs w:val="24"/>
          <w:lang w:val="en-GB"/>
        </w:rPr>
        <w:t>by</w:t>
      </w:r>
      <w:r w:rsidRPr="469ED168" w:rsidR="0E630F41">
        <w:rPr>
          <w:rFonts w:ascii="Arial" w:hAnsi="Arial" w:eastAsia="Arial" w:cs="Arial"/>
          <w:noProof w:val="0"/>
          <w:color w:val="auto"/>
          <w:sz w:val="24"/>
          <w:szCs w:val="24"/>
          <w:lang w:val="en-GB"/>
        </w:rPr>
        <w:t xml:space="preserve"> over 12% annually, reflecting a shift toward convenient and remote financial services </w:t>
      </w:r>
      <w:r w:rsidRPr="469ED168" w:rsidR="0E630F41">
        <w:rPr>
          <w:rFonts w:ascii="Arial" w:hAnsi="Arial" w:eastAsia="Arial" w:cs="Arial"/>
          <w:noProof w:val="0"/>
          <w:color w:val="auto"/>
          <w:sz w:val="24"/>
          <w:szCs w:val="24"/>
          <w:lang w:val="en-GB"/>
        </w:rPr>
        <w:t>(Reynolds et al., 2019</w:t>
      </w:r>
      <w:r w:rsidRPr="469ED168" w:rsidR="0E630F41">
        <w:rPr>
          <w:rFonts w:ascii="Arial" w:hAnsi="Arial" w:eastAsia="Arial" w:cs="Arial"/>
          <w:noProof w:val="0"/>
          <w:color w:val="auto"/>
          <w:sz w:val="24"/>
          <w:szCs w:val="24"/>
          <w:lang w:val="en-GB"/>
        </w:rPr>
        <w:t xml:space="preserve">). HSBC has responded with expanded digital platforms, online advisory services, and financial literacy initiatives targeting underbanked populations </w:t>
      </w:r>
      <w:r w:rsidRPr="469ED168" w:rsidR="0E630F41">
        <w:rPr>
          <w:rFonts w:ascii="Arial" w:hAnsi="Arial" w:eastAsia="Arial" w:cs="Arial"/>
          <w:noProof w:val="0"/>
          <w:color w:val="auto"/>
          <w:sz w:val="24"/>
          <w:szCs w:val="24"/>
          <w:lang w:val="en-GB"/>
        </w:rPr>
        <w:t>(KPMG, 2024)</w:t>
      </w:r>
      <w:r w:rsidRPr="469ED168" w:rsidR="0E630F41">
        <w:rPr>
          <w:rFonts w:ascii="Arial" w:hAnsi="Arial" w:eastAsia="Arial" w:cs="Arial"/>
          <w:noProof w:val="0"/>
          <w:color w:val="auto"/>
          <w:sz w:val="24"/>
          <w:szCs w:val="24"/>
          <w:lang w:val="en-GB"/>
        </w:rPr>
        <w:t xml:space="preserve">. Moreover, societal emphasis on ethical practices and ESG principles pressures HSBC to ensure transparency, socially responsible lending, and climate-conscious investment strategies </w:t>
      </w:r>
      <w:r w:rsidRPr="469ED168" w:rsidR="0E630F41">
        <w:rPr>
          <w:rFonts w:ascii="Arial" w:hAnsi="Arial" w:eastAsia="Arial" w:cs="Arial"/>
          <w:noProof w:val="0"/>
          <w:color w:val="auto"/>
          <w:sz w:val="24"/>
          <w:szCs w:val="24"/>
          <w:lang w:val="en-GB"/>
        </w:rPr>
        <w:t>(Cho, 2022).</w:t>
      </w:r>
      <w:r w:rsidRPr="469ED168" w:rsidR="0E630F41">
        <w:rPr>
          <w:rFonts w:ascii="Arial" w:hAnsi="Arial" w:eastAsia="Arial" w:cs="Arial"/>
          <w:noProof w:val="0"/>
          <w:color w:val="auto"/>
          <w:sz w:val="24"/>
          <w:szCs w:val="24"/>
          <w:lang w:val="en-GB"/>
        </w:rPr>
        <w:t xml:space="preserve"> These social expectations create opportunities to strengthen brand loyalty, attract environmentally conscious investors, and differentiate HSBC from competitors by embedding ESG criteria into core operations </w:t>
      </w:r>
      <w:r w:rsidRPr="469ED168" w:rsidR="2B2EBD67">
        <w:rPr>
          <w:rFonts w:ascii="Arial" w:hAnsi="Arial" w:eastAsia="Arial" w:cs="Arial"/>
          <w:b w:val="0"/>
          <w:bCs w:val="0"/>
          <w:i w:val="0"/>
          <w:iCs w:val="0"/>
          <w:caps w:val="0"/>
          <w:smallCaps w:val="0"/>
          <w:noProof w:val="0"/>
          <w:color w:val="000000" w:themeColor="text1" w:themeTint="FF" w:themeShade="FF"/>
          <w:sz w:val="24"/>
          <w:szCs w:val="24"/>
          <w:lang w:val="en-GB"/>
        </w:rPr>
        <w:t>(</w:t>
      </w:r>
      <w:r w:rsidRPr="469ED168" w:rsidR="2B2EBD67">
        <w:rPr>
          <w:rFonts w:ascii="Arial" w:hAnsi="Arial" w:eastAsia="Arial" w:cs="Arial"/>
          <w:b w:val="0"/>
          <w:bCs w:val="0"/>
          <w:i w:val="0"/>
          <w:iCs w:val="0"/>
          <w:caps w:val="0"/>
          <w:smallCaps w:val="0"/>
          <w:noProof w:val="0"/>
          <w:color w:val="000000" w:themeColor="text1" w:themeTint="FF" w:themeShade="FF"/>
          <w:sz w:val="24"/>
          <w:szCs w:val="24"/>
          <w:lang w:val="en-GB"/>
        </w:rPr>
        <w:t>Hallswroth</w:t>
      </w:r>
      <w:r w:rsidRPr="469ED168" w:rsidR="2B2EBD67">
        <w:rPr>
          <w:rFonts w:ascii="Arial" w:hAnsi="Arial" w:eastAsia="Arial" w:cs="Arial"/>
          <w:b w:val="0"/>
          <w:bCs w:val="0"/>
          <w:i w:val="0"/>
          <w:iCs w:val="0"/>
          <w:caps w:val="0"/>
          <w:smallCaps w:val="0"/>
          <w:noProof w:val="0"/>
          <w:color w:val="000000" w:themeColor="text1" w:themeTint="FF" w:themeShade="FF"/>
          <w:sz w:val="24"/>
          <w:szCs w:val="24"/>
          <w:lang w:val="en-GB"/>
        </w:rPr>
        <w:t>, et al., 2019</w:t>
      </w:r>
      <w:r w:rsidRPr="469ED168" w:rsidR="0E630F41">
        <w:rPr>
          <w:rFonts w:ascii="Arial" w:hAnsi="Arial" w:eastAsia="Arial" w:cs="Arial"/>
          <w:noProof w:val="0"/>
          <w:color w:val="auto"/>
          <w:sz w:val="24"/>
          <w:szCs w:val="24"/>
          <w:lang w:val="en-GB"/>
        </w:rPr>
        <w:t>;</w:t>
      </w:r>
      <w:r w:rsidRPr="469ED168" w:rsidR="0E630F41">
        <w:rPr>
          <w:rFonts w:ascii="Arial" w:hAnsi="Arial" w:eastAsia="Arial" w:cs="Arial"/>
          <w:noProof w:val="0"/>
          <w:color w:val="auto"/>
          <w:sz w:val="24"/>
          <w:szCs w:val="24"/>
          <w:lang w:val="en-GB"/>
        </w:rPr>
        <w:t xml:space="preserve"> UNEPFI, 2019).</w:t>
      </w:r>
      <w:r w:rsidRPr="469ED168" w:rsidR="0F19CC59">
        <w:rPr>
          <w:rFonts w:ascii="Arial" w:hAnsi="Arial" w:eastAsia="Arial" w:cs="Arial"/>
          <w:noProof w:val="0"/>
          <w:color w:val="auto"/>
          <w:sz w:val="24"/>
          <w:szCs w:val="24"/>
          <w:lang w:val="en-GB"/>
        </w:rPr>
        <w:t xml:space="preserve"> </w:t>
      </w:r>
      <w:r w:rsidRPr="469ED168" w:rsidR="18555D8E">
        <w:rPr>
          <w:rFonts w:ascii="Arial" w:hAnsi="Arial" w:eastAsia="Arial" w:cs="Arial"/>
          <w:b w:val="0"/>
          <w:bCs w:val="0"/>
          <w:i w:val="0"/>
          <w:iCs w:val="0"/>
          <w:caps w:val="0"/>
          <w:smallCaps w:val="0"/>
          <w:noProof w:val="0"/>
          <w:color w:val="auto"/>
          <w:sz w:val="24"/>
          <w:szCs w:val="24"/>
          <w:lang w:val="en-GB"/>
        </w:rPr>
        <w:t xml:space="preserve">Technological factors play an increasingly </w:t>
      </w:r>
      <w:r w:rsidRPr="469ED168" w:rsidR="18555D8E">
        <w:rPr>
          <w:rFonts w:ascii="Arial" w:hAnsi="Arial" w:eastAsia="Arial" w:cs="Arial"/>
          <w:b w:val="0"/>
          <w:bCs w:val="0"/>
          <w:i w:val="0"/>
          <w:iCs w:val="0"/>
          <w:caps w:val="0"/>
          <w:smallCaps w:val="0"/>
          <w:noProof w:val="0"/>
          <w:color w:val="auto"/>
          <w:sz w:val="24"/>
          <w:szCs w:val="24"/>
          <w:lang w:val="en-GB"/>
        </w:rPr>
        <w:t>central role</w:t>
      </w:r>
      <w:r w:rsidRPr="469ED168" w:rsidR="18555D8E">
        <w:rPr>
          <w:rFonts w:ascii="Arial" w:hAnsi="Arial" w:eastAsia="Arial" w:cs="Arial"/>
          <w:b w:val="0"/>
          <w:bCs w:val="0"/>
          <w:i w:val="0"/>
          <w:iCs w:val="0"/>
          <w:caps w:val="0"/>
          <w:smallCaps w:val="0"/>
          <w:noProof w:val="0"/>
          <w:color w:val="auto"/>
          <w:sz w:val="24"/>
          <w:szCs w:val="24"/>
          <w:lang w:val="en-GB"/>
        </w:rPr>
        <w:t xml:space="preserve"> in HSBC’s competitiveness and operational efficiency. Innovations in AI, blockchain, cloud computing, and cybersecurity have transformed the financial services landscape. HSBC’s adoption of AI-driven risk management systems, predictive analytics, and automated customer service has improved efficiency, reduced operational costs, and enhanced fraud detection </w:t>
      </w:r>
      <w:r w:rsidRPr="469ED168" w:rsidR="18555D8E">
        <w:rPr>
          <w:rFonts w:ascii="Arial" w:hAnsi="Arial" w:eastAsia="Arial" w:cs="Arial"/>
          <w:b w:val="0"/>
          <w:bCs w:val="0"/>
          <w:i w:val="0"/>
          <w:iCs w:val="0"/>
          <w:caps w:val="0"/>
          <w:smallCaps w:val="0"/>
          <w:noProof w:val="0"/>
          <w:color w:val="auto"/>
          <w:sz w:val="24"/>
          <w:szCs w:val="24"/>
          <w:lang w:val="en-GB"/>
        </w:rPr>
        <w:t>(Bhattacharyya et al., 2020)</w:t>
      </w:r>
      <w:r w:rsidRPr="469ED168" w:rsidR="18555D8E">
        <w:rPr>
          <w:rFonts w:ascii="Arial" w:hAnsi="Arial" w:eastAsia="Arial" w:cs="Arial"/>
          <w:b w:val="0"/>
          <w:bCs w:val="0"/>
          <w:i w:val="0"/>
          <w:iCs w:val="0"/>
          <w:caps w:val="0"/>
          <w:smallCaps w:val="0"/>
          <w:noProof w:val="0"/>
          <w:color w:val="auto"/>
          <w:sz w:val="24"/>
          <w:szCs w:val="24"/>
          <w:lang w:val="en-GB"/>
        </w:rPr>
        <w:t xml:space="preserve">. For example, AI applications in transaction monitoring have reduced fraudulent activity and strengthened regulatory compliance </w:t>
      </w:r>
      <w:r w:rsidRPr="469ED168" w:rsidR="18555D8E">
        <w:rPr>
          <w:rFonts w:ascii="Arial" w:hAnsi="Arial" w:eastAsia="Arial" w:cs="Arial"/>
          <w:b w:val="0"/>
          <w:bCs w:val="0"/>
          <w:i w:val="0"/>
          <w:iCs w:val="0"/>
          <w:caps w:val="0"/>
          <w:smallCaps w:val="0"/>
          <w:noProof w:val="0"/>
          <w:color w:val="auto"/>
          <w:sz w:val="24"/>
          <w:szCs w:val="24"/>
          <w:lang w:val="en-GB"/>
        </w:rPr>
        <w:t>(Dupont, 2019)</w:t>
      </w:r>
      <w:r w:rsidRPr="469ED168" w:rsidR="18555D8E">
        <w:rPr>
          <w:rFonts w:ascii="Arial" w:hAnsi="Arial" w:eastAsia="Arial" w:cs="Arial"/>
          <w:b w:val="0"/>
          <w:bCs w:val="0"/>
          <w:i w:val="0"/>
          <w:iCs w:val="0"/>
          <w:caps w:val="0"/>
          <w:smallCaps w:val="0"/>
          <w:noProof w:val="0"/>
          <w:color w:val="auto"/>
          <w:sz w:val="24"/>
          <w:szCs w:val="24"/>
          <w:lang w:val="en-GB"/>
        </w:rPr>
        <w:t xml:space="preserve">. Partnerships with fintech companies further expand HSBC’s technological capabilities, enabling faster product development and integration of innovative payment solutions </w:t>
      </w:r>
      <w:r w:rsidRPr="469ED168" w:rsidR="18555D8E">
        <w:rPr>
          <w:rFonts w:ascii="Arial" w:hAnsi="Arial" w:eastAsia="Arial" w:cs="Arial"/>
          <w:b w:val="0"/>
          <w:bCs w:val="0"/>
          <w:i w:val="0"/>
          <w:iCs w:val="0"/>
          <w:caps w:val="0"/>
          <w:smallCaps w:val="0"/>
          <w:noProof w:val="0"/>
          <w:color w:val="auto"/>
          <w:sz w:val="24"/>
          <w:szCs w:val="24"/>
          <w:lang w:val="en-GB"/>
        </w:rPr>
        <w:t>(93digital, 2020)</w:t>
      </w:r>
      <w:r w:rsidRPr="469ED168" w:rsidR="18555D8E">
        <w:rPr>
          <w:rFonts w:ascii="Arial" w:hAnsi="Arial" w:eastAsia="Arial" w:cs="Arial"/>
          <w:b w:val="0"/>
          <w:bCs w:val="0"/>
          <w:i w:val="0"/>
          <w:iCs w:val="0"/>
          <w:caps w:val="0"/>
          <w:smallCaps w:val="0"/>
          <w:noProof w:val="0"/>
          <w:color w:val="auto"/>
          <w:sz w:val="24"/>
          <w:szCs w:val="24"/>
          <w:lang w:val="en-GB"/>
        </w:rPr>
        <w:t xml:space="preserve">. However, reliance on technology introduces risks, particularly </w:t>
      </w:r>
      <w:r w:rsidRPr="469ED168" w:rsidR="18555D8E">
        <w:rPr>
          <w:rFonts w:ascii="Arial" w:hAnsi="Arial" w:eastAsia="Arial" w:cs="Arial"/>
          <w:b w:val="0"/>
          <w:bCs w:val="0"/>
          <w:i w:val="0"/>
          <w:iCs w:val="0"/>
          <w:caps w:val="0"/>
          <w:smallCaps w:val="0"/>
          <w:noProof w:val="0"/>
          <w:color w:val="auto"/>
          <w:sz w:val="24"/>
          <w:szCs w:val="24"/>
          <w:lang w:val="en-GB"/>
        </w:rPr>
        <w:t>regarding</w:t>
      </w:r>
      <w:r w:rsidRPr="469ED168" w:rsidR="18555D8E">
        <w:rPr>
          <w:rFonts w:ascii="Arial" w:hAnsi="Arial" w:eastAsia="Arial" w:cs="Arial"/>
          <w:b w:val="0"/>
          <w:bCs w:val="0"/>
          <w:i w:val="0"/>
          <w:iCs w:val="0"/>
          <w:caps w:val="0"/>
          <w:smallCaps w:val="0"/>
          <w:noProof w:val="0"/>
          <w:color w:val="auto"/>
          <w:sz w:val="24"/>
          <w:szCs w:val="24"/>
          <w:lang w:val="en-GB"/>
        </w:rPr>
        <w:t xml:space="preserve"> cyber threats and data privacy, requiring constant investment in secure systems and staff training to prevent breaches</w:t>
      </w:r>
      <w:r w:rsidRPr="469ED168" w:rsidR="05FE52F4">
        <w:rPr>
          <w:rFonts w:ascii="Arial" w:hAnsi="Arial" w:eastAsia="Arial" w:cs="Arial"/>
          <w:b w:val="0"/>
          <w:bCs w:val="0"/>
          <w:i w:val="0"/>
          <w:iCs w:val="0"/>
          <w:caps w:val="0"/>
          <w:smallCaps w:val="0"/>
          <w:noProof w:val="0"/>
          <w:color w:val="auto"/>
          <w:sz w:val="24"/>
          <w:szCs w:val="24"/>
          <w:lang w:val="en-GB"/>
        </w:rPr>
        <w:t xml:space="preserve"> </w:t>
      </w:r>
      <w:r w:rsidRPr="469ED168" w:rsidR="18555D8E">
        <w:rPr>
          <w:rFonts w:ascii="Arial" w:hAnsi="Arial" w:eastAsia="Arial" w:cs="Arial"/>
          <w:b w:val="0"/>
          <w:bCs w:val="0"/>
          <w:i w:val="0"/>
          <w:iCs w:val="0"/>
          <w:caps w:val="0"/>
          <w:smallCaps w:val="0"/>
          <w:noProof w:val="0"/>
          <w:color w:val="auto"/>
          <w:sz w:val="24"/>
          <w:szCs w:val="24"/>
          <w:lang w:val="en-GB"/>
        </w:rPr>
        <w:t xml:space="preserve">that could damage reputation and incur regulatory </w:t>
      </w:r>
      <w:r w:rsidRPr="469ED168" w:rsidR="540859D8">
        <w:rPr>
          <w:rFonts w:ascii="Arial" w:hAnsi="Arial" w:eastAsia="Arial" w:cs="Arial"/>
          <w:b w:val="0"/>
          <w:bCs w:val="0"/>
          <w:i w:val="0"/>
          <w:iCs w:val="0"/>
          <w:caps w:val="0"/>
          <w:smallCaps w:val="0"/>
          <w:noProof w:val="0"/>
          <w:color w:val="auto"/>
          <w:sz w:val="24"/>
          <w:szCs w:val="24"/>
          <w:lang w:val="en-GB"/>
        </w:rPr>
        <w:t xml:space="preserve">penalties </w:t>
      </w:r>
      <w:r w:rsidRPr="469ED168" w:rsidR="18555D8E">
        <w:rPr>
          <w:rFonts w:ascii="Arial" w:hAnsi="Arial" w:eastAsia="Arial" w:cs="Arial"/>
          <w:b w:val="0"/>
          <w:bCs w:val="0"/>
          <w:i w:val="0"/>
          <w:iCs w:val="0"/>
          <w:caps w:val="0"/>
          <w:smallCaps w:val="0"/>
          <w:noProof w:val="0"/>
          <w:color w:val="auto"/>
          <w:sz w:val="24"/>
          <w:szCs w:val="24"/>
          <w:lang w:val="en-GB"/>
        </w:rPr>
        <w:t>(</w:t>
      </w:r>
      <w:r w:rsidRPr="469ED168" w:rsidR="18555D8E">
        <w:rPr>
          <w:rFonts w:ascii="Arial" w:hAnsi="Arial" w:eastAsia="Arial" w:cs="Arial"/>
          <w:b w:val="0"/>
          <w:bCs w:val="0"/>
          <w:i w:val="0"/>
          <w:iCs w:val="0"/>
          <w:caps w:val="0"/>
          <w:smallCaps w:val="0"/>
          <w:noProof w:val="0"/>
          <w:color w:val="auto"/>
          <w:sz w:val="24"/>
          <w:szCs w:val="24"/>
          <w:lang w:val="en-GB"/>
        </w:rPr>
        <w:t>Dhouha</w:t>
      </w:r>
      <w:r w:rsidRPr="469ED168" w:rsidR="18555D8E">
        <w:rPr>
          <w:rFonts w:ascii="Arial" w:hAnsi="Arial" w:eastAsia="Arial" w:cs="Arial"/>
          <w:b w:val="0"/>
          <w:bCs w:val="0"/>
          <w:i w:val="0"/>
          <w:iCs w:val="0"/>
          <w:caps w:val="0"/>
          <w:smallCaps w:val="0"/>
          <w:noProof w:val="0"/>
          <w:color w:val="auto"/>
          <w:sz w:val="24"/>
          <w:szCs w:val="24"/>
          <w:lang w:val="en-GB"/>
        </w:rPr>
        <w:t xml:space="preserve"> </w:t>
      </w:r>
      <w:r w:rsidRPr="469ED168" w:rsidR="18555D8E">
        <w:rPr>
          <w:rFonts w:ascii="Arial" w:hAnsi="Arial" w:eastAsia="Arial" w:cs="Arial"/>
          <w:b w:val="0"/>
          <w:bCs w:val="0"/>
          <w:i w:val="0"/>
          <w:iCs w:val="0"/>
          <w:caps w:val="0"/>
          <w:smallCaps w:val="0"/>
          <w:noProof w:val="0"/>
          <w:color w:val="auto"/>
          <w:sz w:val="24"/>
          <w:szCs w:val="24"/>
          <w:lang w:val="en-GB"/>
        </w:rPr>
        <w:t>Nefla</w:t>
      </w:r>
      <w:r w:rsidRPr="469ED168" w:rsidR="18555D8E">
        <w:rPr>
          <w:rFonts w:ascii="Arial" w:hAnsi="Arial" w:eastAsia="Arial" w:cs="Arial"/>
          <w:b w:val="0"/>
          <w:bCs w:val="0"/>
          <w:i w:val="0"/>
          <w:iCs w:val="0"/>
          <w:caps w:val="0"/>
          <w:smallCaps w:val="0"/>
          <w:noProof w:val="0"/>
          <w:color w:val="auto"/>
          <w:sz w:val="24"/>
          <w:szCs w:val="24"/>
          <w:lang w:val="en-GB"/>
        </w:rPr>
        <w:t xml:space="preserve"> and </w:t>
      </w:r>
      <w:r w:rsidRPr="469ED168" w:rsidR="18555D8E">
        <w:rPr>
          <w:rFonts w:ascii="Arial" w:hAnsi="Arial" w:eastAsia="Arial" w:cs="Arial"/>
          <w:b w:val="0"/>
          <w:bCs w:val="0"/>
          <w:i w:val="0"/>
          <w:iCs w:val="0"/>
          <w:caps w:val="0"/>
          <w:smallCaps w:val="0"/>
          <w:noProof w:val="0"/>
          <w:color w:val="auto"/>
          <w:sz w:val="24"/>
          <w:szCs w:val="24"/>
          <w:lang w:val="en-GB"/>
        </w:rPr>
        <w:t>Jellouli</w:t>
      </w:r>
      <w:r w:rsidRPr="469ED168" w:rsidR="18555D8E">
        <w:rPr>
          <w:rFonts w:ascii="Arial" w:hAnsi="Arial" w:eastAsia="Arial" w:cs="Arial"/>
          <w:b w:val="0"/>
          <w:bCs w:val="0"/>
          <w:i w:val="0"/>
          <w:iCs w:val="0"/>
          <w:caps w:val="0"/>
          <w:smallCaps w:val="0"/>
          <w:noProof w:val="0"/>
          <w:color w:val="auto"/>
          <w:sz w:val="24"/>
          <w:szCs w:val="24"/>
          <w:lang w:val="en-GB"/>
        </w:rPr>
        <w:t>, 2025).</w:t>
      </w:r>
      <w:r w:rsidRPr="469ED168" w:rsidR="6D1B1777">
        <w:rPr>
          <w:rFonts w:ascii="Arial" w:hAnsi="Arial" w:eastAsia="Arial" w:cs="Arial"/>
          <w:b w:val="0"/>
          <w:bCs w:val="0"/>
          <w:i w:val="0"/>
          <w:iCs w:val="0"/>
          <w:caps w:val="0"/>
          <w:smallCaps w:val="0"/>
          <w:noProof w:val="0"/>
          <w:color w:val="auto"/>
          <w:sz w:val="24"/>
          <w:szCs w:val="24"/>
          <w:lang w:val="en-GB"/>
        </w:rPr>
        <w:t xml:space="preserve"> </w:t>
      </w:r>
      <w:r w:rsidRPr="469ED168" w:rsidR="4221D4F5">
        <w:rPr>
          <w:rFonts w:ascii="Arial" w:hAnsi="Arial" w:eastAsia="Arial" w:cs="Arial"/>
          <w:noProof w:val="0"/>
          <w:color w:val="auto"/>
          <w:sz w:val="24"/>
          <w:szCs w:val="24"/>
          <w:lang w:val="en-GB"/>
        </w:rPr>
        <w:t xml:space="preserve">Legal and regulatory factors are a critical aspect of HSBC’s operational environment. Legally, compliance with Basel III, anti-money laundering regulations, and data protection laws, such as GDPR, is essential for legal legitimacy and operational continuity (GDPR, 2025). Historical settlements and regulatory investigations have </w:t>
      </w:r>
      <w:r w:rsidRPr="469ED168" w:rsidR="4221D4F5">
        <w:rPr>
          <w:rFonts w:ascii="Arial" w:hAnsi="Arial" w:eastAsia="Arial" w:cs="Arial"/>
          <w:noProof w:val="0"/>
          <w:color w:val="auto"/>
          <w:sz w:val="24"/>
          <w:szCs w:val="24"/>
          <w:lang w:val="en-GB"/>
        </w:rPr>
        <w:t>demonstrated</w:t>
      </w:r>
      <w:r w:rsidRPr="469ED168" w:rsidR="4221D4F5">
        <w:rPr>
          <w:rFonts w:ascii="Arial" w:hAnsi="Arial" w:eastAsia="Arial" w:cs="Arial"/>
          <w:noProof w:val="0"/>
          <w:color w:val="auto"/>
          <w:sz w:val="24"/>
          <w:szCs w:val="24"/>
          <w:lang w:val="en-GB"/>
        </w:rPr>
        <w:t xml:space="preserve"> that compliance failures can result in significant financial penalties and reputational harm </w:t>
      </w:r>
      <w:r w:rsidRPr="469ED168" w:rsidR="5A100D5B">
        <w:rPr>
          <w:rFonts w:ascii="Arial" w:hAnsi="Arial" w:eastAsia="Arial" w:cs="Arial"/>
          <w:b w:val="0"/>
          <w:bCs w:val="0"/>
          <w:i w:val="0"/>
          <w:iCs w:val="0"/>
          <w:caps w:val="0"/>
          <w:smallCaps w:val="0"/>
          <w:noProof w:val="0"/>
          <w:color w:val="000000" w:themeColor="text1" w:themeTint="FF" w:themeShade="FF"/>
          <w:sz w:val="24"/>
          <w:szCs w:val="24"/>
          <w:lang w:val="en-GB"/>
        </w:rPr>
        <w:t>(Bank for International Settlements, 2019)</w:t>
      </w:r>
      <w:r w:rsidRPr="469ED168" w:rsidR="4221D4F5">
        <w:rPr>
          <w:rFonts w:ascii="Arial" w:hAnsi="Arial" w:eastAsia="Arial" w:cs="Arial"/>
          <w:noProof w:val="0"/>
          <w:color w:val="auto"/>
          <w:sz w:val="24"/>
          <w:szCs w:val="24"/>
          <w:lang w:val="en-GB"/>
        </w:rPr>
        <w:t xml:space="preserve">. The bank’s multi-jurisdictional operations increase the complexity and cost of legal compliance, </w:t>
      </w:r>
      <w:r w:rsidRPr="469ED168" w:rsidR="4221D4F5">
        <w:rPr>
          <w:rFonts w:ascii="Arial" w:hAnsi="Arial" w:eastAsia="Arial" w:cs="Arial"/>
          <w:noProof w:val="0"/>
          <w:color w:val="auto"/>
          <w:sz w:val="24"/>
          <w:szCs w:val="24"/>
          <w:lang w:val="en-GB"/>
        </w:rPr>
        <w:t>necessitating</w:t>
      </w:r>
      <w:r w:rsidRPr="469ED168" w:rsidR="4221D4F5">
        <w:rPr>
          <w:rFonts w:ascii="Arial" w:hAnsi="Arial" w:eastAsia="Arial" w:cs="Arial"/>
          <w:noProof w:val="0"/>
          <w:color w:val="auto"/>
          <w:sz w:val="24"/>
          <w:szCs w:val="24"/>
          <w:lang w:val="en-GB"/>
        </w:rPr>
        <w:t xml:space="preserve"> sophisticated governance structures and dedicated risk management teams (OECD, 2019). Proactive engagement with regulators and the adoption of forward-looking compliance technologies help HSBC mitigate legal risks and </w:t>
      </w:r>
      <w:r w:rsidRPr="469ED168" w:rsidR="4221D4F5">
        <w:rPr>
          <w:rFonts w:ascii="Arial" w:hAnsi="Arial" w:eastAsia="Arial" w:cs="Arial"/>
          <w:noProof w:val="0"/>
          <w:color w:val="auto"/>
          <w:sz w:val="24"/>
          <w:szCs w:val="24"/>
          <w:lang w:val="en-GB"/>
        </w:rPr>
        <w:t>maintain</w:t>
      </w:r>
      <w:r w:rsidRPr="469ED168" w:rsidR="4221D4F5">
        <w:rPr>
          <w:rFonts w:ascii="Arial" w:hAnsi="Arial" w:eastAsia="Arial" w:cs="Arial"/>
          <w:noProof w:val="0"/>
          <w:color w:val="auto"/>
          <w:sz w:val="24"/>
          <w:szCs w:val="24"/>
          <w:lang w:val="en-GB"/>
        </w:rPr>
        <w:t xml:space="preserve"> operational stability while simultaneously enabling the bank to capitalise on market opportunities arising from regulatory changes. </w:t>
      </w:r>
      <w:r w:rsidRPr="469ED168" w:rsidR="215E3771">
        <w:rPr>
          <w:rFonts w:ascii="Arial" w:hAnsi="Arial" w:eastAsia="Arial" w:cs="Arial"/>
          <w:noProof w:val="0"/>
          <w:color w:val="auto"/>
          <w:sz w:val="24"/>
          <w:szCs w:val="24"/>
          <w:lang w:val="en-GB"/>
        </w:rPr>
        <w:t>Last but not least</w:t>
      </w:r>
      <w:r w:rsidRPr="469ED168" w:rsidR="215E3771">
        <w:rPr>
          <w:rFonts w:ascii="Arial" w:hAnsi="Arial" w:eastAsia="Arial" w:cs="Arial"/>
          <w:noProof w:val="0"/>
          <w:color w:val="auto"/>
          <w:sz w:val="24"/>
          <w:szCs w:val="24"/>
          <w:lang w:val="en-GB"/>
        </w:rPr>
        <w:t xml:space="preserve">, environmental factors are increasingly integrated into HSBC’s strategic priorities. Environmentally, climate change, sustainability, and stakeholder expectations are shaping the bank’s investment strategies and financing decisions. HSBC has committed to </w:t>
      </w:r>
      <w:r w:rsidRPr="469ED168" w:rsidR="215E3771">
        <w:rPr>
          <w:rFonts w:ascii="Arial" w:hAnsi="Arial" w:eastAsia="Arial" w:cs="Arial"/>
          <w:noProof w:val="0"/>
          <w:color w:val="auto"/>
          <w:sz w:val="24"/>
          <w:szCs w:val="24"/>
          <w:lang w:val="en-GB"/>
        </w:rPr>
        <w:t>facilitating</w:t>
      </w:r>
      <w:r w:rsidRPr="469ED168" w:rsidR="215E3771">
        <w:rPr>
          <w:rFonts w:ascii="Arial" w:hAnsi="Arial" w:eastAsia="Arial" w:cs="Arial"/>
          <w:noProof w:val="0"/>
          <w:color w:val="auto"/>
          <w:sz w:val="24"/>
          <w:szCs w:val="24"/>
          <w:lang w:val="en-GB"/>
        </w:rPr>
        <w:t xml:space="preserve"> between $750 billion and $1 trillion in sustainable finance by 2030 and has already </w:t>
      </w:r>
      <w:r w:rsidRPr="469ED168" w:rsidR="215E3771">
        <w:rPr>
          <w:rFonts w:ascii="Arial" w:hAnsi="Arial" w:eastAsia="Arial" w:cs="Arial"/>
          <w:noProof w:val="0"/>
          <w:color w:val="auto"/>
          <w:sz w:val="24"/>
          <w:szCs w:val="24"/>
          <w:lang w:val="en-GB"/>
        </w:rPr>
        <w:t>allocated</w:t>
      </w:r>
      <w:r w:rsidRPr="469ED168" w:rsidR="215E3771">
        <w:rPr>
          <w:rFonts w:ascii="Arial" w:hAnsi="Arial" w:eastAsia="Arial" w:cs="Arial"/>
          <w:noProof w:val="0"/>
          <w:color w:val="auto"/>
          <w:sz w:val="24"/>
          <w:szCs w:val="24"/>
          <w:lang w:val="en-GB"/>
        </w:rPr>
        <w:t xml:space="preserve"> over $54 billion toward green projects in the first half of 2025 (Buchner et al., 2019). These initiatives align with regulatory guidance and stakeholder demands for climate-conscious operations, positioning HSBC as a leader in sustainable finance (NGFS, 2019; Buchner et al., 2019). At the same time, the bank faces challenges in managing exposure to carbon-intensive industries and addressing scrutiny from environmental activists and investors </w:t>
      </w:r>
      <w:r w:rsidRPr="469ED168" w:rsidR="215E3771">
        <w:rPr>
          <w:rFonts w:ascii="Arial" w:hAnsi="Arial" w:eastAsia="Arial" w:cs="Arial"/>
          <w:noProof w:val="0"/>
          <w:color w:val="auto"/>
          <w:sz w:val="24"/>
          <w:szCs w:val="24"/>
          <w:lang w:val="en-GB"/>
        </w:rPr>
        <w:t>regarding</w:t>
      </w:r>
      <w:r w:rsidRPr="469ED168" w:rsidR="215E3771">
        <w:rPr>
          <w:rFonts w:ascii="Arial" w:hAnsi="Arial" w:eastAsia="Arial" w:cs="Arial"/>
          <w:noProof w:val="0"/>
          <w:color w:val="auto"/>
          <w:sz w:val="24"/>
          <w:szCs w:val="24"/>
          <w:lang w:val="en-GB"/>
        </w:rPr>
        <w:t xml:space="preserve"> financing practices (Urban and Wójcik, 2019). Environmental risk management, combined with investment in renewable energy and green infrastructure, creates both reputational and financial opportunities, enabling HSBC to capture market share in emerging green sectors.</w:t>
      </w:r>
    </w:p>
    <w:p xmlns:wp14="http://schemas.microsoft.com/office/word/2010/wordml" w:rsidP="37F42C93" wp14:paraId="1A79622B" wp14:textId="66760AFC">
      <w:pPr>
        <w:pStyle w:val="Normal"/>
        <w:widowControl w:val="0"/>
        <w:suppressLineNumbers w:val="0"/>
        <w:bidi w:val="0"/>
        <w:spacing w:before="120" w:beforeAutospacing="off" w:after="120" w:afterAutospacing="off" w:line="360" w:lineRule="auto"/>
        <w:ind w:left="0" w:right="0"/>
        <w:jc w:val="both"/>
        <w:rPr>
          <w:rFonts w:ascii="Arial" w:hAnsi="Arial" w:eastAsia="Arial" w:cs="Arial"/>
          <w:noProof w:val="0"/>
          <w:color w:val="auto"/>
          <w:sz w:val="24"/>
          <w:szCs w:val="24"/>
          <w:lang w:val="en-GB"/>
        </w:rPr>
      </w:pPr>
      <w:r w:rsidRPr="469ED168" w:rsidR="3A5C7E26">
        <w:rPr>
          <w:rFonts w:ascii="Arial" w:hAnsi="Arial" w:eastAsia="Arial" w:cs="Arial"/>
          <w:noProof w:val="0"/>
          <w:color w:val="auto"/>
          <w:sz w:val="24"/>
          <w:szCs w:val="24"/>
          <w:lang w:val="en-GB"/>
        </w:rPr>
        <w:t xml:space="preserve">A synthesis of these PESTLE factors </w:t>
      </w:r>
      <w:r w:rsidRPr="469ED168" w:rsidR="3A5C7E26">
        <w:rPr>
          <w:rFonts w:ascii="Arial" w:hAnsi="Arial" w:eastAsia="Arial" w:cs="Arial"/>
          <w:noProof w:val="0"/>
          <w:color w:val="auto"/>
          <w:sz w:val="24"/>
          <w:szCs w:val="24"/>
          <w:lang w:val="en-GB"/>
        </w:rPr>
        <w:t>indicates</w:t>
      </w:r>
      <w:r w:rsidRPr="469ED168" w:rsidR="3A5C7E26">
        <w:rPr>
          <w:rFonts w:ascii="Arial" w:hAnsi="Arial" w:eastAsia="Arial" w:cs="Arial"/>
          <w:noProof w:val="0"/>
          <w:color w:val="auto"/>
          <w:sz w:val="24"/>
          <w:szCs w:val="24"/>
          <w:lang w:val="en-GB"/>
        </w:rPr>
        <w:t xml:space="preserve"> that HSBC </w:t>
      </w:r>
      <w:r w:rsidRPr="469ED168" w:rsidR="3A5C7E26">
        <w:rPr>
          <w:rFonts w:ascii="Arial" w:hAnsi="Arial" w:eastAsia="Arial" w:cs="Arial"/>
          <w:noProof w:val="0"/>
          <w:color w:val="auto"/>
          <w:sz w:val="24"/>
          <w:szCs w:val="24"/>
          <w:lang w:val="en-GB"/>
        </w:rPr>
        <w:t>encounters</w:t>
      </w:r>
      <w:r w:rsidRPr="469ED168" w:rsidR="3A5C7E26">
        <w:rPr>
          <w:rFonts w:ascii="Arial" w:hAnsi="Arial" w:eastAsia="Arial" w:cs="Arial"/>
          <w:noProof w:val="0"/>
          <w:color w:val="auto"/>
          <w:sz w:val="24"/>
          <w:szCs w:val="24"/>
          <w:lang w:val="en-GB"/>
        </w:rPr>
        <w:t xml:space="preserve"> several challenges, including geopolitical tensions, economic volatility, regulatory compliance burdens, competitive pressures from fintech and digital disruptors, and increased environmental scrutiny </w:t>
      </w:r>
      <w:r w:rsidRPr="469ED168" w:rsidR="3A5C7E26">
        <w:rPr>
          <w:rFonts w:ascii="Arial" w:hAnsi="Arial" w:eastAsia="Arial" w:cs="Arial"/>
          <w:noProof w:val="0"/>
          <w:color w:val="auto"/>
          <w:sz w:val="24"/>
          <w:szCs w:val="24"/>
          <w:lang w:val="en-GB"/>
        </w:rPr>
        <w:t>(OECD, 2019)</w:t>
      </w:r>
      <w:r w:rsidRPr="469ED168" w:rsidR="3A5C7E26">
        <w:rPr>
          <w:rFonts w:ascii="Arial" w:hAnsi="Arial" w:eastAsia="Arial" w:cs="Arial"/>
          <w:noProof w:val="0"/>
          <w:color w:val="auto"/>
          <w:sz w:val="24"/>
          <w:szCs w:val="24"/>
          <w:lang w:val="en-GB"/>
        </w:rPr>
        <w:t xml:space="preserve">. However, the bank can capitalise on opportunities through technological innovation, ESG-aligned investments, sustainable finance, enhanced digital services, and proactive regulatory engagement. Initiatives such as AI-driven risk monitoring, green bond issuance, and global fintech partnerships </w:t>
      </w:r>
      <w:r w:rsidRPr="469ED168" w:rsidR="3A5C7E26">
        <w:rPr>
          <w:rFonts w:ascii="Arial" w:hAnsi="Arial" w:eastAsia="Arial" w:cs="Arial"/>
          <w:noProof w:val="0"/>
          <w:color w:val="auto"/>
          <w:sz w:val="24"/>
          <w:szCs w:val="24"/>
          <w:lang w:val="en-GB"/>
        </w:rPr>
        <w:t>demonstrate</w:t>
      </w:r>
      <w:r w:rsidRPr="469ED168" w:rsidR="3A5C7E26">
        <w:rPr>
          <w:rFonts w:ascii="Arial" w:hAnsi="Arial" w:eastAsia="Arial" w:cs="Arial"/>
          <w:noProof w:val="0"/>
          <w:color w:val="auto"/>
          <w:sz w:val="24"/>
          <w:szCs w:val="24"/>
          <w:lang w:val="en-GB"/>
        </w:rPr>
        <w:t xml:space="preserve"> HSBC’s strategic responses. These measures transform external pressures into competitive advantages, contributing to both operational efficiency and long-term growth.</w:t>
      </w:r>
      <w:r w:rsidRPr="469ED168" w:rsidR="7ED634B3">
        <w:rPr>
          <w:rFonts w:ascii="Arial" w:hAnsi="Arial" w:eastAsia="Arial" w:cs="Arial"/>
          <w:noProof w:val="0"/>
          <w:color w:val="auto"/>
          <w:sz w:val="24"/>
          <w:szCs w:val="24"/>
          <w:lang w:val="en-GB"/>
        </w:rPr>
        <w:t xml:space="preserve"> </w:t>
      </w:r>
      <w:r w:rsidRPr="469ED168" w:rsidR="07837EE1">
        <w:rPr>
          <w:rFonts w:ascii="Arial" w:hAnsi="Arial" w:eastAsia="Arial" w:cs="Arial"/>
          <w:noProof w:val="0"/>
          <w:color w:val="auto"/>
          <w:sz w:val="24"/>
          <w:szCs w:val="24"/>
          <w:lang w:val="en-GB"/>
        </w:rPr>
        <w:t xml:space="preserve">HSBC has </w:t>
      </w:r>
      <w:r w:rsidRPr="469ED168" w:rsidR="07837EE1">
        <w:rPr>
          <w:rFonts w:ascii="Arial" w:hAnsi="Arial" w:eastAsia="Arial" w:cs="Arial"/>
          <w:noProof w:val="0"/>
          <w:color w:val="auto"/>
          <w:sz w:val="24"/>
          <w:szCs w:val="24"/>
          <w:lang w:val="en-GB"/>
        </w:rPr>
        <w:t>demonstrated</w:t>
      </w:r>
      <w:r w:rsidRPr="469ED168" w:rsidR="07837EE1">
        <w:rPr>
          <w:rFonts w:ascii="Arial" w:hAnsi="Arial" w:eastAsia="Arial" w:cs="Arial"/>
          <w:noProof w:val="0"/>
          <w:color w:val="auto"/>
          <w:sz w:val="24"/>
          <w:szCs w:val="24"/>
          <w:lang w:val="en-GB"/>
        </w:rPr>
        <w:t xml:space="preserve"> adaptability in a dynamic environment by integrating strategic, leadership, and technological initiatives to mitigate risks and seize opportunities </w:t>
      </w:r>
      <w:r w:rsidRPr="469ED168" w:rsidR="0412A2F2">
        <w:rPr>
          <w:rFonts w:ascii="Arial" w:hAnsi="Arial" w:eastAsia="Arial" w:cs="Arial"/>
          <w:noProof w:val="0"/>
          <w:color w:val="auto"/>
          <w:sz w:val="24"/>
          <w:szCs w:val="24"/>
          <w:lang w:val="en-GB"/>
        </w:rPr>
        <w:t>(</w:t>
      </w:r>
      <w:r w:rsidRPr="469ED168" w:rsidR="0412A2F2">
        <w:rPr>
          <w:rFonts w:ascii="Arial" w:hAnsi="Arial" w:eastAsia="Arial" w:cs="Arial"/>
          <w:b w:val="0"/>
          <w:bCs w:val="0"/>
          <w:i w:val="0"/>
          <w:iCs w:val="0"/>
          <w:caps w:val="0"/>
          <w:smallCaps w:val="0"/>
          <w:noProof w:val="0"/>
          <w:color w:val="000000" w:themeColor="text1" w:themeTint="FF" w:themeShade="FF"/>
          <w:sz w:val="24"/>
          <w:szCs w:val="24"/>
          <w:lang w:val="en-GB"/>
        </w:rPr>
        <w:t>Hallswroth</w:t>
      </w:r>
      <w:r w:rsidRPr="469ED168" w:rsidR="0412A2F2">
        <w:rPr>
          <w:rFonts w:ascii="Arial" w:hAnsi="Arial" w:eastAsia="Arial" w:cs="Arial"/>
          <w:b w:val="0"/>
          <w:bCs w:val="0"/>
          <w:i w:val="0"/>
          <w:iCs w:val="0"/>
          <w:caps w:val="0"/>
          <w:smallCaps w:val="0"/>
          <w:noProof w:val="0"/>
          <w:color w:val="000000" w:themeColor="text1" w:themeTint="FF" w:themeShade="FF"/>
          <w:sz w:val="24"/>
          <w:szCs w:val="24"/>
          <w:lang w:val="en-GB"/>
        </w:rPr>
        <w:t xml:space="preserve"> et al.</w:t>
      </w:r>
      <w:r w:rsidRPr="469ED168" w:rsidR="3BD721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ED168" w:rsidR="0412A2F2">
        <w:rPr>
          <w:rFonts w:ascii="Arial" w:hAnsi="Arial" w:eastAsia="Arial" w:cs="Arial"/>
          <w:b w:val="0"/>
          <w:bCs w:val="0"/>
          <w:i w:val="0"/>
          <w:iCs w:val="0"/>
          <w:caps w:val="0"/>
          <w:smallCaps w:val="0"/>
          <w:noProof w:val="0"/>
          <w:color w:val="000000" w:themeColor="text1" w:themeTint="FF" w:themeShade="FF"/>
          <w:sz w:val="24"/>
          <w:szCs w:val="24"/>
          <w:lang w:val="en-GB"/>
        </w:rPr>
        <w:t>2019)</w:t>
      </w:r>
      <w:r w:rsidRPr="469ED168" w:rsidR="07837EE1">
        <w:rPr>
          <w:rFonts w:ascii="Arial" w:hAnsi="Arial" w:eastAsia="Arial" w:cs="Arial"/>
          <w:noProof w:val="0"/>
          <w:color w:val="auto"/>
          <w:sz w:val="24"/>
          <w:szCs w:val="24"/>
          <w:lang w:val="en-GB"/>
        </w:rPr>
        <w:t xml:space="preserve">. The bank has restructured its operations to address regulatory complexity and market volatility. For example, after Brexit, HSBC reorganised European operations, opening offices in Paris and Frankfurt to </w:t>
      </w:r>
      <w:r w:rsidRPr="469ED168" w:rsidR="07837EE1">
        <w:rPr>
          <w:rFonts w:ascii="Arial" w:hAnsi="Arial" w:eastAsia="Arial" w:cs="Arial"/>
          <w:noProof w:val="0"/>
          <w:color w:val="auto"/>
          <w:sz w:val="24"/>
          <w:szCs w:val="24"/>
          <w:lang w:val="en-GB"/>
        </w:rPr>
        <w:t>maintain</w:t>
      </w:r>
      <w:r w:rsidRPr="469ED168" w:rsidR="07837EE1">
        <w:rPr>
          <w:rFonts w:ascii="Arial" w:hAnsi="Arial" w:eastAsia="Arial" w:cs="Arial"/>
          <w:noProof w:val="0"/>
          <w:color w:val="auto"/>
          <w:sz w:val="24"/>
          <w:szCs w:val="24"/>
          <w:lang w:val="en-GB"/>
        </w:rPr>
        <w:t xml:space="preserve"> access to EU markets and ensure regulatory compliance </w:t>
      </w:r>
      <w:r w:rsidRPr="469ED168" w:rsidR="07837EE1">
        <w:rPr>
          <w:rFonts w:ascii="Arial" w:hAnsi="Arial" w:eastAsia="Arial" w:cs="Arial"/>
          <w:noProof w:val="0"/>
          <w:color w:val="auto"/>
          <w:sz w:val="24"/>
          <w:szCs w:val="24"/>
          <w:lang w:val="en-GB"/>
        </w:rPr>
        <w:t>(Bloom et al., 2018)</w:t>
      </w:r>
      <w:r w:rsidRPr="469ED168" w:rsidR="07837EE1">
        <w:rPr>
          <w:rFonts w:ascii="Arial" w:hAnsi="Arial" w:eastAsia="Arial" w:cs="Arial"/>
          <w:noProof w:val="0"/>
          <w:color w:val="auto"/>
          <w:sz w:val="24"/>
          <w:szCs w:val="24"/>
          <w:lang w:val="en-GB"/>
        </w:rPr>
        <w:t xml:space="preserve">. This approach kept customer service and market share, reflecting effective risk management and organisational flexibility. In regions </w:t>
      </w:r>
      <w:r w:rsidRPr="469ED168" w:rsidR="51F54630">
        <w:rPr>
          <w:rFonts w:ascii="Arial" w:hAnsi="Arial" w:eastAsia="Arial" w:cs="Arial"/>
          <w:noProof w:val="0"/>
          <w:color w:val="auto"/>
          <w:sz w:val="24"/>
          <w:szCs w:val="24"/>
          <w:lang w:val="en-GB"/>
        </w:rPr>
        <w:t>such as</w:t>
      </w:r>
      <w:r w:rsidRPr="469ED168" w:rsidR="07837EE1">
        <w:rPr>
          <w:rFonts w:ascii="Arial" w:hAnsi="Arial" w:eastAsia="Arial" w:cs="Arial"/>
          <w:noProof w:val="0"/>
          <w:color w:val="auto"/>
          <w:sz w:val="24"/>
          <w:szCs w:val="24"/>
          <w:lang w:val="en-GB"/>
        </w:rPr>
        <w:t xml:space="preserve"> Hong Kong and Mainland China, HSBC adheres to local regulations while </w:t>
      </w:r>
      <w:r w:rsidRPr="469ED168" w:rsidR="07837EE1">
        <w:rPr>
          <w:rFonts w:ascii="Arial" w:hAnsi="Arial" w:eastAsia="Arial" w:cs="Arial"/>
          <w:noProof w:val="0"/>
          <w:color w:val="auto"/>
          <w:sz w:val="24"/>
          <w:szCs w:val="24"/>
          <w:lang w:val="en-GB"/>
        </w:rPr>
        <w:t>maintaining</w:t>
      </w:r>
      <w:r w:rsidRPr="469ED168" w:rsidR="07837EE1">
        <w:rPr>
          <w:rFonts w:ascii="Arial" w:hAnsi="Arial" w:eastAsia="Arial" w:cs="Arial"/>
          <w:noProof w:val="0"/>
          <w:color w:val="auto"/>
          <w:sz w:val="24"/>
          <w:szCs w:val="24"/>
          <w:lang w:val="en-GB"/>
        </w:rPr>
        <w:t xml:space="preserve"> global standards, thereby sustaining credibility and competitiveness.</w:t>
      </w:r>
      <w:r w:rsidRPr="469ED168" w:rsidR="478BFC45">
        <w:rPr>
          <w:rFonts w:ascii="Arial" w:hAnsi="Arial" w:eastAsia="Arial" w:cs="Arial"/>
          <w:noProof w:val="0"/>
          <w:color w:val="auto"/>
          <w:sz w:val="24"/>
          <w:szCs w:val="24"/>
          <w:lang w:val="en-GB"/>
        </w:rPr>
        <w:t xml:space="preserve"> </w:t>
      </w:r>
      <w:r w:rsidRPr="469ED168" w:rsidR="0B372D59">
        <w:rPr>
          <w:rFonts w:ascii="Arial" w:hAnsi="Arial" w:eastAsia="Arial" w:cs="Arial"/>
          <w:noProof w:val="0"/>
          <w:color w:val="auto"/>
          <w:sz w:val="24"/>
          <w:szCs w:val="24"/>
          <w:lang w:val="en-GB"/>
        </w:rPr>
        <w:t xml:space="preserve">Technological innovation has played </w:t>
      </w:r>
      <w:r w:rsidRPr="469ED168" w:rsidR="0B372D59">
        <w:rPr>
          <w:rFonts w:ascii="Arial" w:hAnsi="Arial" w:eastAsia="Arial" w:cs="Arial"/>
          <w:noProof w:val="0"/>
          <w:color w:val="auto"/>
          <w:sz w:val="24"/>
          <w:szCs w:val="24"/>
          <w:lang w:val="en-GB"/>
        </w:rPr>
        <w:t>a central role</w:t>
      </w:r>
      <w:r w:rsidRPr="469ED168" w:rsidR="0B372D59">
        <w:rPr>
          <w:rFonts w:ascii="Arial" w:hAnsi="Arial" w:eastAsia="Arial" w:cs="Arial"/>
          <w:noProof w:val="0"/>
          <w:color w:val="auto"/>
          <w:sz w:val="24"/>
          <w:szCs w:val="24"/>
          <w:lang w:val="en-GB"/>
        </w:rPr>
        <w:t xml:space="preserve"> in HSBC’s strategic response to digital disruption from fintech competitors </w:t>
      </w:r>
      <w:r w:rsidRPr="469ED168" w:rsidR="0B372D59">
        <w:rPr>
          <w:rFonts w:ascii="Arial" w:hAnsi="Arial" w:eastAsia="Arial" w:cs="Arial"/>
          <w:noProof w:val="0"/>
          <w:color w:val="auto"/>
          <w:sz w:val="24"/>
          <w:szCs w:val="24"/>
          <w:lang w:val="en-GB"/>
        </w:rPr>
        <w:t>(Bhattacharyya et al., 2020).</w:t>
      </w:r>
      <w:r w:rsidRPr="469ED168" w:rsidR="0B372D59">
        <w:rPr>
          <w:rFonts w:ascii="Arial" w:hAnsi="Arial" w:eastAsia="Arial" w:cs="Arial"/>
          <w:noProof w:val="0"/>
          <w:color w:val="auto"/>
          <w:sz w:val="24"/>
          <w:szCs w:val="24"/>
          <w:lang w:val="en-GB"/>
        </w:rPr>
        <w:t xml:space="preserve"> The bank has made substantial investments in digital platforms, artificial intelligence (AI), blockchain, and process automation to enhance operational efficiency and customer experience. AI-driven tools have improved fraud detection, risk management, and the provision of personalised financial advisory services, allowing HSBC to respond rapidly to evolving market demands while reducing operational costs. The implementation of blockchain technology in cross-border payments has increased transaction speed and reduced settlement risk, </w:t>
      </w:r>
      <w:r w:rsidRPr="469ED168" w:rsidR="0B372D59">
        <w:rPr>
          <w:rFonts w:ascii="Arial" w:hAnsi="Arial" w:eastAsia="Arial" w:cs="Arial"/>
          <w:noProof w:val="0"/>
          <w:color w:val="auto"/>
          <w:sz w:val="24"/>
          <w:szCs w:val="24"/>
          <w:lang w:val="en-GB"/>
        </w:rPr>
        <w:t>establishing</w:t>
      </w:r>
      <w:r w:rsidRPr="469ED168" w:rsidR="0B372D59">
        <w:rPr>
          <w:rFonts w:ascii="Arial" w:hAnsi="Arial" w:eastAsia="Arial" w:cs="Arial"/>
          <w:noProof w:val="0"/>
          <w:color w:val="auto"/>
          <w:sz w:val="24"/>
          <w:szCs w:val="24"/>
          <w:lang w:val="en-GB"/>
        </w:rPr>
        <w:t xml:space="preserve"> HSBC as a leader in technologically advanced banking solutions. Additionally, enhancements in mobile and online banking have enabled the bank to serve underbanked populations, increase market penetration, and strengthen engagement with younger, digitally proficient consumers.</w:t>
      </w:r>
      <w:r w:rsidRPr="469ED168" w:rsidR="541FF096">
        <w:rPr>
          <w:rFonts w:ascii="Arial" w:hAnsi="Arial" w:eastAsia="Arial" w:cs="Arial"/>
          <w:noProof w:val="0"/>
          <w:color w:val="auto"/>
          <w:sz w:val="24"/>
          <w:szCs w:val="24"/>
          <w:lang w:val="en-GB"/>
        </w:rPr>
        <w:t xml:space="preserve"> </w:t>
      </w:r>
      <w:r w:rsidRPr="469ED168" w:rsidR="73EDED84">
        <w:rPr>
          <w:rFonts w:ascii="Arial" w:hAnsi="Arial" w:eastAsia="Arial" w:cs="Arial"/>
          <w:noProof w:val="0"/>
          <w:color w:val="auto"/>
          <w:sz w:val="24"/>
          <w:szCs w:val="24"/>
          <w:lang w:val="en-GB"/>
        </w:rPr>
        <w:t xml:space="preserve">Sustainability initiatives have also played a significant role in HSBC’s adaptive strategy. Environmental, Social, and Governance (ESG) considerations are integrated into the bank’s long-term </w:t>
      </w:r>
      <w:r w:rsidRPr="469ED168" w:rsidR="73EDED84">
        <w:rPr>
          <w:rFonts w:ascii="Arial" w:hAnsi="Arial" w:eastAsia="Arial" w:cs="Arial"/>
          <w:noProof w:val="0"/>
          <w:color w:val="auto"/>
          <w:sz w:val="24"/>
          <w:szCs w:val="24"/>
          <w:lang w:val="en-GB"/>
        </w:rPr>
        <w:t>objectives</w:t>
      </w:r>
      <w:r w:rsidRPr="469ED168" w:rsidR="73EDED84">
        <w:rPr>
          <w:rFonts w:ascii="Arial" w:hAnsi="Arial" w:eastAsia="Arial" w:cs="Arial"/>
          <w:noProof w:val="0"/>
          <w:color w:val="auto"/>
          <w:sz w:val="24"/>
          <w:szCs w:val="24"/>
          <w:lang w:val="en-GB"/>
        </w:rPr>
        <w:t xml:space="preserve">, including a commitment to </w:t>
      </w:r>
      <w:r w:rsidRPr="469ED168" w:rsidR="73EDED84">
        <w:rPr>
          <w:rFonts w:ascii="Arial" w:hAnsi="Arial" w:eastAsia="Arial" w:cs="Arial"/>
          <w:noProof w:val="0"/>
          <w:color w:val="auto"/>
          <w:sz w:val="24"/>
          <w:szCs w:val="24"/>
          <w:lang w:val="en-GB"/>
        </w:rPr>
        <w:t>facilitate</w:t>
      </w:r>
      <w:r w:rsidRPr="469ED168" w:rsidR="73EDED84">
        <w:rPr>
          <w:rFonts w:ascii="Arial" w:hAnsi="Arial" w:eastAsia="Arial" w:cs="Arial"/>
          <w:noProof w:val="0"/>
          <w:color w:val="auto"/>
          <w:sz w:val="24"/>
          <w:szCs w:val="24"/>
          <w:lang w:val="en-GB"/>
        </w:rPr>
        <w:t xml:space="preserve"> up to $1 trillion in sustainable finance by 2030 </w:t>
      </w:r>
      <w:r w:rsidRPr="469ED168" w:rsidR="73EDED84">
        <w:rPr>
          <w:rFonts w:ascii="Arial" w:hAnsi="Arial" w:eastAsia="Arial" w:cs="Arial"/>
          <w:noProof w:val="0"/>
          <w:color w:val="auto"/>
          <w:sz w:val="24"/>
          <w:szCs w:val="24"/>
          <w:lang w:val="en-GB"/>
        </w:rPr>
        <w:t>(UNEPFI, 2019).</w:t>
      </w:r>
      <w:r w:rsidRPr="469ED168" w:rsidR="73EDED84">
        <w:rPr>
          <w:rFonts w:ascii="Arial" w:hAnsi="Arial" w:eastAsia="Arial" w:cs="Arial"/>
          <w:noProof w:val="0"/>
          <w:color w:val="auto"/>
          <w:sz w:val="24"/>
          <w:szCs w:val="24"/>
          <w:lang w:val="en-GB"/>
        </w:rPr>
        <w:t xml:space="preserve"> The introduction of green projects, climate-related investment products, and financing for renewable energy </w:t>
      </w:r>
      <w:r w:rsidRPr="469ED168" w:rsidR="73EDED84">
        <w:rPr>
          <w:rFonts w:ascii="Arial" w:hAnsi="Arial" w:eastAsia="Arial" w:cs="Arial"/>
          <w:noProof w:val="0"/>
          <w:color w:val="auto"/>
          <w:sz w:val="24"/>
          <w:szCs w:val="24"/>
          <w:lang w:val="en-GB"/>
        </w:rPr>
        <w:t>demonstrates</w:t>
      </w:r>
      <w:r w:rsidRPr="469ED168" w:rsidR="73EDED84">
        <w:rPr>
          <w:rFonts w:ascii="Arial" w:hAnsi="Arial" w:eastAsia="Arial" w:cs="Arial"/>
          <w:noProof w:val="0"/>
          <w:color w:val="auto"/>
          <w:sz w:val="24"/>
          <w:szCs w:val="24"/>
          <w:lang w:val="en-GB"/>
        </w:rPr>
        <w:t xml:space="preserve"> HSBC’s dual strategy of mitigating environmental risks and capitalising on the expanding market for responsible investment. These measures align with societal expectations, regulatory requirements, and long-term financial sustainability, while also enhancing brand reputation and generating new revenue streams.</w:t>
      </w:r>
      <w:r w:rsidRPr="469ED168" w:rsidR="6DD3513C">
        <w:rPr>
          <w:rFonts w:ascii="Arial" w:hAnsi="Arial" w:eastAsia="Arial" w:cs="Arial"/>
          <w:noProof w:val="0"/>
          <w:color w:val="auto"/>
          <w:sz w:val="24"/>
          <w:szCs w:val="24"/>
          <w:lang w:val="en-GB"/>
        </w:rPr>
        <w:t xml:space="preserve"> </w:t>
      </w:r>
      <w:r w:rsidRPr="469ED168" w:rsidR="5C0E002E">
        <w:rPr>
          <w:rFonts w:ascii="Arial" w:hAnsi="Arial" w:eastAsia="Arial" w:cs="Arial"/>
          <w:noProof w:val="0"/>
          <w:color w:val="auto"/>
          <w:sz w:val="24"/>
          <w:szCs w:val="24"/>
          <w:lang w:val="en-GB"/>
        </w:rPr>
        <w:t>Leadership style and organisational culture have further supported HSBC’s adaptability. The bank has implemented a governance model focused on risk awareness, operational accountability, and strategic foresight. Senior management promotes a culture of innovation, compliance, and sustainability, ensuring that strategic decisions address both immediate operational requirements and long-term environmental considerations (</w:t>
      </w:r>
      <w:r w:rsidRPr="469ED168" w:rsidR="5C0E002E">
        <w:rPr>
          <w:rFonts w:ascii="Arial" w:hAnsi="Arial" w:eastAsia="Arial" w:cs="Arial"/>
          <w:noProof w:val="0"/>
          <w:color w:val="auto"/>
          <w:sz w:val="24"/>
          <w:szCs w:val="24"/>
          <w:lang w:val="en-GB"/>
        </w:rPr>
        <w:t>Worthington et al., 2018)</w:t>
      </w:r>
      <w:r w:rsidRPr="469ED168" w:rsidR="5C0E002E">
        <w:rPr>
          <w:rFonts w:ascii="Arial" w:hAnsi="Arial" w:eastAsia="Arial" w:cs="Arial"/>
          <w:noProof w:val="0"/>
          <w:color w:val="auto"/>
          <w:sz w:val="24"/>
          <w:szCs w:val="24"/>
          <w:lang w:val="en-GB"/>
        </w:rPr>
        <w:t xml:space="preserve">. Through collaborative decision-making and empowering regional leadership teams to adapt strategies to local contexts, HSBC has sustained agility across diverse markets while </w:t>
      </w:r>
      <w:r w:rsidRPr="469ED168" w:rsidR="5C0E002E">
        <w:rPr>
          <w:rFonts w:ascii="Arial" w:hAnsi="Arial" w:eastAsia="Arial" w:cs="Arial"/>
          <w:noProof w:val="0"/>
          <w:color w:val="auto"/>
          <w:sz w:val="24"/>
          <w:szCs w:val="24"/>
          <w:lang w:val="en-GB"/>
        </w:rPr>
        <w:t>maintaining</w:t>
      </w:r>
      <w:r w:rsidRPr="469ED168" w:rsidR="5C0E002E">
        <w:rPr>
          <w:rFonts w:ascii="Arial" w:hAnsi="Arial" w:eastAsia="Arial" w:cs="Arial"/>
          <w:noProof w:val="0"/>
          <w:color w:val="auto"/>
          <w:sz w:val="24"/>
          <w:szCs w:val="24"/>
          <w:lang w:val="en-GB"/>
        </w:rPr>
        <w:t xml:space="preserve"> overall strategic coherence.</w:t>
      </w:r>
      <w:r w:rsidRPr="469ED168" w:rsidR="5C0E002E">
        <w:rPr>
          <w:rFonts w:ascii="Arial" w:hAnsi="Arial" w:eastAsia="Arial" w:cs="Arial"/>
          <w:b w:val="0"/>
          <w:bCs w:val="0"/>
          <w:i w:val="0"/>
          <w:iCs w:val="0"/>
          <w:caps w:val="0"/>
          <w:smallCaps w:val="0"/>
          <w:noProof w:val="0"/>
          <w:color w:val="auto"/>
          <w:sz w:val="24"/>
          <w:szCs w:val="24"/>
          <w:lang w:val="en-GB"/>
        </w:rPr>
        <w:t xml:space="preserve"> </w:t>
      </w:r>
      <w:r w:rsidRPr="469ED168" w:rsidR="703F879F">
        <w:rPr>
          <w:rFonts w:ascii="Arial" w:hAnsi="Arial" w:eastAsia="Arial" w:cs="Arial"/>
          <w:noProof w:val="0"/>
          <w:color w:val="auto"/>
          <w:sz w:val="24"/>
          <w:szCs w:val="24"/>
          <w:lang w:val="en-GB"/>
        </w:rPr>
        <w:t xml:space="preserve">Although these measures have proven effective, </w:t>
      </w:r>
      <w:r w:rsidRPr="469ED168" w:rsidR="703F879F">
        <w:rPr>
          <w:rFonts w:ascii="Arial" w:hAnsi="Arial" w:eastAsia="Arial" w:cs="Arial"/>
          <w:noProof w:val="0"/>
          <w:color w:val="auto"/>
          <w:sz w:val="24"/>
          <w:szCs w:val="24"/>
          <w:lang w:val="en-GB"/>
        </w:rPr>
        <w:t>additional</w:t>
      </w:r>
      <w:r w:rsidRPr="469ED168" w:rsidR="703F879F">
        <w:rPr>
          <w:rFonts w:ascii="Arial" w:hAnsi="Arial" w:eastAsia="Arial" w:cs="Arial"/>
          <w:noProof w:val="0"/>
          <w:color w:val="auto"/>
          <w:sz w:val="24"/>
          <w:szCs w:val="24"/>
          <w:lang w:val="en-GB"/>
        </w:rPr>
        <w:t xml:space="preserve"> or complementary strategic responses may further strengthen HSBC’s resilience </w:t>
      </w:r>
      <w:r w:rsidRPr="469ED168" w:rsidR="195EA50B">
        <w:rPr>
          <w:rFonts w:ascii="Arial" w:hAnsi="Arial" w:eastAsia="Arial" w:cs="Arial"/>
          <w:b w:val="0"/>
          <w:bCs w:val="0"/>
          <w:i w:val="0"/>
          <w:iCs w:val="0"/>
          <w:caps w:val="0"/>
          <w:smallCaps w:val="0"/>
          <w:noProof w:val="0"/>
          <w:color w:val="auto"/>
          <w:sz w:val="24"/>
          <w:szCs w:val="24"/>
          <w:lang w:val="en-GB"/>
        </w:rPr>
        <w:t>(Ullah Qadri and Tariq, 2025</w:t>
      </w:r>
      <w:r w:rsidRPr="469ED168" w:rsidR="195EA50B">
        <w:rPr>
          <w:rFonts w:ascii="Arial" w:hAnsi="Arial" w:eastAsia="Arial" w:cs="Arial"/>
          <w:b w:val="0"/>
          <w:bCs w:val="0"/>
          <w:i w:val="0"/>
          <w:iCs w:val="0"/>
          <w:caps w:val="0"/>
          <w:smallCaps w:val="0"/>
          <w:noProof w:val="0"/>
          <w:color w:val="auto"/>
          <w:sz w:val="24"/>
          <w:szCs w:val="24"/>
          <w:lang w:val="en-GB"/>
        </w:rPr>
        <w:t>)</w:t>
      </w:r>
      <w:r w:rsidRPr="469ED168" w:rsidR="703F879F">
        <w:rPr>
          <w:rFonts w:ascii="Arial" w:hAnsi="Arial" w:eastAsia="Arial" w:cs="Arial"/>
          <w:noProof w:val="0"/>
          <w:color w:val="auto"/>
          <w:sz w:val="24"/>
          <w:szCs w:val="24"/>
          <w:lang w:val="en-GB"/>
        </w:rPr>
        <w:t xml:space="preserve">. Increased diversification into emerging markets with significant growth potential may help mitigate risks associated with geopolitical tensions or economic volatility in established markets. Forming strategic partnerships with fintech companies and implementing advanced predictive analytics could foster innovation, streamline operations, and enhance customer targeting. Moreover, HSBC could intensify its commitment to financial inclusion by focusing on underbanked populations in Asia, Africa, and Latin America. This approach would not only support social responsibility </w:t>
      </w:r>
      <w:r w:rsidRPr="469ED168" w:rsidR="703F879F">
        <w:rPr>
          <w:rFonts w:ascii="Arial" w:hAnsi="Arial" w:eastAsia="Arial" w:cs="Arial"/>
          <w:noProof w:val="0"/>
          <w:color w:val="auto"/>
          <w:sz w:val="24"/>
          <w:szCs w:val="24"/>
          <w:lang w:val="en-GB"/>
        </w:rPr>
        <w:t>objectives</w:t>
      </w:r>
      <w:r w:rsidRPr="469ED168" w:rsidR="703F879F">
        <w:rPr>
          <w:rFonts w:ascii="Arial" w:hAnsi="Arial" w:eastAsia="Arial" w:cs="Arial"/>
          <w:noProof w:val="0"/>
          <w:color w:val="auto"/>
          <w:sz w:val="24"/>
          <w:szCs w:val="24"/>
          <w:lang w:val="en-GB"/>
        </w:rPr>
        <w:t xml:space="preserve"> but also create new long-term revenue opportunities. </w:t>
      </w:r>
      <w:r w:rsidRPr="469ED168" w:rsidR="703F879F">
        <w:rPr>
          <w:rFonts w:ascii="Arial" w:hAnsi="Arial" w:eastAsia="Arial" w:cs="Arial"/>
          <w:noProof w:val="0"/>
          <w:color w:val="auto"/>
          <w:sz w:val="24"/>
          <w:szCs w:val="24"/>
          <w:lang w:val="en-GB"/>
        </w:rPr>
        <w:t>Regarding</w:t>
      </w:r>
      <w:r w:rsidRPr="469ED168" w:rsidR="703F879F">
        <w:rPr>
          <w:rFonts w:ascii="Arial" w:hAnsi="Arial" w:eastAsia="Arial" w:cs="Arial"/>
          <w:noProof w:val="0"/>
          <w:color w:val="auto"/>
          <w:sz w:val="24"/>
          <w:szCs w:val="24"/>
          <w:lang w:val="en-GB"/>
        </w:rPr>
        <w:t xml:space="preserve"> sustainability, the bank could adopt a more proactive capital relocation strategy from carbon-intensive sectors while increasing investments in emerging renewable technologies, thereby positioning itself as a leader in climate-conscious banking.</w:t>
      </w:r>
      <w:r w:rsidRPr="469ED168" w:rsidR="6F35E61D">
        <w:rPr>
          <w:rFonts w:ascii="Arial" w:hAnsi="Arial" w:eastAsia="Arial" w:cs="Arial"/>
          <w:noProof w:val="0"/>
          <w:color w:val="auto"/>
          <w:sz w:val="24"/>
          <w:szCs w:val="24"/>
          <w:lang w:val="en-GB"/>
        </w:rPr>
        <w:t xml:space="preserve"> </w:t>
      </w:r>
      <w:r w:rsidRPr="469ED168" w:rsidR="64F29488">
        <w:rPr>
          <w:rFonts w:ascii="Arial" w:hAnsi="Arial" w:eastAsia="Arial" w:cs="Arial"/>
          <w:noProof w:val="0"/>
          <w:color w:val="auto"/>
          <w:sz w:val="24"/>
          <w:szCs w:val="24"/>
          <w:lang w:val="en-GB"/>
        </w:rPr>
        <w:t xml:space="preserve">In summary, HSBC has </w:t>
      </w:r>
      <w:r w:rsidRPr="469ED168" w:rsidR="64F29488">
        <w:rPr>
          <w:rFonts w:ascii="Arial" w:hAnsi="Arial" w:eastAsia="Arial" w:cs="Arial"/>
          <w:noProof w:val="0"/>
          <w:color w:val="auto"/>
          <w:sz w:val="24"/>
          <w:szCs w:val="24"/>
          <w:lang w:val="en-GB"/>
        </w:rPr>
        <w:t>exhibited</w:t>
      </w:r>
      <w:r w:rsidRPr="469ED168" w:rsidR="64F29488">
        <w:rPr>
          <w:rFonts w:ascii="Arial" w:hAnsi="Arial" w:eastAsia="Arial" w:cs="Arial"/>
          <w:noProof w:val="0"/>
          <w:color w:val="auto"/>
          <w:sz w:val="24"/>
          <w:szCs w:val="24"/>
          <w:lang w:val="en-GB"/>
        </w:rPr>
        <w:t xml:space="preserve"> substantial organisational adaptability through strategic restructuring, digital innovation, sustainability initiatives, and leadership-driven governance. These responses have strengthened operational efficiency, enhanced market positioning, and mitigated risks associated with regulatory, economic, and social pressures </w:t>
      </w:r>
      <w:r w:rsidRPr="469ED168" w:rsidR="19AA5BA1">
        <w:rPr>
          <w:rFonts w:ascii="Arial" w:hAnsi="Arial" w:eastAsia="Arial" w:cs="Arial"/>
          <w:noProof w:val="0"/>
          <w:color w:val="auto"/>
          <w:sz w:val="24"/>
          <w:szCs w:val="24"/>
          <w:lang w:val="en-GB"/>
        </w:rPr>
        <w:t>(</w:t>
      </w:r>
      <w:r w:rsidRPr="469ED168" w:rsidR="19AA5BA1">
        <w:rPr>
          <w:rFonts w:ascii="Arial" w:hAnsi="Arial" w:eastAsia="Arial" w:cs="Arial"/>
          <w:b w:val="0"/>
          <w:bCs w:val="0"/>
          <w:i w:val="0"/>
          <w:iCs w:val="0"/>
          <w:caps w:val="0"/>
          <w:smallCaps w:val="0"/>
          <w:noProof w:val="0"/>
          <w:color w:val="000000" w:themeColor="text1" w:themeTint="FF" w:themeShade="FF"/>
          <w:sz w:val="24"/>
          <w:szCs w:val="24"/>
          <w:lang w:val="en-GB"/>
        </w:rPr>
        <w:t>Hallswroth</w:t>
      </w:r>
      <w:r w:rsidRPr="469ED168" w:rsidR="19AA5BA1">
        <w:rPr>
          <w:rFonts w:ascii="Arial" w:hAnsi="Arial" w:eastAsia="Arial" w:cs="Arial"/>
          <w:b w:val="0"/>
          <w:bCs w:val="0"/>
          <w:i w:val="0"/>
          <w:iCs w:val="0"/>
          <w:caps w:val="0"/>
          <w:smallCaps w:val="0"/>
          <w:noProof w:val="0"/>
          <w:color w:val="000000" w:themeColor="text1" w:themeTint="FF" w:themeShade="FF"/>
          <w:sz w:val="24"/>
          <w:szCs w:val="24"/>
          <w:lang w:val="en-GB"/>
        </w:rPr>
        <w:t xml:space="preserve"> et al.,2</w:t>
      </w:r>
      <w:r w:rsidRPr="469ED168" w:rsidR="19AA5BA1">
        <w:rPr>
          <w:rFonts w:ascii="Arial" w:hAnsi="Arial" w:eastAsia="Arial" w:cs="Arial"/>
          <w:b w:val="0"/>
          <w:bCs w:val="0"/>
          <w:i w:val="0"/>
          <w:iCs w:val="0"/>
          <w:caps w:val="0"/>
          <w:smallCaps w:val="0"/>
          <w:noProof w:val="0"/>
          <w:color w:val="000000" w:themeColor="text1" w:themeTint="FF" w:themeShade="FF"/>
          <w:sz w:val="24"/>
          <w:szCs w:val="24"/>
          <w:lang w:val="en-GB"/>
        </w:rPr>
        <w:t>019).</w:t>
      </w:r>
      <w:r w:rsidRPr="469ED168" w:rsidR="64F29488">
        <w:rPr>
          <w:rFonts w:ascii="Arial" w:hAnsi="Arial" w:eastAsia="Arial" w:cs="Arial"/>
          <w:noProof w:val="0"/>
          <w:color w:val="auto"/>
          <w:sz w:val="24"/>
          <w:szCs w:val="24"/>
          <w:lang w:val="en-GB"/>
        </w:rPr>
        <w:t xml:space="preserve"> </w:t>
      </w:r>
      <w:r w:rsidRPr="469ED168" w:rsidR="64F29488">
        <w:rPr>
          <w:rFonts w:ascii="Arial" w:hAnsi="Arial" w:eastAsia="Arial" w:cs="Arial"/>
          <w:noProof w:val="0"/>
          <w:color w:val="auto"/>
          <w:sz w:val="24"/>
          <w:szCs w:val="24"/>
          <w:lang w:val="en-GB"/>
        </w:rPr>
        <w:t xml:space="preserve">Nevertheless, ongoing adaptation is essential, particularly as technological disruption, climate change, and geopolitical uncertainties continue to reshape the global financial landscape. By pursuing targeted diversification, deeper fintech integration, and more aggressive ESG strategies, HSBC can position itself as a leader equipped to navigate complexity, overcome emerging challenges, and secure lasting success in the evolving financial environment. </w:t>
      </w:r>
    </w:p>
    <w:p xmlns:wp14="http://schemas.microsoft.com/office/word/2010/wordml" w:rsidP="37F42C93" wp14:paraId="682C7AFE" wp14:textId="5752D88C">
      <w:pPr>
        <w:widowControl w:val="0"/>
        <w:spacing w:before="120" w:beforeAutospacing="off" w:after="120" w:afterAutospacing="off" w:line="360" w:lineRule="auto"/>
        <w:jc w:val="both"/>
        <w:rPr>
          <w:rFonts w:ascii="Arial" w:hAnsi="Arial" w:eastAsia="Arial" w:cs="Arial"/>
          <w:noProof w:val="0"/>
          <w:color w:val="auto"/>
          <w:sz w:val="24"/>
          <w:szCs w:val="24"/>
          <w:lang w:val="en-GB"/>
        </w:rPr>
      </w:pPr>
      <w:r w:rsidRPr="469ED168" w:rsidR="389ADFA2">
        <w:rPr>
          <w:rFonts w:ascii="Arial" w:hAnsi="Arial" w:eastAsia="Arial" w:cs="Arial"/>
          <w:noProof w:val="0"/>
          <w:color w:val="auto"/>
          <w:sz w:val="24"/>
          <w:szCs w:val="24"/>
          <w:lang w:val="en-GB"/>
        </w:rPr>
        <w:t xml:space="preserve">In conclusion, HSBC </w:t>
      </w:r>
      <w:r w:rsidRPr="469ED168" w:rsidR="389ADFA2">
        <w:rPr>
          <w:rFonts w:ascii="Arial" w:hAnsi="Arial" w:eastAsia="Arial" w:cs="Arial"/>
          <w:noProof w:val="0"/>
          <w:color w:val="auto"/>
          <w:sz w:val="24"/>
          <w:szCs w:val="24"/>
          <w:lang w:val="en-GB"/>
        </w:rPr>
        <w:t>operates</w:t>
      </w:r>
      <w:r w:rsidRPr="469ED168" w:rsidR="389ADFA2">
        <w:rPr>
          <w:rFonts w:ascii="Arial" w:hAnsi="Arial" w:eastAsia="Arial" w:cs="Arial"/>
          <w:noProof w:val="0"/>
          <w:color w:val="auto"/>
          <w:sz w:val="24"/>
          <w:szCs w:val="24"/>
          <w:lang w:val="en-GB"/>
        </w:rPr>
        <w:t xml:space="preserve"> in </w:t>
      </w:r>
      <w:r w:rsidRPr="469ED168" w:rsidR="389ADFA2">
        <w:rPr>
          <w:rFonts w:ascii="Arial" w:hAnsi="Arial" w:eastAsia="Arial" w:cs="Arial"/>
          <w:noProof w:val="0"/>
          <w:color w:val="auto"/>
          <w:sz w:val="24"/>
          <w:szCs w:val="24"/>
          <w:lang w:val="en-GB"/>
        </w:rPr>
        <w:t>a highly complex</w:t>
      </w:r>
      <w:r w:rsidRPr="469ED168" w:rsidR="389ADFA2">
        <w:rPr>
          <w:rFonts w:ascii="Arial" w:hAnsi="Arial" w:eastAsia="Arial" w:cs="Arial"/>
          <w:noProof w:val="0"/>
          <w:color w:val="auto"/>
          <w:sz w:val="24"/>
          <w:szCs w:val="24"/>
          <w:lang w:val="en-GB"/>
        </w:rPr>
        <w:t xml:space="preserve"> and dynamic global environment. Many political, economic, social, technological, legal, and environmental factors influence this environment. The PESTLE analysis shows the bank faces challenges such as geopolitical tensions, regulatory complexity, economic volatility, competitive fintech pressures, cybersecurity threats, and increased environmental assessment. At the same time, HSBC finds opportunities in technological innovation, digital banking expansion, sustainable finance, and shifting societal expectations. The bank has used these opportunities through digital platforms, AI integration, green investment products, and adaptive leadership. Through operational restructuring, risk management, and sustainability, HSBC has strengthened resilience, competitiveness, and brand reputation. This shows the effectiveness of its organisational adaptability. </w:t>
      </w:r>
      <w:r w:rsidRPr="469ED168" w:rsidR="13B2348B">
        <w:rPr>
          <w:rFonts w:ascii="Arial" w:hAnsi="Arial" w:eastAsia="Arial" w:cs="Arial"/>
          <w:noProof w:val="0"/>
          <w:color w:val="auto"/>
          <w:sz w:val="24"/>
          <w:szCs w:val="24"/>
          <w:lang w:val="en-GB"/>
        </w:rPr>
        <w:t>HSBC can achieve future growth through expansion into emerging markets, strategic partnerships with fintech companies, and the application of predictive analytics to foster innovation and improve customer service. Promoting financial inclusion and minimising exposure to carbon-intensive industries can enhance the bank’s social and environmental impact while generating new business opportunities. Maintaining robust cybersecurity protocols and continuously advancing governance practices will strengthen resilience, enabling HSBC to remain an adaptable and forward-looking global institution within an increasingly complex business environment.</w:t>
      </w:r>
    </w:p>
    <w:p w:rsidR="40172D8F" w:rsidP="469ED168" w:rsidRDefault="40172D8F" w14:paraId="5326F007" w14:textId="0BCC1025">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40172D8F" w:rsidP="469ED168" w:rsidRDefault="40172D8F" w14:paraId="5FDDA4A2" w14:textId="0AA00C7D">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Alzoubi, M. (2022). Stock Market Performance: Reaction to Interest Rates and Inflation Rates. Banks and Bank Systems, 17(2), pp.189–198.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://doi.org/10.21511/bbs.17(2).2022.16.</w:t>
      </w:r>
    </w:p>
    <w:p w:rsidR="40172D8F" w:rsidP="469ED168" w:rsidRDefault="40172D8F" w14:paraId="7029A57E" w14:textId="4198EC52">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Bank of England (2019). Enhancing Banks’ and Insurers’ Approaches to Managing the Financial Risks from Climate Change. Available at: </w:t>
      </w:r>
      <w:hyperlink r:id="Rd494c0d2270e4cbf">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https://www.bankofengland.co.uk/prudential-regulation/publication/2019/enhancing-banks-and-insurers-approaches-to-managing-the-financial-risks-from-climate-change-ss</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5CE981AE" w14:textId="661F6857">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Bank for International Settlements (2019). Basel Committee on Banking Supervision Basel III Monitoring Report. Available at: </w:t>
      </w:r>
      <w:hyperlink r:id="Ra5a6f75c6fc5495a">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https://www.bis.org/bcbs/publ/d477.pdf</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6919590A" w14:textId="4C0FDF13">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Bhattacharyya, D., et al. (2020). Global Banking Annual Review 2023: The Great Banking Transition. McKinsey &amp; Company. Available at: </w:t>
      </w:r>
      <w:hyperlink r:id="R61240fffb6b04b01">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https://www.mckinsey.com/industries/financial-services/our-insights/global-banking-annual-review-2023</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517F9A91" w14:textId="334EFA19">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Bloom, N., et al. (2018). Brexit and Uncertainty: Insights from the Decision Maker Panel. Fiscal Studies, 39(4), pp.555–580.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://doi.org/10.1111/1475-5890.12179.</w:t>
      </w:r>
    </w:p>
    <w:p w:rsidR="40172D8F" w:rsidP="469ED168" w:rsidRDefault="40172D8F" w14:paraId="18B95BB2" w14:textId="059C782F">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Buchner, B., et al. (2019). Global Landscape of Climate Finance 2019. Available at: </w:t>
      </w:r>
      <w:hyperlink r:id="R3ced1ce8b6154fe4">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https://www.climatepolicyinitiative.org/wp-content/uploads/2019/11/2019-Global-Landscape-of-Climate-Finance.pdf</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0172D8F" w:rsidP="469ED168" w:rsidRDefault="40172D8F" w14:paraId="7C533AED" w14:textId="04B275CA">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Carbone, S., et al. (2019). Box 4 Climate risk-related disclosures of banks and insurers and their market impact. Available at: </w:t>
      </w:r>
      <w:hyperlink r:id="R107d680fc13547bb">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https://www.ecb.europa.eu/press/financial-stability-publications/fsr/focus/2019/pdf/ecb~48858a11e0.fsrbox201911_04.pdf</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w:t>
      </w:r>
    </w:p>
    <w:p w:rsidR="40172D8F" w:rsidP="469ED168" w:rsidRDefault="40172D8F" w14:paraId="7C07F0B6" w14:textId="5B27AE3B">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Cho, Y. (2022). ESG and Firm Performance: Focusing on the Environmental Strategy. Sustainability, 14(13), p.7857.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://doi.org/10.3390/su14137857.</w:t>
      </w:r>
    </w:p>
    <w:p w:rsidR="40172D8F" w:rsidP="469ED168" w:rsidRDefault="40172D8F" w14:paraId="190BEE40" w14:textId="5370FD53">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Dhouha</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Nefla</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Jellouli</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S. (2025). Emerging technologies in finance: challenges for a sustainable finance. Cogent Business &amp; Management, 12(1).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://doi.org/10.1080/23311975.2025.2495191.</w:t>
      </w:r>
    </w:p>
    <w:p w:rsidR="40172D8F" w:rsidP="469ED168" w:rsidRDefault="40172D8F" w14:paraId="3EF217E0" w14:textId="664E1693">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Dupont, B. (2019). The cyber-resilience of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Financial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institutions: Significance and Applicability. Journal of Cybersecurity, 5(1).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://doi.org/10.1093/</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cybsec</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/tyz013.</w:t>
      </w:r>
    </w:p>
    <w:p w:rsidR="40172D8F" w:rsidP="469ED168" w:rsidRDefault="40172D8F" w14:paraId="4EDEBA56" w14:textId="6A7B7409">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GDPR (2025). Complete Guide to GDPR Compliance. GDPR.eu. Available at: </w:t>
      </w:r>
      <w:hyperlink r:id="Re0e1196b94214fe0">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https://gdpr.eu/</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0A4AC276">
        <w:rPr>
          <w:rFonts w:ascii="Arial" w:hAnsi="Arial" w:eastAsia="Arial" w:cs="Arial"/>
          <w:b w:val="0"/>
          <w:bCs w:val="0"/>
          <w:i w:val="0"/>
          <w:iCs w:val="0"/>
          <w:caps w:val="0"/>
          <w:smallCaps w:val="0"/>
          <w:noProof w:val="0"/>
          <w:color w:val="000000" w:themeColor="text1" w:themeTint="FF" w:themeShade="FF"/>
          <w:sz w:val="24"/>
          <w:szCs w:val="24"/>
          <w:lang w:val="en-GB"/>
        </w:rPr>
        <w:t>il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40172D8F" w:rsidP="469ED168" w:rsidRDefault="40172D8F" w14:paraId="6624628A" w14:textId="44A38256">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HSBC (2024). Who We Are, HSBC Holdings Plc. HSBC. Available at: </w:t>
      </w:r>
      <w:hyperlink r:id="Raa6b2e6bfcbb4497">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https://www.hsbc.com/who-we-are</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3E7ABD76">
        <w:rPr>
          <w:rFonts w:ascii="Arial" w:hAnsi="Arial" w:eastAsia="Arial" w:cs="Arial"/>
          <w:b w:val="0"/>
          <w:bCs w:val="0"/>
          <w:i w:val="0"/>
          <w:iCs w:val="0"/>
          <w:caps w:val="0"/>
          <w:smallCaps w:val="0"/>
          <w:noProof w:val="0"/>
          <w:color w:val="000000" w:themeColor="text1" w:themeTint="FF" w:themeShade="FF"/>
          <w:sz w:val="24"/>
          <w:szCs w:val="24"/>
          <w:lang w:val="en-GB"/>
        </w:rPr>
        <w:t xml:space="preserve">il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2026).</w:t>
      </w:r>
    </w:p>
    <w:p w:rsidR="40172D8F" w:rsidP="469ED168" w:rsidRDefault="40172D8F" w14:paraId="003D05F4" w14:textId="142F2806">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HSBC (2025) Our history. Available at: </w:t>
      </w:r>
      <w:hyperlink r:id="R63a2e206bb7845dc">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https://www.hsbc.com/who-we-are/our-strategy-and-values/our-history</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(Accessed 1 April 2026).</w:t>
      </w:r>
    </w:p>
    <w:p w:rsidR="40172D8F" w:rsidP="469ED168" w:rsidRDefault="40172D8F" w14:paraId="09B630F5" w14:textId="604306BE">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Hallswroth</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J., et al. (2019). Open banking opens opportunities for greater customer value. KPMG. Available at: </w:t>
      </w:r>
      <w:hyperlink r:id="R122b7ca3c95d4983">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https://assets.kpmg.com/content/dam/kpmg/ie/pdf/2019/06/ie-fs-open-banking.pdf</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3BD3F35C">
        <w:rPr>
          <w:rFonts w:ascii="Arial" w:hAnsi="Arial" w:eastAsia="Arial" w:cs="Arial"/>
          <w:b w:val="0"/>
          <w:bCs w:val="0"/>
          <w:i w:val="0"/>
          <w:iCs w:val="0"/>
          <w:caps w:val="0"/>
          <w:smallCaps w:val="0"/>
          <w:noProof w:val="0"/>
          <w:color w:val="000000" w:themeColor="text1" w:themeTint="FF" w:themeShade="FF"/>
          <w:sz w:val="24"/>
          <w:szCs w:val="24"/>
          <w:lang w:val="en-GB"/>
        </w:rPr>
        <w:t>il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40172D8F" w:rsidP="469ED168" w:rsidRDefault="40172D8F" w14:paraId="2D494DD9" w14:textId="3B162646">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IMF (2024). World Economic Outlook. International Monetary Fund. Available at: </w:t>
      </w:r>
      <w:hyperlink r:id="R8288ad36e0df4ff6">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https://www.imf.org/en/publications/weo</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18EF955A" w14:textId="558CC0E3">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IMF (2025) Global financial stability report. Available at: </w:t>
      </w:r>
      <w:hyperlink r:id="Rc96793f35e284557">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https://www.imf.org/en/Publications/GFSR/Issues/2025/10/14/global-financial-stability-report-october-2025</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(Accessed: 01 April 2026).</w:t>
      </w:r>
    </w:p>
    <w:p w:rsidR="40172D8F" w:rsidP="469ED168" w:rsidRDefault="40172D8F" w14:paraId="5D3B4C3F" w14:textId="28251BF8">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KPMG (2024). Supply Chain Trends 2024: the digital shake-</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up.KPMG</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7dac2249d824bc7">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https://kpmg.com/xx/en/our-insights/ai-and-technology/supply-chain-trends-2024.html</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1CA313FC">
        <w:rPr>
          <w:rFonts w:ascii="Arial" w:hAnsi="Arial" w:eastAsia="Arial" w:cs="Arial"/>
          <w:b w:val="0"/>
          <w:bCs w:val="0"/>
          <w:i w:val="0"/>
          <w:iCs w:val="0"/>
          <w:caps w:val="0"/>
          <w:smallCaps w:val="0"/>
          <w:noProof w:val="0"/>
          <w:color w:val="000000" w:themeColor="text1" w:themeTint="FF" w:themeShade="FF"/>
          <w:sz w:val="24"/>
          <w:szCs w:val="24"/>
          <w:lang w:val="en-GB"/>
        </w:rPr>
        <w:t>il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40172D8F" w:rsidP="469ED168" w:rsidRDefault="40172D8F" w14:paraId="7C8BD593" w14:textId="0BEEFCBF">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93digital (2020) Open banking 2019 highlights, Open Banking. Available at: </w:t>
      </w:r>
      <w:hyperlink r:id="Rfcd87a3547c84941">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https://www.openbanking.org.uk/news/open-banking-2019-highlights/</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March 2026).</w:t>
      </w:r>
    </w:p>
    <w:p w:rsidR="40172D8F" w:rsidP="469ED168" w:rsidRDefault="40172D8F" w14:paraId="2C6DE3A5" w14:textId="60736D66">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NGFS (2019). Network for Greening the Financial System First Comprehensive Report a Call for Action Climate Change as a Source of Financial Risk. Available at: </w:t>
      </w:r>
      <w:hyperlink r:id="Rd69304173d8d4f0f">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https://www.ngfs.net/system/files/import/ngfs/medias/documents/ngfs_first_comprehensive_report_-_17042019_0.pdf</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070F028D">
        <w:rPr>
          <w:rFonts w:ascii="Arial" w:hAnsi="Arial" w:eastAsia="Arial" w:cs="Arial"/>
          <w:b w:val="0"/>
          <w:bCs w:val="0"/>
          <w:i w:val="0"/>
          <w:iCs w:val="0"/>
          <w:caps w:val="0"/>
          <w:smallCaps w:val="0"/>
          <w:noProof w:val="0"/>
          <w:color w:val="000000" w:themeColor="text1" w:themeTint="FF" w:themeShade="FF"/>
          <w:sz w:val="24"/>
          <w:szCs w:val="24"/>
          <w:lang w:val="en-GB"/>
        </w:rPr>
        <w:t>il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40172D8F" w:rsidP="469ED168" w:rsidRDefault="40172D8F" w14:paraId="437F1E1D" w14:textId="0F9BD217">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OECD (2019), OECD Business and Finance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OuAlook</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2019: Strengthening Trust in Business, OECD Publishing, Paris, </w:t>
      </w:r>
      <w:hyperlink r:id="R4b5de8f4f4b14696">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https://doi.org/10.1787/af784794-en</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w:t>
      </w:r>
    </w:p>
    <w:p w:rsidR="40172D8F" w:rsidP="469ED168" w:rsidRDefault="40172D8F" w14:paraId="62A410C4" w14:textId="52DB36D1">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OECD (2019), OECD Economic Outlook, Volume 2019 Issue 1, No. 105, OECD Publishing, Paris, </w:t>
      </w:r>
      <w:hyperlink r:id="Reb35c3b1d5eb4b3f">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https://doi.org/10.1787/b2e897b0-en</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w:t>
      </w:r>
    </w:p>
    <w:p w:rsidR="40172D8F" w:rsidP="469ED168" w:rsidRDefault="40172D8F" w14:paraId="21291E75" w14:textId="6853C9C3">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Porter, M. (2008). The Five Competitive Forces That Shape Strategy. Harvard Business Review. Available at: </w:t>
      </w:r>
      <w:hyperlink r:id="R6babfeb5997b46f3">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https://hbr.org/2008/01/the-five-competitive-forces-that-shape-strategy</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423134EE">
        <w:rPr>
          <w:rFonts w:ascii="Arial" w:hAnsi="Arial" w:eastAsia="Arial" w:cs="Arial"/>
          <w:b w:val="0"/>
          <w:bCs w:val="0"/>
          <w:i w:val="0"/>
          <w:iCs w:val="0"/>
          <w:caps w:val="0"/>
          <w:smallCaps w:val="0"/>
          <w:noProof w:val="0"/>
          <w:color w:val="000000" w:themeColor="text1" w:themeTint="FF" w:themeShade="FF"/>
          <w:sz w:val="24"/>
          <w:szCs w:val="24"/>
          <w:lang w:val="en-GB"/>
        </w:rPr>
        <w:t>il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40172D8F" w:rsidP="469ED168" w:rsidRDefault="40172D8F" w14:paraId="6D621BDC" w14:textId="73D50B81">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Reynolds, F., et al. (2019), CONSUMER PRIORITIES FOR OPEN BANKING, Available at: </w:t>
      </w:r>
      <w:hyperlink r:id="R5963b437c4f44984">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https://www.openbanking.org.uk/wp-content/uploads/Consumer-Priorities-for-Open-Banking-report-June-2019.pdf</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6EB64530">
        <w:rPr>
          <w:rFonts w:ascii="Arial" w:hAnsi="Arial" w:eastAsia="Arial" w:cs="Arial"/>
          <w:b w:val="0"/>
          <w:bCs w:val="0"/>
          <w:i w:val="0"/>
          <w:iCs w:val="0"/>
          <w:caps w:val="0"/>
          <w:smallCaps w:val="0"/>
          <w:noProof w:val="0"/>
          <w:color w:val="000000" w:themeColor="text1" w:themeTint="FF" w:themeShade="FF"/>
          <w:sz w:val="24"/>
          <w:szCs w:val="24"/>
          <w:lang w:val="en-GB"/>
        </w:rPr>
        <w:t>il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40172D8F" w:rsidP="469ED168" w:rsidRDefault="40172D8F" w14:paraId="3C453B4F" w14:textId="3CF8F094">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The Editors of Encyclopaedia Britannica (2024). Britannica Money, Available at: </w:t>
      </w:r>
      <w:hyperlink r:id="Rdac28c73803f410c">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https://www.britannica.com/money/HSBC-Holdings-PLC</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w:t>
      </w:r>
      <w:r w:rsidRPr="469ED168" w:rsidR="72EC6140">
        <w:rPr>
          <w:rFonts w:ascii="Arial" w:hAnsi="Arial" w:eastAsia="Arial" w:cs="Arial"/>
          <w:b w:val="0"/>
          <w:bCs w:val="0"/>
          <w:i w:val="0"/>
          <w:iCs w:val="0"/>
          <w:caps w:val="0"/>
          <w:smallCaps w:val="0"/>
          <w:noProof w:val="0"/>
          <w:color w:val="000000" w:themeColor="text1" w:themeTint="FF" w:themeShade="FF"/>
          <w:sz w:val="24"/>
          <w:szCs w:val="24"/>
          <w:lang w:val="en-GB"/>
        </w:rPr>
        <w:t>il</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40172D8F" w:rsidP="469ED168" w:rsidRDefault="40172D8F" w14:paraId="73FF3612" w14:textId="7ED2EBEC">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Ullah Qadri, A. and Tariq, M. (2026). SWOT and PESTLE Analyses in Strategic Business Planning. International Journal of Modern Research and Management, Available at: </w:t>
      </w:r>
      <w:hyperlink r:id="Ra9761ded5acf40ea">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https://www.ijournalmrm.com/index.php/IJMRM/article/view/15/15</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31D00151" w14:textId="66F83156">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UNEPFI (2019). Principles for Responsible Banking – United Nations Environment – Finance Initiative. Available at: </w:t>
      </w:r>
      <w:hyperlink r:id="R42fb753b3dc74131">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https://www.unepfi.org/banking/bankingprinciples/</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570FBA68" w14:textId="3B84FE62">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UNEPFI. (2022). 2022: A Year of Milestones on the Road to Implementing Sustainable Finance – United Nations Environment – Finance Initiative. Available at: </w:t>
      </w:r>
      <w:hyperlink r:id="R377f30e1a8aa4847">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https://www.unepfi.org/industries/banking/2022-a-year-of-milestones-on-the-road-to-implementing-sustainable-finance/</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1B798262" w14:textId="5D3EB64E">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Urban, M. and Wójcik, D. (2019). Dirty Banking: Probing the Gap in Sustainable Finance. Sustainability, 11(6), p.1745. </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://doi.org/10.3390/su11061745.</w:t>
      </w:r>
    </w:p>
    <w:p w:rsidR="40172D8F" w:rsidP="469ED168" w:rsidRDefault="40172D8F" w14:paraId="1E29E116" w14:textId="7325E6FF">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Worthington, et al. (2018). The Business Environment: A Global Perspective. 8th ed. Pearson, p.536.</w:t>
      </w:r>
    </w:p>
    <w:p w:rsidR="40172D8F" w:rsidP="469ED168" w:rsidRDefault="40172D8F" w14:paraId="72E0B03B" w14:textId="51AA74AE">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World Bank (2025). Global Economic Prospects. World Bank. Available at: </w:t>
      </w:r>
      <w:hyperlink r:id="Rb9bdb0723d4943c9">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https://www.worldbank.org/en/publication/global-economic-prospects</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April 2026).</w:t>
      </w:r>
    </w:p>
    <w:p w:rsidR="40172D8F" w:rsidP="469ED168" w:rsidRDefault="40172D8F" w14:paraId="76B6DA55" w14:textId="748F31B3">
      <w:pPr>
        <w:pStyle w:val="NoSpacing"/>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Xu, T.T. et al. (2019) Bank profitability and financial stability, IMF Working Paper WP/19/5. Available at: </w:t>
      </w:r>
      <w:hyperlink r:id="R23831de22cbc4881">
        <w:r w:rsidRPr="469ED168" w:rsidR="40172D8F">
          <w:rPr>
            <w:rStyle w:val="Hyperlink"/>
            <w:rFonts w:ascii="Arial" w:hAnsi="Arial" w:eastAsia="Arial" w:cs="Arial"/>
            <w:b w:val="0"/>
            <w:bCs w:val="0"/>
            <w:i w:val="0"/>
            <w:iCs w:val="0"/>
            <w:caps w:val="0"/>
            <w:smallCaps w:val="0"/>
            <w:strike w:val="0"/>
            <w:dstrike w:val="0"/>
            <w:noProof w:val="0"/>
            <w:sz w:val="24"/>
            <w:szCs w:val="24"/>
            <w:lang w:val="en-GB"/>
          </w:rPr>
          <w:t>https://www.imf.org/-/media/Files/Publications/WP/2019/wp1905.ashx</w:t>
        </w:r>
      </w:hyperlink>
      <w:r w:rsidRPr="469ED168" w:rsidR="40172D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 April 2026).</w:t>
      </w:r>
    </w:p>
    <w:p w:rsidR="37F42C93" w:rsidP="469ED168" w:rsidRDefault="37F42C93" w14:paraId="26B5DB36" w14:textId="2EC192AA">
      <w:pPr>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p>
    <w:p w:rsidR="37F42C93" w:rsidP="469ED168" w:rsidRDefault="37F42C93" w14:paraId="530FACD2" w14:textId="0B061E87">
      <w:pPr>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p>
    <w:p w:rsidR="37F42C93" w:rsidP="469ED168" w:rsidRDefault="37F42C93" w14:paraId="3208311B" w14:textId="77804FE3">
      <w:pPr>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p>
    <w:p w:rsidR="37F42C93" w:rsidP="469ED168" w:rsidRDefault="37F42C93" w14:paraId="6DC27388" w14:textId="265D8DE0">
      <w:pPr>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p>
    <w:p w:rsidR="37F42C93" w:rsidP="469ED168" w:rsidRDefault="37F42C93" w14:paraId="1EB95F09" w14:textId="31956DEC">
      <w:pPr>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p>
    <w:p w:rsidR="37F42C93" w:rsidP="469ED168" w:rsidRDefault="37F42C93" w14:paraId="6D948AF9" w14:textId="6D487011">
      <w:pPr>
        <w:keepNext w:val="0"/>
        <w:widowControl w:val="0"/>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black"/>
          <w:lang w:val="en-GB"/>
        </w:rPr>
      </w:pPr>
    </w:p>
    <w:p w:rsidR="37F42C93" w:rsidP="37F42C93" w:rsidRDefault="37F42C93" w14:paraId="17687123" w14:textId="3F5D8281">
      <w:pPr>
        <w:widowControl w:val="0"/>
        <w:spacing w:before="120" w:beforeAutospacing="off" w:after="120" w:afterAutospacing="off" w:line="360" w:lineRule="auto"/>
        <w:jc w:val="both"/>
        <w:rPr>
          <w:rFonts w:ascii="Arial" w:hAnsi="Arial" w:eastAsia="Arial" w:cs="Arial"/>
          <w:noProof w:val="0"/>
          <w:color w:val="auto"/>
          <w:sz w:val="24"/>
          <w:szCs w:val="24"/>
          <w:lang w:val="en-GB"/>
        </w:rPr>
      </w:pPr>
    </w:p>
    <w:p xmlns:wp14="http://schemas.microsoft.com/office/word/2010/wordml" w:rsidP="37F42C93" wp14:paraId="313CB454" wp14:textId="07451BAA">
      <w:pPr>
        <w:widowControl w:val="0"/>
        <w:spacing w:before="120" w:beforeAutospacing="off" w:after="120" w:afterAutospacing="off" w:line="360" w:lineRule="auto"/>
        <w:jc w:val="both"/>
        <w:rPr>
          <w:rFonts w:ascii="Arial" w:hAnsi="Arial" w:eastAsia="Arial" w:cs="Arial"/>
          <w:color w:val="auto"/>
        </w:rPr>
      </w:pPr>
    </w:p>
    <w:p xmlns:wp14="http://schemas.microsoft.com/office/word/2010/wordml" w:rsidP="37F42C93" wp14:paraId="6911DF21" wp14:textId="1C92D211">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4F97B6B8" wp14:textId="792233BD">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1C932DA6" wp14:textId="6BAC7EE4">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34F8A458" wp14:textId="1D26133E">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6ACC3085" wp14:textId="29072661">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31F74509" wp14:textId="6AEB1FC2">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06237110" wp14:textId="525FCD4C">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2F44A4A9" wp14:textId="38FB62ED">
      <w:pPr>
        <w:widowControl w:val="0"/>
        <w:spacing w:line="360" w:lineRule="auto"/>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37F42C93" wp14:paraId="5E5787A5" wp14:textId="21591FDD">
      <w:pPr>
        <w:widowControl w:val="0"/>
        <w:spacing w:line="360" w:lineRule="auto"/>
        <w:jc w:val="both"/>
        <w:rPr>
          <w:rFonts w:ascii="Arial" w:hAnsi="Arial" w:eastAsia="Arial" w:cs="Arial"/>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D0D7"/>
    <w:rsid w:val="0056D0D7"/>
    <w:rsid w:val="00B36907"/>
    <w:rsid w:val="00E750B9"/>
    <w:rsid w:val="01FAF6D7"/>
    <w:rsid w:val="0202B6E3"/>
    <w:rsid w:val="0234FF99"/>
    <w:rsid w:val="028B97F7"/>
    <w:rsid w:val="02C8136B"/>
    <w:rsid w:val="03556E21"/>
    <w:rsid w:val="038FED67"/>
    <w:rsid w:val="03E57D7C"/>
    <w:rsid w:val="0412A2F2"/>
    <w:rsid w:val="0432AF50"/>
    <w:rsid w:val="058D7914"/>
    <w:rsid w:val="05B31695"/>
    <w:rsid w:val="05FE52F4"/>
    <w:rsid w:val="069188BE"/>
    <w:rsid w:val="069BDD2A"/>
    <w:rsid w:val="06A30666"/>
    <w:rsid w:val="070F028D"/>
    <w:rsid w:val="076072DA"/>
    <w:rsid w:val="076F0F76"/>
    <w:rsid w:val="077A8254"/>
    <w:rsid w:val="07837EE1"/>
    <w:rsid w:val="081D5423"/>
    <w:rsid w:val="089CC448"/>
    <w:rsid w:val="0A4AC276"/>
    <w:rsid w:val="0A4CEFC6"/>
    <w:rsid w:val="0B372D59"/>
    <w:rsid w:val="0BA147CC"/>
    <w:rsid w:val="0C18DDF7"/>
    <w:rsid w:val="0C3C84FB"/>
    <w:rsid w:val="0C7E4EFB"/>
    <w:rsid w:val="0CE19019"/>
    <w:rsid w:val="0D2D2585"/>
    <w:rsid w:val="0E630F41"/>
    <w:rsid w:val="0EF5C532"/>
    <w:rsid w:val="0F0390BA"/>
    <w:rsid w:val="0F19CC59"/>
    <w:rsid w:val="0F2B9A5F"/>
    <w:rsid w:val="0F66CD58"/>
    <w:rsid w:val="112341AC"/>
    <w:rsid w:val="115017A6"/>
    <w:rsid w:val="117D1C79"/>
    <w:rsid w:val="11C946E3"/>
    <w:rsid w:val="13B2348B"/>
    <w:rsid w:val="13ECBFE2"/>
    <w:rsid w:val="149DB5D3"/>
    <w:rsid w:val="14A22658"/>
    <w:rsid w:val="14E51869"/>
    <w:rsid w:val="155225C3"/>
    <w:rsid w:val="161C2895"/>
    <w:rsid w:val="1683C926"/>
    <w:rsid w:val="16C6D7AB"/>
    <w:rsid w:val="16E6E669"/>
    <w:rsid w:val="171D8656"/>
    <w:rsid w:val="176ABCF1"/>
    <w:rsid w:val="17995C8A"/>
    <w:rsid w:val="18555D8E"/>
    <w:rsid w:val="18791584"/>
    <w:rsid w:val="189704A6"/>
    <w:rsid w:val="19309A0E"/>
    <w:rsid w:val="195EA50B"/>
    <w:rsid w:val="19AA5BA1"/>
    <w:rsid w:val="19AADE5C"/>
    <w:rsid w:val="19C79CF2"/>
    <w:rsid w:val="1ABB3E3B"/>
    <w:rsid w:val="1AD029ED"/>
    <w:rsid w:val="1B6582B0"/>
    <w:rsid w:val="1B6AF540"/>
    <w:rsid w:val="1BD50D0E"/>
    <w:rsid w:val="1CA313FC"/>
    <w:rsid w:val="1CD461EB"/>
    <w:rsid w:val="1D2C66F2"/>
    <w:rsid w:val="1F4A7131"/>
    <w:rsid w:val="1F70643D"/>
    <w:rsid w:val="204E405B"/>
    <w:rsid w:val="2057F09A"/>
    <w:rsid w:val="215E3771"/>
    <w:rsid w:val="2273ACE3"/>
    <w:rsid w:val="2274C398"/>
    <w:rsid w:val="22E30628"/>
    <w:rsid w:val="244AD7CB"/>
    <w:rsid w:val="266DBB5B"/>
    <w:rsid w:val="26D46FE8"/>
    <w:rsid w:val="28424DFF"/>
    <w:rsid w:val="286F95F9"/>
    <w:rsid w:val="297E668C"/>
    <w:rsid w:val="29826590"/>
    <w:rsid w:val="29D1D0CD"/>
    <w:rsid w:val="29D7E066"/>
    <w:rsid w:val="29FEC5EA"/>
    <w:rsid w:val="2AA4CC0C"/>
    <w:rsid w:val="2B0F7D32"/>
    <w:rsid w:val="2B2EBD67"/>
    <w:rsid w:val="2B3E1AD8"/>
    <w:rsid w:val="2D5D302E"/>
    <w:rsid w:val="2D5E2C24"/>
    <w:rsid w:val="2E0E85C3"/>
    <w:rsid w:val="2F518BFB"/>
    <w:rsid w:val="31B5EEA0"/>
    <w:rsid w:val="31E651B1"/>
    <w:rsid w:val="31EAEC36"/>
    <w:rsid w:val="327C24CE"/>
    <w:rsid w:val="3282C331"/>
    <w:rsid w:val="337B571F"/>
    <w:rsid w:val="33B699F6"/>
    <w:rsid w:val="34186D28"/>
    <w:rsid w:val="358BBE4E"/>
    <w:rsid w:val="35E4445C"/>
    <w:rsid w:val="37F42C93"/>
    <w:rsid w:val="3826663D"/>
    <w:rsid w:val="389ADFA2"/>
    <w:rsid w:val="3A5C7E26"/>
    <w:rsid w:val="3B60B1BF"/>
    <w:rsid w:val="3BD3F35C"/>
    <w:rsid w:val="3BD7210B"/>
    <w:rsid w:val="3BE87834"/>
    <w:rsid w:val="3C267848"/>
    <w:rsid w:val="3CDD45FD"/>
    <w:rsid w:val="3E21D3B5"/>
    <w:rsid w:val="3E4DCC63"/>
    <w:rsid w:val="3E7ABD76"/>
    <w:rsid w:val="3FA2E8ED"/>
    <w:rsid w:val="40032666"/>
    <w:rsid w:val="40172D8F"/>
    <w:rsid w:val="406C9506"/>
    <w:rsid w:val="4152B3AB"/>
    <w:rsid w:val="4183E471"/>
    <w:rsid w:val="4221D4F5"/>
    <w:rsid w:val="423134EE"/>
    <w:rsid w:val="42BFAE80"/>
    <w:rsid w:val="42D6E4C3"/>
    <w:rsid w:val="42DB27FC"/>
    <w:rsid w:val="43FBDB40"/>
    <w:rsid w:val="458D428C"/>
    <w:rsid w:val="45C347F0"/>
    <w:rsid w:val="468A1F6F"/>
    <w:rsid w:val="469ED168"/>
    <w:rsid w:val="478BFC45"/>
    <w:rsid w:val="480BAFB2"/>
    <w:rsid w:val="4938039C"/>
    <w:rsid w:val="49401AA7"/>
    <w:rsid w:val="4A5F12B0"/>
    <w:rsid w:val="4AA9D7D8"/>
    <w:rsid w:val="4AAEA7F8"/>
    <w:rsid w:val="4BDD41AB"/>
    <w:rsid w:val="4C09CC55"/>
    <w:rsid w:val="4CE39221"/>
    <w:rsid w:val="4D047F04"/>
    <w:rsid w:val="4D7CD83F"/>
    <w:rsid w:val="4DDF1B09"/>
    <w:rsid w:val="4DE192A8"/>
    <w:rsid w:val="4E2F2D7F"/>
    <w:rsid w:val="4E93B4ED"/>
    <w:rsid w:val="4E9E561F"/>
    <w:rsid w:val="4F8C11EB"/>
    <w:rsid w:val="5002C27F"/>
    <w:rsid w:val="505A8B99"/>
    <w:rsid w:val="5106B43F"/>
    <w:rsid w:val="51AA47C5"/>
    <w:rsid w:val="51CCD8AA"/>
    <w:rsid w:val="51F54630"/>
    <w:rsid w:val="52482C22"/>
    <w:rsid w:val="528F90EE"/>
    <w:rsid w:val="539E5537"/>
    <w:rsid w:val="53C211BD"/>
    <w:rsid w:val="540859D8"/>
    <w:rsid w:val="541FF096"/>
    <w:rsid w:val="54551B6E"/>
    <w:rsid w:val="56B5FC72"/>
    <w:rsid w:val="56E481DD"/>
    <w:rsid w:val="56EE0EA7"/>
    <w:rsid w:val="572BAB48"/>
    <w:rsid w:val="57E956B9"/>
    <w:rsid w:val="58A87AA7"/>
    <w:rsid w:val="58DD8B11"/>
    <w:rsid w:val="592B99C4"/>
    <w:rsid w:val="59345151"/>
    <w:rsid w:val="59CCD9E5"/>
    <w:rsid w:val="5A100D5B"/>
    <w:rsid w:val="5AC95B2D"/>
    <w:rsid w:val="5C0E002E"/>
    <w:rsid w:val="5CAB33C9"/>
    <w:rsid w:val="5CB3A2F2"/>
    <w:rsid w:val="5DB23CBE"/>
    <w:rsid w:val="5E121DD8"/>
    <w:rsid w:val="5EB190A3"/>
    <w:rsid w:val="5F4D47BD"/>
    <w:rsid w:val="5FACE326"/>
    <w:rsid w:val="6008F8E6"/>
    <w:rsid w:val="608D03AC"/>
    <w:rsid w:val="60D5AA91"/>
    <w:rsid w:val="619C246C"/>
    <w:rsid w:val="61E559AD"/>
    <w:rsid w:val="6218D374"/>
    <w:rsid w:val="62EFC5C5"/>
    <w:rsid w:val="63839405"/>
    <w:rsid w:val="641B3EF1"/>
    <w:rsid w:val="64955028"/>
    <w:rsid w:val="64F29488"/>
    <w:rsid w:val="653FC089"/>
    <w:rsid w:val="65446888"/>
    <w:rsid w:val="659AA568"/>
    <w:rsid w:val="66092DFC"/>
    <w:rsid w:val="662B1F2D"/>
    <w:rsid w:val="66AB5C5E"/>
    <w:rsid w:val="66E2A0F2"/>
    <w:rsid w:val="670F5D6C"/>
    <w:rsid w:val="67431F92"/>
    <w:rsid w:val="68767946"/>
    <w:rsid w:val="68F215A5"/>
    <w:rsid w:val="69D742B7"/>
    <w:rsid w:val="69E359D5"/>
    <w:rsid w:val="6A0401B4"/>
    <w:rsid w:val="6BFB1E46"/>
    <w:rsid w:val="6CED329E"/>
    <w:rsid w:val="6D1B1777"/>
    <w:rsid w:val="6D2AA710"/>
    <w:rsid w:val="6DD3513C"/>
    <w:rsid w:val="6E5249A8"/>
    <w:rsid w:val="6E93DC57"/>
    <w:rsid w:val="6EA2DA81"/>
    <w:rsid w:val="6EB64530"/>
    <w:rsid w:val="6F311D33"/>
    <w:rsid w:val="6F35E61D"/>
    <w:rsid w:val="6FC9A52E"/>
    <w:rsid w:val="703F879F"/>
    <w:rsid w:val="71909AB1"/>
    <w:rsid w:val="71F3FE1B"/>
    <w:rsid w:val="72EC6140"/>
    <w:rsid w:val="73EDED84"/>
    <w:rsid w:val="74C8EC37"/>
    <w:rsid w:val="750F87AB"/>
    <w:rsid w:val="75809A5C"/>
    <w:rsid w:val="758956D5"/>
    <w:rsid w:val="75C64ED5"/>
    <w:rsid w:val="7651E9F5"/>
    <w:rsid w:val="77449D2B"/>
    <w:rsid w:val="789E6D0D"/>
    <w:rsid w:val="7924184D"/>
    <w:rsid w:val="79B7A013"/>
    <w:rsid w:val="79E6DD6B"/>
    <w:rsid w:val="7A233232"/>
    <w:rsid w:val="7ADD46B7"/>
    <w:rsid w:val="7B0E631F"/>
    <w:rsid w:val="7B122E5C"/>
    <w:rsid w:val="7C2E0095"/>
    <w:rsid w:val="7C898634"/>
    <w:rsid w:val="7E120AD9"/>
    <w:rsid w:val="7E37581D"/>
    <w:rsid w:val="7E3A08CB"/>
    <w:rsid w:val="7E68DC60"/>
    <w:rsid w:val="7E951BAE"/>
    <w:rsid w:val="7EB25F67"/>
    <w:rsid w:val="7ED3A7F0"/>
    <w:rsid w:val="7ED634B3"/>
    <w:rsid w:val="7F17935B"/>
    <w:rsid w:val="7F2CCE0E"/>
    <w:rsid w:val="7FA1D388"/>
    <w:rsid w:val="7FBC2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6D0D7"/>
  <w15:chartTrackingRefBased/>
  <w15:docId w15:val="{5F842DF4-25BC-40AA-B345-B40F44F826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7F42C93"/>
    <w:rPr>
      <w:color w:val="467886"/>
      <w:u w:val="single"/>
    </w:rPr>
  </w:style>
  <w:style w:type="paragraph" w:styleId="NoSpacing">
    <w:uiPriority w:val="1"/>
    <w:name w:val="No Spacing"/>
    <w:qFormat/>
    <w:rsid w:val="37F42C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95281659" /><Relationship Type="http://schemas.openxmlformats.org/officeDocument/2006/relationships/hyperlink" Target="https://www.bankofengland.co.uk/prudential-regulation/publication/2019/enhancing-banks-and-insurers-approaches-to-managing-the-financial-risks-from-climate-change-ss" TargetMode="External" Id="Rd494c0d2270e4cbf" /><Relationship Type="http://schemas.openxmlformats.org/officeDocument/2006/relationships/hyperlink" Target="https://www.bis.org/bcbs/publ/d477.pdf" TargetMode="External" Id="Ra5a6f75c6fc5495a" /><Relationship Type="http://schemas.openxmlformats.org/officeDocument/2006/relationships/hyperlink" Target="https://www.mckinsey.com/industries/financial-services/our-insights/global-banking-annual-review-2023" TargetMode="External" Id="R61240fffb6b04b01" /><Relationship Type="http://schemas.openxmlformats.org/officeDocument/2006/relationships/hyperlink" Target="https://www.climatepolicyinitiative.org/wp-content/uploads/2019/11/2019-Global-Landscape-of-Climate-Finance.pdf" TargetMode="External" Id="R3ced1ce8b6154fe4" /><Relationship Type="http://schemas.openxmlformats.org/officeDocument/2006/relationships/hyperlink" Target="https://www.ecb.europa.eu/press/financial-stability-publications/fsr/focus/2019/pdf/ecb~48858a11e0.fsrbox201911_04.pdf" TargetMode="External" Id="R107d680fc13547bb" /><Relationship Type="http://schemas.openxmlformats.org/officeDocument/2006/relationships/hyperlink" Target="https://gdpr.eu/" TargetMode="External" Id="Re0e1196b94214fe0" /><Relationship Type="http://schemas.openxmlformats.org/officeDocument/2006/relationships/hyperlink" Target="https://www.hsbc.com/who-we-are" TargetMode="External" Id="Raa6b2e6bfcbb4497" /><Relationship Type="http://schemas.openxmlformats.org/officeDocument/2006/relationships/hyperlink" Target="https://www.hsbc.com/who-we-are/our-strategy-and-values/our-history" TargetMode="External" Id="R63a2e206bb7845dc" /><Relationship Type="http://schemas.openxmlformats.org/officeDocument/2006/relationships/hyperlink" Target="https://assets.kpmg.com/content/dam/kpmg/ie/pdf/2019/06/ie-fs-open-banking.pdf" TargetMode="External" Id="R122b7ca3c95d4983" /><Relationship Type="http://schemas.openxmlformats.org/officeDocument/2006/relationships/hyperlink" Target="https://www.imf.org/en/publications/weo" TargetMode="External" Id="R8288ad36e0df4ff6" /><Relationship Type="http://schemas.openxmlformats.org/officeDocument/2006/relationships/hyperlink" Target="https://www.imf.org/en/Publications/GFSR/Issues/2025/10/14/global-financial-stability-report-october-2025" TargetMode="External" Id="Rc96793f35e284557" /><Relationship Type="http://schemas.openxmlformats.org/officeDocument/2006/relationships/hyperlink" Target="https://kpmg.com/xx/en/our-insights/ai-and-technology/supply-chain-trends-2024.html" TargetMode="External" Id="R77dac2249d824bc7" /><Relationship Type="http://schemas.openxmlformats.org/officeDocument/2006/relationships/hyperlink" Target="https://www.openbanking.org.uk/news/open-banking-2019-highlights/" TargetMode="External" Id="Rfcd87a3547c84941" /><Relationship Type="http://schemas.openxmlformats.org/officeDocument/2006/relationships/hyperlink" Target="https://www.ngfs.net/system/files/import/ngfs/medias/documents/ngfs_first_comprehensive_report_-_17042019_0.pdf" TargetMode="External" Id="Rd69304173d8d4f0f" /><Relationship Type="http://schemas.openxmlformats.org/officeDocument/2006/relationships/hyperlink" Target="https://doi.org/10.1787/af784794-en" TargetMode="External" Id="R4b5de8f4f4b14696" /><Relationship Type="http://schemas.openxmlformats.org/officeDocument/2006/relationships/hyperlink" Target="https://doi.org/10.1787/b2e897b0-en" TargetMode="External" Id="Reb35c3b1d5eb4b3f" /><Relationship Type="http://schemas.openxmlformats.org/officeDocument/2006/relationships/hyperlink" Target="https://hbr.org/2008/01/the-five-competitive-forces-that-shape-strategy" TargetMode="External" Id="R6babfeb5997b46f3" /><Relationship Type="http://schemas.openxmlformats.org/officeDocument/2006/relationships/hyperlink" Target="https://www.openbanking.org.uk/wp-content/uploads/Consumer-Priorities-for-Open-Banking-report-June-2019.pdf" TargetMode="External" Id="R5963b437c4f44984" /><Relationship Type="http://schemas.openxmlformats.org/officeDocument/2006/relationships/hyperlink" Target="https://www.britannica.com/money/HSBC-Holdings-PLC" TargetMode="External" Id="Rdac28c73803f410c" /><Relationship Type="http://schemas.openxmlformats.org/officeDocument/2006/relationships/hyperlink" Target="https://www.ijournalmrm.com/index.php/IJMRM/article/view/15/15" TargetMode="External" Id="Ra9761ded5acf40ea" /><Relationship Type="http://schemas.openxmlformats.org/officeDocument/2006/relationships/hyperlink" Target="https://www.unepfi.org/banking/bankingprinciples/" TargetMode="External" Id="R42fb753b3dc74131" /><Relationship Type="http://schemas.openxmlformats.org/officeDocument/2006/relationships/hyperlink" Target="https://www.unepfi.org/industries/banking/2022-a-year-of-milestones-on-the-road-to-implementing-sustainable-finance/" TargetMode="External" Id="R377f30e1a8aa4847" /><Relationship Type="http://schemas.openxmlformats.org/officeDocument/2006/relationships/hyperlink" Target="https://www.worldbank.org/en/publication/global-economic-prospects" TargetMode="External" Id="Rb9bdb0723d4943c9" /><Relationship Type="http://schemas.openxmlformats.org/officeDocument/2006/relationships/hyperlink" Target="https://www.imf.org/-/media/Files/Publications/WP/2019/wp1905.ashx" TargetMode="External" Id="R23831de22cbc48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5</revision>
  <dcterms:created xsi:type="dcterms:W3CDTF">2026-03-29T08:33:21.4052366Z</dcterms:created>
  <dcterms:modified xsi:type="dcterms:W3CDTF">2026-04-01T19:36:31.4439611Z</dcterms:modified>
</coreProperties>
</file>