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A98DBC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70CB4">
              <w:rPr>
                <w:rFonts w:ascii="Times New Roman" w:hAnsi="Times New Roman" w:cs="Times New Roman"/>
                <w:b/>
                <w:color w:val="auto"/>
                <w:sz w:val="48"/>
              </w:rPr>
              <w:t xml:space="preserve">Miranda Goldsack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41A0D0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70CB4">
              <w:rPr>
                <w:rFonts w:ascii="Times New Roman" w:hAnsi="Times New Roman" w:cs="Times New Roman"/>
                <w:b/>
                <w:color w:val="auto"/>
                <w:sz w:val="48"/>
              </w:rPr>
              <w:t xml:space="preserve"> goldsack-miranda@hotmail.co.uk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ED25A11"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06F6C">
              <w:rPr>
                <w:rFonts w:ascii="Times New Roman" w:hAnsi="Times New Roman" w:cs="Times New Roman"/>
                <w:b/>
                <w:color w:val="auto"/>
                <w:sz w:val="48"/>
              </w:rPr>
              <w:t xml:space="preserve"> </w:t>
            </w:r>
          </w:p>
          <w:p w14:paraId="5D9D9A2B" w14:textId="77777777" w:rsidR="00ED2509" w:rsidRPr="005D3F07" w:rsidRDefault="00ED2509" w:rsidP="00ED250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1901519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18EB5331" w14:textId="77777777" w:rsidR="005D38D5" w:rsidRDefault="005D38D5" w:rsidP="005D38D5">
            <w:pPr>
              <w:rPr>
                <w:sz w:val="24"/>
                <w:szCs w:val="24"/>
              </w:rPr>
            </w:pPr>
            <w:r>
              <w:rPr>
                <w:sz w:val="24"/>
                <w:szCs w:val="24"/>
              </w:rPr>
              <w:t xml:space="preserve">As a social worker it is crucial to understand and apply policies and laws when safeguarding adults. Since the devolution of Wales in 1997, Wales has been furnished with the ability to make their own legislation. Social workers now practice using an overarching piece of legislation called the Social Services and Wellbeing Wales Act 2014, that brings together policy and law governing social care into one piece of legislation. This Act places duties and processes to safeguarding both adults and children (Betts and Thompson, 2016). </w:t>
            </w:r>
          </w:p>
          <w:p w14:paraId="16E348FC" w14:textId="77777777" w:rsidR="005D38D5" w:rsidRDefault="005D38D5" w:rsidP="005D38D5">
            <w:pPr>
              <w:rPr>
                <w:sz w:val="24"/>
                <w:szCs w:val="24"/>
              </w:rPr>
            </w:pPr>
          </w:p>
          <w:p w14:paraId="28739848" w14:textId="77777777" w:rsidR="005D38D5" w:rsidRDefault="005D38D5" w:rsidP="005D38D5">
            <w:pPr>
              <w:rPr>
                <w:sz w:val="24"/>
                <w:szCs w:val="24"/>
              </w:rPr>
            </w:pPr>
            <w:r>
              <w:rPr>
                <w:sz w:val="24"/>
                <w:szCs w:val="24"/>
              </w:rPr>
              <w:t xml:space="preserve">Additional laws such as the Mental health (Wales) Act 2010 (MHWA), the Welsh Language Measure Act 2014 (WLMA) and the Future Generations (Wales) Act 2015 (FGWA) are also part of Welsh legislation which is considered and applied to safeguard adults (Williams, 2011). For example, the FGWA places responsibility on public bodies for better decision making to prevent issues from occurring. This helps safeguard adult’s long term through early intervention which is one of the SSWBA’s fundamental principles (Welsh Government, 2024). </w:t>
            </w:r>
          </w:p>
          <w:p w14:paraId="75A5C67D" w14:textId="77777777" w:rsidR="005D38D5" w:rsidRDefault="005D38D5" w:rsidP="005D38D5">
            <w:pPr>
              <w:rPr>
                <w:sz w:val="24"/>
                <w:szCs w:val="24"/>
              </w:rPr>
            </w:pPr>
          </w:p>
          <w:p w14:paraId="73BC9C6C" w14:textId="4987E2B0" w:rsidR="005D38D5" w:rsidRDefault="005D38D5" w:rsidP="005D38D5">
            <w:pPr>
              <w:rPr>
                <w:sz w:val="24"/>
                <w:szCs w:val="24"/>
              </w:rPr>
            </w:pPr>
            <w:r>
              <w:rPr>
                <w:sz w:val="24"/>
                <w:szCs w:val="24"/>
              </w:rPr>
              <w:t>The WLMA also safeguards adults by enabling them to engage with services in their preferred language. This safeguards the adult to be facilitated their rights but also the social worker to be able to assess the situation more effectively as in times of stress or poor mental health it can compromise individual’s abilities to convers in English (Davies, 2014). This</w:t>
            </w:r>
            <w:r w:rsidR="00831936">
              <w:rPr>
                <w:sz w:val="24"/>
                <w:szCs w:val="24"/>
              </w:rPr>
              <w:t xml:space="preserve"> is</w:t>
            </w:r>
            <w:r>
              <w:rPr>
                <w:sz w:val="24"/>
                <w:szCs w:val="24"/>
              </w:rPr>
              <w:t xml:space="preserve"> of high importance when assessing an adult with mental health issues </w:t>
            </w:r>
            <w:r w:rsidR="008E465B">
              <w:rPr>
                <w:sz w:val="24"/>
                <w:szCs w:val="24"/>
              </w:rPr>
              <w:t>to</w:t>
            </w:r>
            <w:r>
              <w:rPr>
                <w:sz w:val="24"/>
                <w:szCs w:val="24"/>
              </w:rPr>
              <w:t xml:space="preserve"> safeguard them from </w:t>
            </w:r>
            <w:r w:rsidR="008E465B">
              <w:rPr>
                <w:sz w:val="24"/>
                <w:szCs w:val="24"/>
              </w:rPr>
              <w:t xml:space="preserve">risk of </w:t>
            </w:r>
            <w:r>
              <w:rPr>
                <w:sz w:val="24"/>
                <w:szCs w:val="24"/>
              </w:rPr>
              <w:t xml:space="preserve">poor choices of interventions due to not understanding the individual’s needs (Drennan and Swartz, 2002). </w:t>
            </w:r>
          </w:p>
          <w:p w14:paraId="25C9D48C" w14:textId="77777777" w:rsidR="005D38D5" w:rsidRDefault="005D38D5" w:rsidP="005D38D5">
            <w:pPr>
              <w:rPr>
                <w:sz w:val="24"/>
                <w:szCs w:val="24"/>
              </w:rPr>
            </w:pPr>
          </w:p>
          <w:p w14:paraId="4AEBB555" w14:textId="77777777" w:rsidR="005D38D5" w:rsidRDefault="005D38D5" w:rsidP="005D38D5">
            <w:pPr>
              <w:rPr>
                <w:sz w:val="24"/>
                <w:szCs w:val="24"/>
              </w:rPr>
            </w:pPr>
            <w:r>
              <w:rPr>
                <w:sz w:val="24"/>
                <w:szCs w:val="24"/>
              </w:rPr>
              <w:t xml:space="preserve">When working with adults with mental health difficulties, the Mental health Act 1983, </w:t>
            </w:r>
            <w:r w:rsidRPr="00C82D3D">
              <w:rPr>
                <w:sz w:val="24"/>
                <w:szCs w:val="24"/>
              </w:rPr>
              <w:t xml:space="preserve">MHWA </w:t>
            </w:r>
            <w:r>
              <w:rPr>
                <w:sz w:val="24"/>
                <w:szCs w:val="24"/>
              </w:rPr>
              <w:t xml:space="preserve">2010 are applied which places a duty on </w:t>
            </w:r>
            <w:r w:rsidRPr="00D8739F">
              <w:rPr>
                <w:sz w:val="24"/>
                <w:szCs w:val="24"/>
              </w:rPr>
              <w:t>local authorities about the assessment and treatment of mental health</w:t>
            </w:r>
            <w:r>
              <w:rPr>
                <w:sz w:val="24"/>
                <w:szCs w:val="24"/>
              </w:rPr>
              <w:t xml:space="preserve">. The Mental Capacity Act 2005 are used to empower adults to continue to have control over their life. However, laws now include the Deprivation of Liberty </w:t>
            </w:r>
            <w:r>
              <w:rPr>
                <w:sz w:val="24"/>
                <w:szCs w:val="24"/>
              </w:rPr>
              <w:lastRenderedPageBreak/>
              <w:t xml:space="preserve">Safeguards 2007 for adults who </w:t>
            </w:r>
            <w:r w:rsidRPr="00C82D3D">
              <w:rPr>
                <w:sz w:val="24"/>
                <w:szCs w:val="24"/>
              </w:rPr>
              <w:t xml:space="preserve">lack mental capacity to consent </w:t>
            </w:r>
            <w:r>
              <w:rPr>
                <w:sz w:val="24"/>
                <w:szCs w:val="24"/>
              </w:rPr>
              <w:t>necessary treatment in hospital or care (Golightly, 2014).</w:t>
            </w:r>
          </w:p>
          <w:p w14:paraId="4F9859BE" w14:textId="77777777" w:rsidR="005D38D5" w:rsidRDefault="005D38D5" w:rsidP="005D38D5">
            <w:pPr>
              <w:rPr>
                <w:sz w:val="24"/>
                <w:szCs w:val="24"/>
              </w:rPr>
            </w:pPr>
          </w:p>
          <w:p w14:paraId="22B79C07" w14:textId="6B8F960C" w:rsidR="005D38D5" w:rsidRDefault="005D38D5" w:rsidP="005D38D5">
            <w:pPr>
              <w:rPr>
                <w:sz w:val="24"/>
                <w:szCs w:val="24"/>
              </w:rPr>
            </w:pPr>
            <w:r>
              <w:rPr>
                <w:sz w:val="24"/>
                <w:szCs w:val="24"/>
              </w:rPr>
              <w:t>The Human Rights Act 1998 is also a law always applied when working with adults. This law comprises of sixteen rights ranging from the right to life</w:t>
            </w:r>
            <w:r w:rsidR="00831936">
              <w:rPr>
                <w:sz w:val="24"/>
                <w:szCs w:val="24"/>
              </w:rPr>
              <w:t>,</w:t>
            </w:r>
            <w:r>
              <w:rPr>
                <w:sz w:val="24"/>
                <w:szCs w:val="24"/>
              </w:rPr>
              <w:t xml:space="preserve"> </w:t>
            </w:r>
            <w:r w:rsidR="00831936">
              <w:rPr>
                <w:sz w:val="24"/>
                <w:szCs w:val="24"/>
              </w:rPr>
              <w:t xml:space="preserve">freedom </w:t>
            </w:r>
            <w:r>
              <w:rPr>
                <w:sz w:val="24"/>
                <w:szCs w:val="24"/>
              </w:rPr>
              <w:t xml:space="preserve">from </w:t>
            </w:r>
            <w:r w:rsidR="00831936" w:rsidRPr="00831936">
              <w:rPr>
                <w:sz w:val="24"/>
                <w:szCs w:val="24"/>
              </w:rPr>
              <w:t>torture</w:t>
            </w:r>
            <w:r>
              <w:rPr>
                <w:sz w:val="24"/>
                <w:szCs w:val="24"/>
              </w:rPr>
              <w:t xml:space="preserve"> and slavery. These rights are protected and place a legal duty on professionals to ensure these rights are upheld when working with adults (Brammer, 2020). </w:t>
            </w:r>
          </w:p>
          <w:p w14:paraId="78E96F63" w14:textId="77777777" w:rsidR="005D38D5" w:rsidRDefault="005D38D5" w:rsidP="005D38D5">
            <w:pPr>
              <w:rPr>
                <w:sz w:val="24"/>
                <w:szCs w:val="24"/>
              </w:rPr>
            </w:pPr>
          </w:p>
          <w:p w14:paraId="2E6327AC" w14:textId="097ED349" w:rsidR="005D38D5" w:rsidRDefault="005D38D5" w:rsidP="005D38D5">
            <w:pPr>
              <w:rPr>
                <w:sz w:val="24"/>
                <w:szCs w:val="24"/>
              </w:rPr>
            </w:pPr>
            <w:r>
              <w:rPr>
                <w:sz w:val="24"/>
                <w:szCs w:val="24"/>
              </w:rPr>
              <w:t xml:space="preserve">The equality Act 2010 is also applied when working with adults which makes it unlawful to discriminate against certain protected characteristics such as age, race and disability. Age is also a protected factor nationally as the United Nations of principles for Older Persons 1991, safeguards older people to have </w:t>
            </w:r>
            <w:r w:rsidRPr="00316547">
              <w:rPr>
                <w:sz w:val="24"/>
                <w:szCs w:val="24"/>
              </w:rPr>
              <w:t>independence</w:t>
            </w:r>
            <w:r>
              <w:rPr>
                <w:sz w:val="24"/>
                <w:szCs w:val="24"/>
              </w:rPr>
              <w:t xml:space="preserve">, </w:t>
            </w:r>
            <w:r w:rsidRPr="00316547">
              <w:rPr>
                <w:sz w:val="24"/>
                <w:szCs w:val="24"/>
              </w:rPr>
              <w:t>participation</w:t>
            </w:r>
            <w:r>
              <w:rPr>
                <w:sz w:val="24"/>
                <w:szCs w:val="24"/>
              </w:rPr>
              <w:t xml:space="preserve">, </w:t>
            </w:r>
            <w:r w:rsidRPr="00316547">
              <w:rPr>
                <w:sz w:val="24"/>
                <w:szCs w:val="24"/>
              </w:rPr>
              <w:t>care</w:t>
            </w:r>
            <w:r>
              <w:rPr>
                <w:sz w:val="24"/>
                <w:szCs w:val="24"/>
              </w:rPr>
              <w:t xml:space="preserve"> and </w:t>
            </w:r>
            <w:r w:rsidRPr="00316547">
              <w:rPr>
                <w:sz w:val="24"/>
                <w:szCs w:val="24"/>
              </w:rPr>
              <w:t>self-fulfilment</w:t>
            </w:r>
            <w:r>
              <w:rPr>
                <w:sz w:val="24"/>
                <w:szCs w:val="24"/>
              </w:rPr>
              <w:t xml:space="preserve"> (Social Care Wales, 2024). Disabilities are also a protected characteristic by under the </w:t>
            </w:r>
            <w:r w:rsidRPr="00316547">
              <w:rPr>
                <w:sz w:val="24"/>
                <w:szCs w:val="24"/>
              </w:rPr>
              <w:t xml:space="preserve">UN Convention on the Rights of Persons with Disabilities </w:t>
            </w:r>
            <w:r>
              <w:rPr>
                <w:sz w:val="24"/>
                <w:szCs w:val="24"/>
              </w:rPr>
              <w:t>where it is paramount to</w:t>
            </w:r>
            <w:r w:rsidRPr="00316547">
              <w:rPr>
                <w:sz w:val="24"/>
                <w:szCs w:val="24"/>
              </w:rPr>
              <w:t xml:space="preserve"> protect and promote the human rights of disabled people</w:t>
            </w:r>
            <w:r>
              <w:rPr>
                <w:sz w:val="24"/>
                <w:szCs w:val="24"/>
              </w:rPr>
              <w:t xml:space="preserve">. </w:t>
            </w:r>
          </w:p>
          <w:p w14:paraId="2CF5AAF5" w14:textId="77777777" w:rsidR="005D38D5" w:rsidRDefault="005D38D5" w:rsidP="005D38D5">
            <w:pPr>
              <w:rPr>
                <w:sz w:val="24"/>
                <w:szCs w:val="24"/>
              </w:rPr>
            </w:pPr>
          </w:p>
          <w:p w14:paraId="67AC38B1" w14:textId="77777777" w:rsidR="005D38D5" w:rsidRDefault="005D38D5" w:rsidP="005D38D5">
            <w:pPr>
              <w:rPr>
                <w:sz w:val="24"/>
                <w:szCs w:val="24"/>
              </w:rPr>
            </w:pPr>
            <w:r>
              <w:rPr>
                <w:sz w:val="24"/>
                <w:szCs w:val="24"/>
              </w:rPr>
              <w:t xml:space="preserve">In tandem with applying laws throughout practice policies also play a continued role when working with adults such as the Codes of Professional Practice which uses ethical principles to ensure that social work practice is anti-oppressive to safeguard the individual from harm. Social workers must also be registered with social care Wales to ensure social workers are competent and qualified to safeguard services users (Social Care Wales, 2014). </w:t>
            </w:r>
          </w:p>
          <w:p w14:paraId="75DF59E2"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0BA2087B" w:rsidR="00FC0334" w:rsidRDefault="005D38D5" w:rsidP="00FF7EBB">
            <w:pPr>
              <w:jc w:val="both"/>
              <w:rPr>
                <w:sz w:val="24"/>
                <w:szCs w:val="24"/>
              </w:rPr>
            </w:pPr>
            <w:r>
              <w:rPr>
                <w:sz w:val="24"/>
                <w:szCs w:val="24"/>
              </w:rPr>
              <w:t xml:space="preserve">547 Words </w:t>
            </w:r>
          </w:p>
          <w:p w14:paraId="4F7A4DF6" w14:textId="77777777" w:rsidR="005D38D5" w:rsidRDefault="005D38D5"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3FA763F6"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r w:rsidR="00370CB4" w:rsidRPr="006108C9">
              <w:rPr>
                <w:sz w:val="24"/>
                <w:szCs w:val="24"/>
              </w:rPr>
              <w:t>work.</w:t>
            </w:r>
          </w:p>
          <w:p w14:paraId="32B67098" w14:textId="77777777" w:rsidR="00306F6C" w:rsidRDefault="00306F6C" w:rsidP="00306F6C">
            <w:pPr>
              <w:jc w:val="both"/>
              <w:rPr>
                <w:sz w:val="24"/>
                <w:szCs w:val="24"/>
              </w:rPr>
            </w:pPr>
          </w:p>
          <w:p w14:paraId="503F6A40" w14:textId="77777777" w:rsidR="00306F6C" w:rsidRDefault="00306F6C" w:rsidP="00306F6C">
            <w:pPr>
              <w:jc w:val="both"/>
              <w:rPr>
                <w:sz w:val="24"/>
                <w:szCs w:val="24"/>
              </w:rPr>
            </w:pPr>
          </w:p>
          <w:p w14:paraId="0A9054E6" w14:textId="1C0A3FD4" w:rsidR="00306F6C" w:rsidRPr="00306F6C" w:rsidRDefault="00306F6C" w:rsidP="00306F6C">
            <w:pPr>
              <w:jc w:val="both"/>
              <w:rPr>
                <w:sz w:val="24"/>
                <w:szCs w:val="24"/>
              </w:rPr>
            </w:pPr>
            <w:r w:rsidRPr="00306F6C">
              <w:rPr>
                <w:sz w:val="24"/>
                <w:szCs w:val="24"/>
              </w:rPr>
              <w:t xml:space="preserve">The main fundamental difference when safeguarding a child to safeguarding an adult is that a practitioner will need to consider the rights of the adult to make unwise decisions despite being aware of the risks (Dixon, 2023). Whereas the child’s safety is the main focus when safeguarding children from harm (Frost and Parton, 2009). </w:t>
            </w:r>
          </w:p>
          <w:p w14:paraId="5E15A0A5" w14:textId="77777777" w:rsidR="00306F6C" w:rsidRPr="00306F6C" w:rsidRDefault="00306F6C" w:rsidP="00306F6C">
            <w:pPr>
              <w:jc w:val="both"/>
              <w:rPr>
                <w:sz w:val="24"/>
                <w:szCs w:val="24"/>
              </w:rPr>
            </w:pPr>
          </w:p>
          <w:p w14:paraId="7EC0B068" w14:textId="77777777" w:rsidR="00306F6C" w:rsidRPr="00306F6C" w:rsidRDefault="00306F6C" w:rsidP="00306F6C">
            <w:pPr>
              <w:jc w:val="both"/>
              <w:rPr>
                <w:sz w:val="24"/>
                <w:szCs w:val="24"/>
              </w:rPr>
            </w:pPr>
            <w:r w:rsidRPr="00306F6C">
              <w:rPr>
                <w:sz w:val="24"/>
                <w:szCs w:val="24"/>
              </w:rPr>
              <w:t xml:space="preserve">For example, if an individual was in a domestic abusive relationship, they could be offered a Claire’s law disclosure to protect them from harm and possibly end the relationship, but it is still the adult’s choice as to if they would like to remain in that relationship despite being aware of the potential harm. Adults may also refuse an assessment and support from social services. </w:t>
            </w:r>
            <w:r w:rsidRPr="00306F6C">
              <w:rPr>
                <w:sz w:val="24"/>
                <w:szCs w:val="24"/>
              </w:rPr>
              <w:lastRenderedPageBreak/>
              <w:t xml:space="preserve">Whereas if there is suspicion of a child suffering or likely to suffer abuse or neglect then a section 47 enquiries must be undertaken (Carr and </w:t>
            </w:r>
            <w:proofErr w:type="spellStart"/>
            <w:r w:rsidRPr="00306F6C">
              <w:rPr>
                <w:sz w:val="24"/>
                <w:szCs w:val="24"/>
              </w:rPr>
              <w:t>Goosey</w:t>
            </w:r>
            <w:proofErr w:type="spellEnd"/>
            <w:r w:rsidRPr="00306F6C">
              <w:rPr>
                <w:sz w:val="24"/>
                <w:szCs w:val="24"/>
              </w:rPr>
              <w:t xml:space="preserve">, 2021). </w:t>
            </w:r>
          </w:p>
          <w:p w14:paraId="413C7726" w14:textId="77777777" w:rsidR="00306F6C" w:rsidRPr="00306F6C" w:rsidRDefault="00306F6C" w:rsidP="00306F6C">
            <w:pPr>
              <w:jc w:val="both"/>
              <w:rPr>
                <w:sz w:val="24"/>
                <w:szCs w:val="24"/>
              </w:rPr>
            </w:pPr>
          </w:p>
          <w:p w14:paraId="47B3BFE6" w14:textId="77777777" w:rsidR="00306F6C" w:rsidRPr="00306F6C" w:rsidRDefault="00306F6C" w:rsidP="00306F6C">
            <w:pPr>
              <w:jc w:val="both"/>
              <w:rPr>
                <w:sz w:val="24"/>
                <w:szCs w:val="24"/>
              </w:rPr>
            </w:pPr>
            <w:r w:rsidRPr="00306F6C">
              <w:rPr>
                <w:sz w:val="24"/>
                <w:szCs w:val="24"/>
              </w:rPr>
              <w:t xml:space="preserve">Therefore, although social workers aim to protect individuals from physical and emotional harm, neglect, or financial abuse it is not always possible to do so with adults. This is due to adults having the right to make their own choices no matter what their age or abilities unless they were deemed not to have capacity under the Mental Capacity Act 2005 (Pritchard, 2009).  </w:t>
            </w:r>
          </w:p>
          <w:p w14:paraId="55D5C540" w14:textId="77777777" w:rsidR="00306F6C" w:rsidRPr="00306F6C" w:rsidRDefault="00306F6C" w:rsidP="00306F6C">
            <w:pPr>
              <w:jc w:val="both"/>
              <w:rPr>
                <w:sz w:val="24"/>
                <w:szCs w:val="24"/>
              </w:rPr>
            </w:pPr>
          </w:p>
          <w:p w14:paraId="04FD1B45" w14:textId="77777777" w:rsidR="00306F6C" w:rsidRPr="00306F6C" w:rsidRDefault="00306F6C" w:rsidP="00306F6C">
            <w:pPr>
              <w:jc w:val="both"/>
              <w:rPr>
                <w:sz w:val="24"/>
                <w:szCs w:val="24"/>
              </w:rPr>
            </w:pPr>
            <w:r w:rsidRPr="00306F6C">
              <w:rPr>
                <w:sz w:val="24"/>
                <w:szCs w:val="24"/>
              </w:rPr>
              <w:t xml:space="preserve">Children also have the right to their voice being heard and considered within decision making reflecting on the best interests of a child. The Gillick competency and Fraser guidelines also support practitioners to balancing the children's wishes and the responsibility to keep them safe (The National Society for the Prevention of Cruelty to Children (NSPCC), 2022). </w:t>
            </w:r>
          </w:p>
          <w:p w14:paraId="7D0BD292" w14:textId="77777777" w:rsidR="00306F6C" w:rsidRPr="00306F6C" w:rsidRDefault="00306F6C" w:rsidP="00306F6C">
            <w:pPr>
              <w:jc w:val="both"/>
              <w:rPr>
                <w:sz w:val="24"/>
                <w:szCs w:val="24"/>
              </w:rPr>
            </w:pPr>
          </w:p>
          <w:p w14:paraId="499A2732" w14:textId="77777777" w:rsidR="00306F6C" w:rsidRPr="00306F6C" w:rsidRDefault="00306F6C" w:rsidP="00306F6C">
            <w:pPr>
              <w:jc w:val="both"/>
              <w:rPr>
                <w:sz w:val="24"/>
                <w:szCs w:val="24"/>
              </w:rPr>
            </w:pPr>
            <w:r w:rsidRPr="00306F6C">
              <w:rPr>
                <w:sz w:val="24"/>
                <w:szCs w:val="24"/>
              </w:rPr>
              <w:t>However, if it is deemed that a child’s wishes would be placing them at harm then legislation would be implemented to prevent this from happening and to safeguard the child from significant risk. This is not in adherence of policies such as the code of professional practice offering the child voice and control which may seem oppressive. However, safeguarding a child from significant harm is always paramount (</w:t>
            </w:r>
            <w:proofErr w:type="spellStart"/>
            <w:r w:rsidRPr="00306F6C">
              <w:rPr>
                <w:sz w:val="24"/>
                <w:szCs w:val="24"/>
              </w:rPr>
              <w:t>Brayne</w:t>
            </w:r>
            <w:proofErr w:type="spellEnd"/>
            <w:r w:rsidRPr="00306F6C">
              <w:rPr>
                <w:sz w:val="24"/>
                <w:szCs w:val="24"/>
              </w:rPr>
              <w:t xml:space="preserve"> and Carr, 2013). </w:t>
            </w:r>
          </w:p>
          <w:p w14:paraId="39DE8241" w14:textId="77777777" w:rsidR="00306F6C" w:rsidRPr="00306F6C" w:rsidRDefault="00306F6C" w:rsidP="00306F6C">
            <w:pPr>
              <w:jc w:val="both"/>
              <w:rPr>
                <w:sz w:val="24"/>
                <w:szCs w:val="24"/>
              </w:rPr>
            </w:pPr>
          </w:p>
          <w:p w14:paraId="4CABE426" w14:textId="2837D055" w:rsidR="00FC0334" w:rsidRDefault="00306F6C" w:rsidP="00306F6C">
            <w:pPr>
              <w:jc w:val="both"/>
              <w:rPr>
                <w:sz w:val="24"/>
                <w:szCs w:val="24"/>
              </w:rPr>
            </w:pPr>
            <w:r w:rsidRPr="00306F6C">
              <w:rPr>
                <w:sz w:val="24"/>
                <w:szCs w:val="24"/>
              </w:rPr>
              <w:t>Therefore, although children are a protected age group it demonstrates that a child is also discriminated because of their age as they are not solely able to make their own decisions when it comes to risk. This is unlike adults as age is a protected factor within the equalities Act 2010.</w:t>
            </w: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1AA3081F" w14:textId="79CBE9B9" w:rsidR="00FC0334" w:rsidRDefault="00306F6C" w:rsidP="00FC0334">
            <w:pPr>
              <w:jc w:val="both"/>
              <w:rPr>
                <w:sz w:val="24"/>
                <w:szCs w:val="24"/>
              </w:rPr>
            </w:pPr>
            <w:r>
              <w:rPr>
                <w:sz w:val="24"/>
                <w:szCs w:val="24"/>
              </w:rPr>
              <w:t xml:space="preserve">390 words </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111"/>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57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6F6C"/>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0CB4"/>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8D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936"/>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465B"/>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2509"/>
    <w:rsid w:val="00ED5D03"/>
    <w:rsid w:val="00EE01ED"/>
    <w:rsid w:val="00EE1AC1"/>
    <w:rsid w:val="00EE39D6"/>
    <w:rsid w:val="00EE52AD"/>
    <w:rsid w:val="00EE5BC3"/>
    <w:rsid w:val="00EE6FAB"/>
    <w:rsid w:val="00EE7449"/>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720B"/>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4</Pages>
  <Words>1139</Words>
  <Characters>6079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Miranda Goldsack</cp:lastModifiedBy>
  <cp:revision>7</cp:revision>
  <cp:lastPrinted>2020-02-11T19:20:00Z</cp:lastPrinted>
  <dcterms:created xsi:type="dcterms:W3CDTF">2022-09-29T11:35:00Z</dcterms:created>
  <dcterms:modified xsi:type="dcterms:W3CDTF">2024-09-16T16:58:00Z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