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A2200A" w14:textId="77777777" w:rsidR="003A53A3" w:rsidRDefault="00000000">
      <w:pPr>
        <w:spacing w:after="0" w:line="276" w:lineRule="auto"/>
        <w:jc w:val="cente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14:anchorId="63AF89E3" wp14:editId="6049ADF1">
            <wp:extent cx="3381375" cy="13525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381375" cy="1352550"/>
                    </a:xfrm>
                    <a:prstGeom prst="rect">
                      <a:avLst/>
                    </a:prstGeom>
                    <a:ln/>
                  </pic:spPr>
                </pic:pic>
              </a:graphicData>
            </a:graphic>
          </wp:inline>
        </w:drawing>
      </w:r>
    </w:p>
    <w:p w14:paraId="1EB3F0A2" w14:textId="77777777" w:rsidR="003A53A3" w:rsidRDefault="003A53A3">
      <w:pPr>
        <w:spacing w:after="0" w:line="276" w:lineRule="auto"/>
        <w:jc w:val="center"/>
        <w:rPr>
          <w:rFonts w:ascii="Times New Roman" w:eastAsia="Times New Roman" w:hAnsi="Times New Roman" w:cs="Times New Roman"/>
          <w:color w:val="000000"/>
        </w:rPr>
      </w:pPr>
    </w:p>
    <w:p w14:paraId="782337E3" w14:textId="77777777" w:rsidR="003A53A3" w:rsidRDefault="003A53A3">
      <w:pPr>
        <w:spacing w:after="0" w:line="276" w:lineRule="auto"/>
        <w:jc w:val="center"/>
        <w:rPr>
          <w:rFonts w:ascii="Times New Roman" w:eastAsia="Times New Roman" w:hAnsi="Times New Roman" w:cs="Times New Roman"/>
          <w:color w:val="000000"/>
        </w:rPr>
      </w:pPr>
    </w:p>
    <w:p w14:paraId="7A23F2C7" w14:textId="77777777" w:rsidR="003A53A3" w:rsidRDefault="003A53A3">
      <w:pPr>
        <w:spacing w:after="0" w:line="276" w:lineRule="auto"/>
        <w:jc w:val="center"/>
        <w:rPr>
          <w:rFonts w:ascii="Times New Roman" w:eastAsia="Times New Roman" w:hAnsi="Times New Roman" w:cs="Times New Roman"/>
          <w:color w:val="000000"/>
        </w:rPr>
      </w:pPr>
    </w:p>
    <w:p w14:paraId="5025AB1C" w14:textId="77777777" w:rsidR="003A53A3" w:rsidRDefault="003A53A3">
      <w:pPr>
        <w:spacing w:after="0" w:line="276" w:lineRule="auto"/>
        <w:jc w:val="center"/>
        <w:rPr>
          <w:rFonts w:ascii="Times New Roman" w:eastAsia="Times New Roman" w:hAnsi="Times New Roman" w:cs="Times New Roman"/>
          <w:color w:val="000000"/>
        </w:rPr>
      </w:pPr>
    </w:p>
    <w:p w14:paraId="502243E3" w14:textId="77777777" w:rsidR="003A53A3" w:rsidRDefault="003A53A3">
      <w:pPr>
        <w:spacing w:after="0" w:line="276" w:lineRule="auto"/>
        <w:jc w:val="center"/>
        <w:rPr>
          <w:rFonts w:ascii="Times New Roman" w:eastAsia="Times New Roman" w:hAnsi="Times New Roman" w:cs="Times New Roman"/>
          <w:color w:val="000000"/>
        </w:rPr>
      </w:pPr>
    </w:p>
    <w:p w14:paraId="1F589C9C" w14:textId="77777777" w:rsidR="00191FBB" w:rsidRDefault="00191FBB">
      <w:pPr>
        <w:spacing w:after="0" w:line="276" w:lineRule="auto"/>
        <w:jc w:val="center"/>
        <w:rPr>
          <w:rFonts w:ascii="Times New Roman" w:eastAsia="Times New Roman" w:hAnsi="Times New Roman" w:cs="Times New Roman"/>
          <w:b/>
          <w:bCs/>
          <w:color w:val="000000"/>
        </w:rPr>
      </w:pPr>
      <w:proofErr w:type="spellStart"/>
      <w:proofErr w:type="gramStart"/>
      <w:r>
        <w:rPr>
          <w:rFonts w:ascii="Times New Roman" w:eastAsia="Times New Roman" w:hAnsi="Times New Roman" w:cs="Times New Roman"/>
          <w:b/>
          <w:bCs/>
          <w:color w:val="000000"/>
        </w:rPr>
        <w:t>Programme</w:t>
      </w:r>
      <w:proofErr w:type="spellEnd"/>
      <w:r>
        <w:rPr>
          <w:rFonts w:ascii="Times New Roman" w:eastAsia="Times New Roman" w:hAnsi="Times New Roman" w:cs="Times New Roman"/>
          <w:b/>
          <w:bCs/>
          <w:color w:val="000000"/>
        </w:rPr>
        <w:t xml:space="preserve"> :</w:t>
      </w:r>
      <w:proofErr w:type="gramEnd"/>
      <w:r>
        <w:rPr>
          <w:rFonts w:ascii="Times New Roman" w:eastAsia="Times New Roman" w:hAnsi="Times New Roman" w:cs="Times New Roman"/>
          <w:b/>
          <w:bCs/>
          <w:color w:val="000000"/>
        </w:rPr>
        <w:t xml:space="preserve"> Master of Business Administration</w:t>
      </w:r>
    </w:p>
    <w:p w14:paraId="419BB8AB" w14:textId="77777777" w:rsidR="00191FBB" w:rsidRDefault="00191FBB">
      <w:pPr>
        <w:spacing w:after="0" w:line="276" w:lineRule="auto"/>
        <w:jc w:val="center"/>
        <w:rPr>
          <w:rFonts w:ascii="Times New Roman" w:eastAsia="Times New Roman" w:hAnsi="Times New Roman" w:cs="Times New Roman"/>
          <w:b/>
          <w:bCs/>
          <w:color w:val="000000"/>
        </w:rPr>
      </w:pPr>
    </w:p>
    <w:p w14:paraId="4D9338D3" w14:textId="257CD8F3" w:rsidR="003A53A3" w:rsidRDefault="00000000">
      <w:pPr>
        <w:spacing w:after="0"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Student Name:  Varsha Garo</w:t>
      </w:r>
    </w:p>
    <w:p w14:paraId="23F7DCEE" w14:textId="77777777" w:rsidR="003A53A3" w:rsidRDefault="00000000">
      <w:pPr>
        <w:spacing w:after="0"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 </w:t>
      </w:r>
    </w:p>
    <w:p w14:paraId="76E36DF9" w14:textId="77777777" w:rsidR="003A53A3" w:rsidRDefault="00000000">
      <w:pPr>
        <w:spacing w:after="0"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Student ID: 2538416</w:t>
      </w:r>
    </w:p>
    <w:p w14:paraId="0DFEEFA8" w14:textId="77777777" w:rsidR="003A53A3" w:rsidRDefault="003A53A3">
      <w:pPr>
        <w:spacing w:after="0" w:line="276" w:lineRule="auto"/>
        <w:jc w:val="center"/>
        <w:rPr>
          <w:rFonts w:ascii="Times New Roman" w:eastAsia="Times New Roman" w:hAnsi="Times New Roman" w:cs="Times New Roman"/>
          <w:color w:val="000000"/>
        </w:rPr>
      </w:pPr>
    </w:p>
    <w:p w14:paraId="083CBFCD" w14:textId="77777777" w:rsidR="003A53A3" w:rsidRDefault="003A53A3">
      <w:pPr>
        <w:spacing w:after="0" w:line="276" w:lineRule="auto"/>
        <w:jc w:val="center"/>
        <w:rPr>
          <w:rFonts w:ascii="Times New Roman" w:eastAsia="Times New Roman" w:hAnsi="Times New Roman" w:cs="Times New Roman"/>
          <w:color w:val="000000"/>
        </w:rPr>
      </w:pPr>
    </w:p>
    <w:p w14:paraId="1D96BEB1" w14:textId="77777777" w:rsidR="003A53A3" w:rsidRDefault="00000000">
      <w:pPr>
        <w:spacing w:after="0"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Module Name</w:t>
      </w:r>
      <w:proofErr w:type="gramStart"/>
      <w:r>
        <w:rPr>
          <w:rFonts w:ascii="Times New Roman" w:eastAsia="Times New Roman" w:hAnsi="Times New Roman" w:cs="Times New Roman"/>
          <w:b/>
          <w:bCs/>
          <w:color w:val="000000"/>
        </w:rPr>
        <w:t>:  Marketing</w:t>
      </w:r>
      <w:proofErr w:type="gramEnd"/>
      <w:r>
        <w:rPr>
          <w:rFonts w:ascii="Times New Roman" w:eastAsia="Times New Roman" w:hAnsi="Times New Roman" w:cs="Times New Roman"/>
          <w:b/>
          <w:bCs/>
          <w:color w:val="000000"/>
        </w:rPr>
        <w:t xml:space="preserve"> Management</w:t>
      </w:r>
    </w:p>
    <w:p w14:paraId="3B1E4E03" w14:textId="77777777" w:rsidR="003A53A3" w:rsidRDefault="003A53A3">
      <w:pPr>
        <w:spacing w:after="0" w:line="276" w:lineRule="auto"/>
        <w:jc w:val="center"/>
        <w:rPr>
          <w:rFonts w:ascii="Times New Roman" w:eastAsia="Times New Roman" w:hAnsi="Times New Roman" w:cs="Times New Roman"/>
          <w:b/>
          <w:bCs/>
          <w:color w:val="000000"/>
        </w:rPr>
      </w:pPr>
    </w:p>
    <w:p w14:paraId="14A3AE65" w14:textId="77777777" w:rsidR="003A53A3" w:rsidRDefault="00000000">
      <w:pPr>
        <w:spacing w:after="0"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Module Code: LCMB7024</w:t>
      </w:r>
    </w:p>
    <w:p w14:paraId="5B692B24" w14:textId="77777777" w:rsidR="00191FBB" w:rsidRDefault="00191FBB">
      <w:pPr>
        <w:spacing w:after="0" w:line="276" w:lineRule="auto"/>
        <w:jc w:val="center"/>
        <w:rPr>
          <w:rFonts w:ascii="Times New Roman" w:eastAsia="Times New Roman" w:hAnsi="Times New Roman" w:cs="Times New Roman"/>
          <w:b/>
          <w:bCs/>
          <w:color w:val="000000"/>
        </w:rPr>
      </w:pPr>
    </w:p>
    <w:p w14:paraId="1FC7886B" w14:textId="06E87D0A" w:rsidR="00191FBB" w:rsidRDefault="00191FBB" w:rsidP="00191FBB">
      <w:pPr>
        <w:spacing w:after="0" w:line="276" w:lineRule="auto"/>
        <w:jc w:val="center"/>
        <w:rPr>
          <w:rFonts w:ascii="Times New Roman" w:eastAsia="Times New Roman" w:hAnsi="Times New Roman" w:cs="Times New Roman"/>
          <w:b/>
          <w:bCs/>
          <w:color w:val="000000"/>
        </w:rPr>
      </w:pPr>
      <w:proofErr w:type="gramStart"/>
      <w:r>
        <w:rPr>
          <w:rFonts w:ascii="Times New Roman" w:eastAsia="Times New Roman" w:hAnsi="Times New Roman" w:cs="Times New Roman"/>
          <w:b/>
          <w:bCs/>
          <w:color w:val="000000"/>
        </w:rPr>
        <w:t>Lecturer :</w:t>
      </w:r>
      <w:proofErr w:type="gramEnd"/>
      <w:r>
        <w:rPr>
          <w:rFonts w:ascii="Times New Roman" w:eastAsia="Times New Roman" w:hAnsi="Times New Roman" w:cs="Times New Roman"/>
          <w:b/>
          <w:bCs/>
          <w:color w:val="000000"/>
        </w:rPr>
        <w:t xml:space="preserve"> Laila Maazouz</w:t>
      </w:r>
    </w:p>
    <w:p w14:paraId="66662258" w14:textId="77777777" w:rsidR="003A53A3" w:rsidRDefault="003A53A3">
      <w:pPr>
        <w:spacing w:after="0" w:line="276" w:lineRule="auto"/>
        <w:jc w:val="center"/>
        <w:rPr>
          <w:rFonts w:ascii="Times New Roman" w:eastAsia="Times New Roman" w:hAnsi="Times New Roman" w:cs="Times New Roman"/>
          <w:b/>
          <w:bCs/>
          <w:color w:val="000000"/>
        </w:rPr>
      </w:pPr>
    </w:p>
    <w:p w14:paraId="77407902" w14:textId="77777777" w:rsidR="003A53A3" w:rsidRDefault="003A53A3">
      <w:pPr>
        <w:spacing w:after="0" w:line="276" w:lineRule="auto"/>
        <w:jc w:val="center"/>
        <w:rPr>
          <w:rFonts w:ascii="Times New Roman" w:eastAsia="Times New Roman" w:hAnsi="Times New Roman" w:cs="Times New Roman"/>
          <w:b/>
          <w:bCs/>
          <w:color w:val="000000"/>
        </w:rPr>
      </w:pPr>
    </w:p>
    <w:p w14:paraId="7F6F4945" w14:textId="77777777" w:rsidR="003A53A3" w:rsidRDefault="003A53A3">
      <w:pPr>
        <w:spacing w:after="0" w:line="276" w:lineRule="auto"/>
        <w:jc w:val="center"/>
        <w:rPr>
          <w:rFonts w:ascii="Times New Roman" w:eastAsia="Times New Roman" w:hAnsi="Times New Roman" w:cs="Times New Roman"/>
          <w:b/>
          <w:bCs/>
          <w:color w:val="000000"/>
        </w:rPr>
      </w:pPr>
    </w:p>
    <w:p w14:paraId="6B5ACC88" w14:textId="77777777" w:rsidR="003A53A3" w:rsidRDefault="00000000">
      <w:pPr>
        <w:spacing w:after="0"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IKEA </w:t>
      </w:r>
      <w:proofErr w:type="spellStart"/>
      <w:r>
        <w:rPr>
          <w:rFonts w:ascii="Times New Roman" w:eastAsia="Times New Roman" w:hAnsi="Times New Roman" w:cs="Times New Roman"/>
          <w:b/>
          <w:bCs/>
          <w:color w:val="000000"/>
        </w:rPr>
        <w:t>FlexHome</w:t>
      </w:r>
      <w:proofErr w:type="spellEnd"/>
      <w:r>
        <w:rPr>
          <w:rFonts w:ascii="Times New Roman" w:eastAsia="Times New Roman" w:hAnsi="Times New Roman" w:cs="Times New Roman"/>
          <w:b/>
          <w:bCs/>
          <w:color w:val="000000"/>
        </w:rPr>
        <w:t xml:space="preserve"> Loop: Sustainable Brand Extension and Lifecycle-Based </w:t>
      </w:r>
    </w:p>
    <w:p w14:paraId="15656FF9" w14:textId="77777777" w:rsidR="003A53A3" w:rsidRDefault="00000000">
      <w:pPr>
        <w:spacing w:after="0"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Marketing Strategy</w:t>
      </w:r>
    </w:p>
    <w:p w14:paraId="3CB6A076" w14:textId="77777777" w:rsidR="00191FBB" w:rsidRDefault="00191FBB">
      <w:pPr>
        <w:spacing w:after="0" w:line="276" w:lineRule="auto"/>
        <w:jc w:val="center"/>
        <w:rPr>
          <w:rFonts w:ascii="Times New Roman" w:eastAsia="Times New Roman" w:hAnsi="Times New Roman" w:cs="Times New Roman"/>
          <w:b/>
          <w:bCs/>
          <w:color w:val="000000"/>
        </w:rPr>
      </w:pPr>
    </w:p>
    <w:p w14:paraId="3E87F4C5" w14:textId="77777777" w:rsidR="003A53A3" w:rsidRDefault="003A53A3">
      <w:pPr>
        <w:spacing w:after="0" w:line="276" w:lineRule="auto"/>
        <w:jc w:val="center"/>
        <w:rPr>
          <w:rFonts w:ascii="Times New Roman" w:eastAsia="Times New Roman" w:hAnsi="Times New Roman" w:cs="Times New Roman"/>
          <w:b/>
          <w:bCs/>
          <w:color w:val="000000"/>
        </w:rPr>
      </w:pPr>
    </w:p>
    <w:p w14:paraId="00C5FD0A" w14:textId="1113AA2D" w:rsidR="003A53A3" w:rsidRDefault="003A53A3">
      <w:pPr>
        <w:spacing w:after="0" w:line="276" w:lineRule="auto"/>
        <w:jc w:val="center"/>
        <w:rPr>
          <w:rFonts w:ascii="Times New Roman" w:eastAsia="Times New Roman" w:hAnsi="Times New Roman" w:cs="Times New Roman"/>
          <w:b/>
          <w:bCs/>
          <w:color w:val="000000"/>
        </w:rPr>
      </w:pPr>
    </w:p>
    <w:p w14:paraId="46892972" w14:textId="77777777" w:rsidR="003A53A3" w:rsidRDefault="003A53A3">
      <w:pPr>
        <w:spacing w:after="0" w:line="276" w:lineRule="auto"/>
        <w:jc w:val="center"/>
        <w:rPr>
          <w:rFonts w:ascii="Times New Roman" w:eastAsia="Times New Roman" w:hAnsi="Times New Roman" w:cs="Times New Roman"/>
          <w:b/>
          <w:bCs/>
          <w:color w:val="000000"/>
        </w:rPr>
      </w:pPr>
    </w:p>
    <w:p w14:paraId="1707D8D4" w14:textId="77777777" w:rsidR="003A53A3" w:rsidRDefault="003A53A3">
      <w:pPr>
        <w:spacing w:after="0" w:line="276" w:lineRule="auto"/>
        <w:jc w:val="center"/>
        <w:rPr>
          <w:rFonts w:ascii="Times New Roman" w:eastAsia="Times New Roman" w:hAnsi="Times New Roman" w:cs="Times New Roman"/>
          <w:b/>
          <w:bCs/>
          <w:color w:val="000000"/>
        </w:rPr>
      </w:pPr>
    </w:p>
    <w:p w14:paraId="2315F6DD" w14:textId="77777777" w:rsidR="003A53A3" w:rsidRDefault="003A53A3">
      <w:pPr>
        <w:spacing w:after="0" w:line="276" w:lineRule="auto"/>
        <w:rPr>
          <w:rFonts w:ascii="Times New Roman" w:eastAsia="Times New Roman" w:hAnsi="Times New Roman" w:cs="Times New Roman"/>
          <w:b/>
          <w:bCs/>
          <w:color w:val="000000"/>
        </w:rPr>
      </w:pPr>
    </w:p>
    <w:p w14:paraId="1CAC3874" w14:textId="77777777" w:rsidR="003A53A3" w:rsidRDefault="00000000">
      <w:pPr>
        <w:spacing w:after="0"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Work Count: </w:t>
      </w:r>
      <w:r>
        <w:rPr>
          <w:rFonts w:ascii="Roboto" w:eastAsia="Roboto" w:hAnsi="Roboto" w:cs="Roboto"/>
          <w:b/>
          <w:bCs/>
          <w:color w:val="1F1F1F"/>
          <w:sz w:val="21"/>
          <w:szCs w:val="21"/>
        </w:rPr>
        <w:t>2639</w:t>
      </w:r>
      <w:r>
        <w:rPr>
          <w:rFonts w:ascii="Times New Roman" w:eastAsia="Times New Roman" w:hAnsi="Times New Roman" w:cs="Times New Roman"/>
          <w:b/>
          <w:bCs/>
          <w:color w:val="000000"/>
        </w:rPr>
        <w:t xml:space="preserve"> </w:t>
      </w:r>
    </w:p>
    <w:p w14:paraId="15FE8E83" w14:textId="77777777" w:rsidR="003A53A3" w:rsidRDefault="003A53A3">
      <w:pPr>
        <w:spacing w:after="0" w:line="276" w:lineRule="auto"/>
        <w:jc w:val="center"/>
        <w:rPr>
          <w:rFonts w:ascii="Times New Roman" w:eastAsia="Times New Roman" w:hAnsi="Times New Roman" w:cs="Times New Roman"/>
          <w:b/>
          <w:bCs/>
          <w:color w:val="000000"/>
        </w:rPr>
      </w:pPr>
    </w:p>
    <w:p w14:paraId="61ADFF4B" w14:textId="77777777" w:rsidR="003A53A3" w:rsidRDefault="003A53A3">
      <w:pPr>
        <w:spacing w:after="0" w:line="276" w:lineRule="auto"/>
        <w:jc w:val="center"/>
        <w:rPr>
          <w:rFonts w:ascii="Times New Roman" w:eastAsia="Times New Roman" w:hAnsi="Times New Roman" w:cs="Times New Roman"/>
          <w:b/>
          <w:bCs/>
          <w:color w:val="000000"/>
        </w:rPr>
      </w:pPr>
    </w:p>
    <w:p w14:paraId="6B27D9ED" w14:textId="77777777" w:rsidR="003A53A3" w:rsidRDefault="003A53A3">
      <w:pPr>
        <w:spacing w:after="0" w:line="276" w:lineRule="auto"/>
        <w:jc w:val="center"/>
        <w:rPr>
          <w:rFonts w:ascii="Times New Roman" w:eastAsia="Times New Roman" w:hAnsi="Times New Roman" w:cs="Times New Roman"/>
          <w:b/>
          <w:bCs/>
          <w:color w:val="000000"/>
        </w:rPr>
      </w:pPr>
    </w:p>
    <w:p w14:paraId="72E058B3" w14:textId="77777777" w:rsidR="003A53A3" w:rsidRDefault="003A53A3">
      <w:pPr>
        <w:spacing w:after="0" w:line="276" w:lineRule="auto"/>
        <w:jc w:val="center"/>
        <w:rPr>
          <w:rFonts w:ascii="Times New Roman" w:eastAsia="Times New Roman" w:hAnsi="Times New Roman" w:cs="Times New Roman"/>
          <w:b/>
          <w:bCs/>
          <w:color w:val="000000"/>
        </w:rPr>
      </w:pPr>
    </w:p>
    <w:p w14:paraId="23B7B1C2" w14:textId="77777777" w:rsidR="003A53A3" w:rsidRDefault="003A53A3">
      <w:pPr>
        <w:spacing w:after="0" w:line="276" w:lineRule="auto"/>
        <w:jc w:val="center"/>
        <w:rPr>
          <w:rFonts w:ascii="Times New Roman" w:eastAsia="Times New Roman" w:hAnsi="Times New Roman" w:cs="Times New Roman"/>
          <w:b/>
          <w:bCs/>
          <w:color w:val="000000"/>
        </w:rPr>
      </w:pPr>
    </w:p>
    <w:p w14:paraId="592B1426" w14:textId="77777777" w:rsidR="003A53A3" w:rsidRDefault="00000000">
      <w:pPr>
        <w:spacing w:after="0"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Term 1</w:t>
      </w:r>
    </w:p>
    <w:p w14:paraId="64B0EA3E" w14:textId="77777777" w:rsidR="003A53A3" w:rsidRDefault="003A53A3">
      <w:pPr>
        <w:spacing w:after="240" w:line="276" w:lineRule="auto"/>
        <w:jc w:val="both"/>
        <w:rPr>
          <w:rFonts w:ascii="Times New Roman" w:eastAsia="Times New Roman" w:hAnsi="Times New Roman" w:cs="Times New Roman"/>
          <w:b/>
          <w:bCs/>
          <w:color w:val="000000"/>
        </w:rPr>
      </w:pPr>
    </w:p>
    <w:p w14:paraId="721730B3" w14:textId="77777777" w:rsidR="003A53A3" w:rsidRDefault="003A53A3">
      <w:pPr>
        <w:spacing w:after="240" w:line="276" w:lineRule="auto"/>
        <w:jc w:val="both"/>
        <w:rPr>
          <w:rFonts w:ascii="Times New Roman" w:eastAsia="Times New Roman" w:hAnsi="Times New Roman" w:cs="Times New Roman"/>
          <w:b/>
          <w:bCs/>
          <w:color w:val="000000"/>
        </w:rPr>
      </w:pPr>
    </w:p>
    <w:p w14:paraId="7EB43D9B" w14:textId="77777777" w:rsidR="003A53A3" w:rsidRDefault="003A53A3">
      <w:pPr>
        <w:spacing w:after="240" w:line="276" w:lineRule="auto"/>
        <w:jc w:val="both"/>
        <w:rPr>
          <w:rFonts w:ascii="Times New Roman" w:eastAsia="Times New Roman" w:hAnsi="Times New Roman" w:cs="Times New Roman"/>
          <w:b/>
          <w:bCs/>
          <w:color w:val="000000"/>
        </w:rPr>
      </w:pPr>
    </w:p>
    <w:p w14:paraId="63AC69CE" w14:textId="77777777" w:rsidR="003A53A3" w:rsidRDefault="00000000">
      <w:pPr>
        <w:spacing w:after="240"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Table of Contents:</w:t>
      </w:r>
    </w:p>
    <w:sdt>
      <w:sdtPr>
        <w:id w:val="1227256135"/>
        <w:docPartObj>
          <w:docPartGallery w:val="Table of Contents"/>
          <w:docPartUnique/>
        </w:docPartObj>
      </w:sdtPr>
      <w:sdtContent>
        <w:p w14:paraId="6863DF79" w14:textId="77777777" w:rsidR="003A53A3" w:rsidRDefault="00000000">
          <w:pPr>
            <w:widowControl w:val="0"/>
            <w:tabs>
              <w:tab w:val="right" w:leader="dot" w:pos="12000"/>
            </w:tabs>
            <w:spacing w:before="60" w:after="0" w:line="276" w:lineRule="auto"/>
            <w:jc w:val="both"/>
            <w:rPr>
              <w:rFonts w:ascii="Times New Roman" w:eastAsia="Times New Roman" w:hAnsi="Times New Roman" w:cs="Times New Roman"/>
              <w:b/>
              <w:bCs/>
              <w:color w:val="000000"/>
            </w:rPr>
          </w:pPr>
          <w:r>
            <w:fldChar w:fldCharType="begin"/>
          </w:r>
          <w:r>
            <w:instrText xml:space="preserve"> TOC \h \u \z \t "Heading 1,1,Heading 2,2,Heading 3,3,Heading 4,4,Heading 5,5,Heading 6,6,"</w:instrText>
          </w:r>
          <w:r>
            <w:fldChar w:fldCharType="separate"/>
          </w:r>
          <w:hyperlink w:anchor="_11p579a55uik">
            <w:r>
              <w:rPr>
                <w:rFonts w:ascii="Times New Roman" w:eastAsia="Times New Roman" w:hAnsi="Times New Roman" w:cs="Times New Roman"/>
                <w:b/>
                <w:bCs/>
                <w:color w:val="000000"/>
              </w:rPr>
              <w:t>Element 1:  Sustainable Brand Extension Poster</w:t>
            </w:r>
            <w:r>
              <w:rPr>
                <w:rFonts w:ascii="Times New Roman" w:eastAsia="Times New Roman" w:hAnsi="Times New Roman" w:cs="Times New Roman"/>
                <w:b/>
                <w:bCs/>
                <w:color w:val="000000"/>
              </w:rPr>
              <w:tab/>
              <w:t>2</w:t>
            </w:r>
          </w:hyperlink>
        </w:p>
        <w:p w14:paraId="5A81046A" w14:textId="77777777" w:rsidR="003A53A3" w:rsidRDefault="00000000">
          <w:pPr>
            <w:widowControl w:val="0"/>
            <w:tabs>
              <w:tab w:val="right" w:leader="dot" w:pos="12000"/>
            </w:tabs>
            <w:spacing w:before="60" w:after="0" w:line="276" w:lineRule="auto"/>
            <w:jc w:val="both"/>
            <w:rPr>
              <w:rFonts w:ascii="Times New Roman" w:eastAsia="Times New Roman" w:hAnsi="Times New Roman" w:cs="Times New Roman"/>
              <w:b/>
              <w:bCs/>
              <w:color w:val="000000"/>
            </w:rPr>
          </w:pPr>
          <w:hyperlink w:anchor="_mbvk9kmbou8w">
            <w:r>
              <w:rPr>
                <w:rFonts w:ascii="Times New Roman" w:eastAsia="Times New Roman" w:hAnsi="Times New Roman" w:cs="Times New Roman"/>
                <w:b/>
                <w:bCs/>
                <w:color w:val="000000"/>
              </w:rPr>
              <w:t>Element 2: STDP Analysis</w:t>
            </w:r>
            <w:r>
              <w:rPr>
                <w:rFonts w:ascii="Times New Roman" w:eastAsia="Times New Roman" w:hAnsi="Times New Roman" w:cs="Times New Roman"/>
                <w:b/>
                <w:bCs/>
                <w:color w:val="000000"/>
              </w:rPr>
              <w:tab/>
              <w:t>3</w:t>
            </w:r>
          </w:hyperlink>
        </w:p>
        <w:p w14:paraId="22934015" w14:textId="77777777" w:rsidR="003A53A3" w:rsidRDefault="00000000">
          <w:pPr>
            <w:widowControl w:val="0"/>
            <w:tabs>
              <w:tab w:val="right" w:leader="dot" w:pos="12000"/>
            </w:tabs>
            <w:spacing w:before="60" w:after="0" w:line="276" w:lineRule="auto"/>
            <w:ind w:left="360"/>
            <w:jc w:val="both"/>
            <w:rPr>
              <w:rFonts w:ascii="Times New Roman" w:eastAsia="Times New Roman" w:hAnsi="Times New Roman" w:cs="Times New Roman"/>
              <w:color w:val="000000"/>
            </w:rPr>
          </w:pPr>
          <w:hyperlink w:anchor="_fdtbm7r8hl40">
            <w:r>
              <w:rPr>
                <w:rFonts w:ascii="Times New Roman" w:eastAsia="Times New Roman" w:hAnsi="Times New Roman" w:cs="Times New Roman"/>
                <w:color w:val="000000"/>
              </w:rPr>
              <w:t>2.1 Segmenting by life transition, not age alone</w:t>
            </w:r>
            <w:r>
              <w:rPr>
                <w:rFonts w:ascii="Times New Roman" w:eastAsia="Times New Roman" w:hAnsi="Times New Roman" w:cs="Times New Roman"/>
                <w:color w:val="000000"/>
              </w:rPr>
              <w:tab/>
              <w:t>3</w:t>
            </w:r>
          </w:hyperlink>
        </w:p>
        <w:p w14:paraId="060E3CD9" w14:textId="77777777" w:rsidR="003A53A3" w:rsidRDefault="00000000">
          <w:pPr>
            <w:widowControl w:val="0"/>
            <w:tabs>
              <w:tab w:val="right" w:leader="dot" w:pos="12000"/>
            </w:tabs>
            <w:spacing w:before="60" w:after="0" w:line="276" w:lineRule="auto"/>
            <w:ind w:left="360"/>
            <w:jc w:val="both"/>
            <w:rPr>
              <w:rFonts w:ascii="Times New Roman" w:eastAsia="Times New Roman" w:hAnsi="Times New Roman" w:cs="Times New Roman"/>
              <w:color w:val="000000"/>
            </w:rPr>
          </w:pPr>
          <w:hyperlink w:anchor="_y9ywna5maxbg">
            <w:r>
              <w:rPr>
                <w:rFonts w:ascii="Times New Roman" w:eastAsia="Times New Roman" w:hAnsi="Times New Roman" w:cs="Times New Roman"/>
                <w:color w:val="000000"/>
              </w:rPr>
              <w:t>2.2 Evaluating four demand situations</w:t>
            </w:r>
            <w:r>
              <w:rPr>
                <w:rFonts w:ascii="Times New Roman" w:eastAsia="Times New Roman" w:hAnsi="Times New Roman" w:cs="Times New Roman"/>
                <w:color w:val="000000"/>
              </w:rPr>
              <w:tab/>
              <w:t>3</w:t>
            </w:r>
          </w:hyperlink>
        </w:p>
        <w:p w14:paraId="6B4114CA" w14:textId="77777777" w:rsidR="003A53A3" w:rsidRDefault="00000000">
          <w:pPr>
            <w:widowControl w:val="0"/>
            <w:tabs>
              <w:tab w:val="right" w:leader="dot" w:pos="12000"/>
            </w:tabs>
            <w:spacing w:before="60" w:after="0" w:line="276" w:lineRule="auto"/>
            <w:ind w:left="360"/>
            <w:jc w:val="both"/>
            <w:rPr>
              <w:rFonts w:ascii="Times New Roman" w:eastAsia="Times New Roman" w:hAnsi="Times New Roman" w:cs="Times New Roman"/>
              <w:color w:val="000000"/>
            </w:rPr>
          </w:pPr>
          <w:hyperlink w:anchor="_irtm66q8w3zz">
            <w:r>
              <w:rPr>
                <w:rFonts w:ascii="Times New Roman" w:eastAsia="Times New Roman" w:hAnsi="Times New Roman" w:cs="Times New Roman"/>
                <w:color w:val="000000"/>
              </w:rPr>
              <w:t>2.3 Target architecture and customer definition</w:t>
            </w:r>
            <w:r>
              <w:rPr>
                <w:rFonts w:ascii="Times New Roman" w:eastAsia="Times New Roman" w:hAnsi="Times New Roman" w:cs="Times New Roman"/>
                <w:color w:val="000000"/>
              </w:rPr>
              <w:tab/>
              <w:t>4</w:t>
            </w:r>
          </w:hyperlink>
        </w:p>
        <w:p w14:paraId="3AC77FEC" w14:textId="77777777" w:rsidR="003A53A3" w:rsidRDefault="00000000">
          <w:pPr>
            <w:widowControl w:val="0"/>
            <w:tabs>
              <w:tab w:val="right" w:leader="dot" w:pos="12000"/>
            </w:tabs>
            <w:spacing w:before="60" w:after="0" w:line="276" w:lineRule="auto"/>
            <w:ind w:left="360"/>
            <w:jc w:val="both"/>
            <w:rPr>
              <w:rFonts w:ascii="Times New Roman" w:eastAsia="Times New Roman" w:hAnsi="Times New Roman" w:cs="Times New Roman"/>
              <w:color w:val="000000"/>
            </w:rPr>
          </w:pPr>
          <w:hyperlink w:anchor="_fyoo5de22bxh">
            <w:r>
              <w:rPr>
                <w:rFonts w:ascii="Times New Roman" w:eastAsia="Times New Roman" w:hAnsi="Times New Roman" w:cs="Times New Roman"/>
                <w:color w:val="000000"/>
              </w:rPr>
              <w:t>2.4 Differentiation and the intended market position</w:t>
            </w:r>
            <w:r>
              <w:rPr>
                <w:rFonts w:ascii="Times New Roman" w:eastAsia="Times New Roman" w:hAnsi="Times New Roman" w:cs="Times New Roman"/>
                <w:color w:val="000000"/>
              </w:rPr>
              <w:tab/>
              <w:t>4</w:t>
            </w:r>
          </w:hyperlink>
        </w:p>
        <w:p w14:paraId="12834200" w14:textId="77777777" w:rsidR="003A53A3" w:rsidRDefault="00000000">
          <w:pPr>
            <w:widowControl w:val="0"/>
            <w:tabs>
              <w:tab w:val="right" w:leader="dot" w:pos="12000"/>
            </w:tabs>
            <w:spacing w:before="60" w:after="0" w:line="276" w:lineRule="auto"/>
            <w:jc w:val="both"/>
            <w:rPr>
              <w:rFonts w:ascii="Times New Roman" w:eastAsia="Times New Roman" w:hAnsi="Times New Roman" w:cs="Times New Roman"/>
              <w:b/>
              <w:bCs/>
              <w:color w:val="000000"/>
            </w:rPr>
          </w:pPr>
          <w:hyperlink w:anchor="_jg4oukpbscxn">
            <w:r>
              <w:rPr>
                <w:rFonts w:ascii="Times New Roman" w:eastAsia="Times New Roman" w:hAnsi="Times New Roman" w:cs="Times New Roman"/>
                <w:b/>
                <w:bCs/>
                <w:color w:val="000000"/>
              </w:rPr>
              <w:t>Element 3: Lifecycle-Based Marketing Mix (7Ps)</w:t>
            </w:r>
            <w:r>
              <w:rPr>
                <w:rFonts w:ascii="Times New Roman" w:eastAsia="Times New Roman" w:hAnsi="Times New Roman" w:cs="Times New Roman"/>
                <w:b/>
                <w:bCs/>
                <w:color w:val="000000"/>
              </w:rPr>
              <w:tab/>
              <w:t>5</w:t>
            </w:r>
          </w:hyperlink>
        </w:p>
        <w:p w14:paraId="5087B57E" w14:textId="77777777" w:rsidR="003A53A3" w:rsidRDefault="00000000">
          <w:pPr>
            <w:widowControl w:val="0"/>
            <w:tabs>
              <w:tab w:val="right" w:leader="dot" w:pos="12000"/>
            </w:tabs>
            <w:spacing w:before="60" w:after="0" w:line="276" w:lineRule="auto"/>
            <w:ind w:left="360"/>
            <w:jc w:val="both"/>
            <w:rPr>
              <w:rFonts w:ascii="Times New Roman" w:eastAsia="Times New Roman" w:hAnsi="Times New Roman" w:cs="Times New Roman"/>
              <w:color w:val="000000"/>
            </w:rPr>
          </w:pPr>
          <w:hyperlink w:anchor="_p8ljyvbaj2tn">
            <w:r>
              <w:rPr>
                <w:rFonts w:ascii="Times New Roman" w:eastAsia="Times New Roman" w:hAnsi="Times New Roman" w:cs="Times New Roman"/>
                <w:color w:val="000000"/>
              </w:rPr>
              <w:t>3.1 Constructing the offer: Product and Price</w:t>
            </w:r>
            <w:r>
              <w:rPr>
                <w:rFonts w:ascii="Times New Roman" w:eastAsia="Times New Roman" w:hAnsi="Times New Roman" w:cs="Times New Roman"/>
                <w:color w:val="000000"/>
              </w:rPr>
              <w:tab/>
              <w:t>5</w:t>
            </w:r>
          </w:hyperlink>
        </w:p>
        <w:p w14:paraId="014A8529" w14:textId="77777777" w:rsidR="003A53A3" w:rsidRDefault="00000000">
          <w:pPr>
            <w:widowControl w:val="0"/>
            <w:tabs>
              <w:tab w:val="right" w:leader="dot" w:pos="12000"/>
            </w:tabs>
            <w:spacing w:before="60" w:after="0" w:line="276" w:lineRule="auto"/>
            <w:ind w:left="360"/>
            <w:jc w:val="both"/>
            <w:rPr>
              <w:rFonts w:ascii="Times New Roman" w:eastAsia="Times New Roman" w:hAnsi="Times New Roman" w:cs="Times New Roman"/>
              <w:color w:val="000000"/>
            </w:rPr>
          </w:pPr>
          <w:hyperlink w:anchor="_s3gfngsf6e1u">
            <w:r>
              <w:rPr>
                <w:rFonts w:ascii="Times New Roman" w:eastAsia="Times New Roman" w:hAnsi="Times New Roman" w:cs="Times New Roman"/>
                <w:color w:val="000000"/>
              </w:rPr>
              <w:t>3.2 Reaching the market: Place and Promotion</w:t>
            </w:r>
            <w:r>
              <w:rPr>
                <w:rFonts w:ascii="Times New Roman" w:eastAsia="Times New Roman" w:hAnsi="Times New Roman" w:cs="Times New Roman"/>
                <w:color w:val="000000"/>
              </w:rPr>
              <w:tab/>
              <w:t>6</w:t>
            </w:r>
          </w:hyperlink>
        </w:p>
        <w:p w14:paraId="22E315F7" w14:textId="77777777" w:rsidR="003A53A3" w:rsidRDefault="00000000">
          <w:pPr>
            <w:widowControl w:val="0"/>
            <w:tabs>
              <w:tab w:val="right" w:leader="dot" w:pos="12000"/>
            </w:tabs>
            <w:spacing w:before="60" w:after="0" w:line="276" w:lineRule="auto"/>
            <w:ind w:left="360"/>
            <w:jc w:val="both"/>
            <w:rPr>
              <w:rFonts w:ascii="Times New Roman" w:eastAsia="Times New Roman" w:hAnsi="Times New Roman" w:cs="Times New Roman"/>
              <w:color w:val="000000"/>
            </w:rPr>
          </w:pPr>
          <w:hyperlink w:anchor="_l1uki5t23f53">
            <w:r>
              <w:rPr>
                <w:rFonts w:ascii="Times New Roman" w:eastAsia="Times New Roman" w:hAnsi="Times New Roman" w:cs="Times New Roman"/>
                <w:color w:val="000000"/>
              </w:rPr>
              <w:t>3.3 Delivering trust: People, Process and Physical Evidence</w:t>
            </w:r>
            <w:r>
              <w:rPr>
                <w:rFonts w:ascii="Times New Roman" w:eastAsia="Times New Roman" w:hAnsi="Times New Roman" w:cs="Times New Roman"/>
                <w:color w:val="000000"/>
              </w:rPr>
              <w:tab/>
              <w:t>6</w:t>
            </w:r>
          </w:hyperlink>
        </w:p>
        <w:p w14:paraId="7CCE74AD" w14:textId="77777777" w:rsidR="003A53A3" w:rsidRDefault="00000000">
          <w:pPr>
            <w:widowControl w:val="0"/>
            <w:tabs>
              <w:tab w:val="right" w:leader="dot" w:pos="12000"/>
            </w:tabs>
            <w:spacing w:before="60" w:after="0" w:line="276" w:lineRule="auto"/>
            <w:ind w:left="360"/>
            <w:jc w:val="both"/>
            <w:rPr>
              <w:rFonts w:ascii="Times New Roman" w:eastAsia="Times New Roman" w:hAnsi="Times New Roman" w:cs="Times New Roman"/>
              <w:color w:val="000000"/>
            </w:rPr>
          </w:pPr>
          <w:hyperlink w:anchor="_z8fw1ux72wyb">
            <w:r>
              <w:rPr>
                <w:rFonts w:ascii="Times New Roman" w:eastAsia="Times New Roman" w:hAnsi="Times New Roman" w:cs="Times New Roman"/>
                <w:color w:val="000000"/>
              </w:rPr>
              <w:t>3.4 Integration, control and sustainability tests</w:t>
            </w:r>
            <w:r>
              <w:rPr>
                <w:rFonts w:ascii="Times New Roman" w:eastAsia="Times New Roman" w:hAnsi="Times New Roman" w:cs="Times New Roman"/>
                <w:color w:val="000000"/>
              </w:rPr>
              <w:tab/>
              <w:t>7</w:t>
            </w:r>
          </w:hyperlink>
        </w:p>
        <w:p w14:paraId="175F1549" w14:textId="77777777" w:rsidR="003A53A3" w:rsidRDefault="00000000">
          <w:pPr>
            <w:widowControl w:val="0"/>
            <w:tabs>
              <w:tab w:val="right" w:leader="dot" w:pos="12000"/>
            </w:tabs>
            <w:spacing w:before="60" w:after="0" w:line="276" w:lineRule="auto"/>
            <w:jc w:val="both"/>
            <w:rPr>
              <w:rFonts w:ascii="Times New Roman" w:eastAsia="Times New Roman" w:hAnsi="Times New Roman" w:cs="Times New Roman"/>
              <w:b/>
              <w:bCs/>
              <w:color w:val="000000"/>
            </w:rPr>
          </w:pPr>
          <w:hyperlink w:anchor="_tvttfgdytofw">
            <w:r>
              <w:rPr>
                <w:rFonts w:ascii="Times New Roman" w:eastAsia="Times New Roman" w:hAnsi="Times New Roman" w:cs="Times New Roman"/>
                <w:b/>
                <w:bCs/>
                <w:color w:val="000000"/>
              </w:rPr>
              <w:t>Element 4: Three-Stage Critical Reflection</w:t>
            </w:r>
            <w:r>
              <w:rPr>
                <w:rFonts w:ascii="Times New Roman" w:eastAsia="Times New Roman" w:hAnsi="Times New Roman" w:cs="Times New Roman"/>
                <w:b/>
                <w:bCs/>
                <w:color w:val="000000"/>
              </w:rPr>
              <w:tab/>
              <w:t>7</w:t>
            </w:r>
          </w:hyperlink>
        </w:p>
        <w:p w14:paraId="35C05A20" w14:textId="77777777" w:rsidR="003A53A3" w:rsidRDefault="00000000">
          <w:pPr>
            <w:widowControl w:val="0"/>
            <w:tabs>
              <w:tab w:val="right" w:leader="dot" w:pos="12000"/>
            </w:tabs>
            <w:spacing w:before="60" w:after="0" w:line="276" w:lineRule="auto"/>
            <w:ind w:left="360"/>
            <w:jc w:val="both"/>
            <w:rPr>
              <w:rFonts w:ascii="Times New Roman" w:eastAsia="Times New Roman" w:hAnsi="Times New Roman" w:cs="Times New Roman"/>
              <w:color w:val="000000"/>
            </w:rPr>
          </w:pPr>
          <w:hyperlink w:anchor="_dde1vztqtzdc">
            <w:r>
              <w:rPr>
                <w:rFonts w:ascii="Times New Roman" w:eastAsia="Times New Roman" w:hAnsi="Times New Roman" w:cs="Times New Roman"/>
                <w:color w:val="000000"/>
              </w:rPr>
              <w:t>4.1 What I developed and experienced</w:t>
            </w:r>
            <w:r>
              <w:rPr>
                <w:rFonts w:ascii="Times New Roman" w:eastAsia="Times New Roman" w:hAnsi="Times New Roman" w:cs="Times New Roman"/>
                <w:color w:val="000000"/>
              </w:rPr>
              <w:tab/>
              <w:t>7</w:t>
            </w:r>
          </w:hyperlink>
        </w:p>
        <w:p w14:paraId="2F4E57D7" w14:textId="77777777" w:rsidR="003A53A3" w:rsidRDefault="00000000">
          <w:pPr>
            <w:widowControl w:val="0"/>
            <w:tabs>
              <w:tab w:val="right" w:leader="dot" w:pos="12000"/>
            </w:tabs>
            <w:spacing w:before="60" w:after="0" w:line="276" w:lineRule="auto"/>
            <w:ind w:left="360"/>
            <w:jc w:val="both"/>
            <w:rPr>
              <w:rFonts w:ascii="Times New Roman" w:eastAsia="Times New Roman" w:hAnsi="Times New Roman" w:cs="Times New Roman"/>
              <w:color w:val="000000"/>
            </w:rPr>
          </w:pPr>
          <w:hyperlink w:anchor="_hphrbu90yokp">
            <w:r>
              <w:rPr>
                <w:rFonts w:ascii="Times New Roman" w:eastAsia="Times New Roman" w:hAnsi="Times New Roman" w:cs="Times New Roman"/>
                <w:color w:val="000000"/>
              </w:rPr>
              <w:t>4.2 Why the learning mattered</w:t>
            </w:r>
            <w:r>
              <w:rPr>
                <w:rFonts w:ascii="Times New Roman" w:eastAsia="Times New Roman" w:hAnsi="Times New Roman" w:cs="Times New Roman"/>
                <w:color w:val="000000"/>
              </w:rPr>
              <w:tab/>
              <w:t>7</w:t>
            </w:r>
          </w:hyperlink>
        </w:p>
        <w:p w14:paraId="6B8CA141" w14:textId="77777777" w:rsidR="003A53A3" w:rsidRDefault="00000000">
          <w:pPr>
            <w:widowControl w:val="0"/>
            <w:tabs>
              <w:tab w:val="right" w:leader="dot" w:pos="12000"/>
            </w:tabs>
            <w:spacing w:before="60" w:after="0" w:line="276" w:lineRule="auto"/>
            <w:ind w:left="360"/>
            <w:jc w:val="both"/>
            <w:rPr>
              <w:rFonts w:ascii="Times New Roman" w:eastAsia="Times New Roman" w:hAnsi="Times New Roman" w:cs="Times New Roman"/>
              <w:color w:val="000000"/>
            </w:rPr>
          </w:pPr>
          <w:hyperlink w:anchor="_62n1tuk13jcu">
            <w:r>
              <w:rPr>
                <w:rFonts w:ascii="Times New Roman" w:eastAsia="Times New Roman" w:hAnsi="Times New Roman" w:cs="Times New Roman"/>
                <w:color w:val="000000"/>
              </w:rPr>
              <w:t>4.3 What I would improve next</w:t>
            </w:r>
            <w:r>
              <w:rPr>
                <w:rFonts w:ascii="Times New Roman" w:eastAsia="Times New Roman" w:hAnsi="Times New Roman" w:cs="Times New Roman"/>
                <w:color w:val="000000"/>
              </w:rPr>
              <w:tab/>
              <w:t>8</w:t>
            </w:r>
          </w:hyperlink>
        </w:p>
        <w:p w14:paraId="0D1325C4" w14:textId="77777777" w:rsidR="003A53A3" w:rsidRDefault="00000000">
          <w:pPr>
            <w:widowControl w:val="0"/>
            <w:tabs>
              <w:tab w:val="right" w:leader="dot" w:pos="12000"/>
            </w:tabs>
            <w:spacing w:before="60" w:after="0" w:line="276" w:lineRule="auto"/>
            <w:jc w:val="both"/>
            <w:rPr>
              <w:rFonts w:ascii="Times New Roman" w:eastAsia="Times New Roman" w:hAnsi="Times New Roman" w:cs="Times New Roman"/>
              <w:b/>
              <w:bCs/>
              <w:color w:val="000000"/>
            </w:rPr>
          </w:pPr>
          <w:hyperlink w:anchor="_velhg798ytrz">
            <w:r>
              <w:rPr>
                <w:rFonts w:ascii="Times New Roman" w:eastAsia="Times New Roman" w:hAnsi="Times New Roman" w:cs="Times New Roman"/>
                <w:b/>
                <w:bCs/>
                <w:color w:val="000000"/>
              </w:rPr>
              <w:t>Reference:</w:t>
            </w:r>
            <w:r>
              <w:rPr>
                <w:rFonts w:ascii="Times New Roman" w:eastAsia="Times New Roman" w:hAnsi="Times New Roman" w:cs="Times New Roman"/>
                <w:b/>
                <w:bCs/>
                <w:color w:val="000000"/>
              </w:rPr>
              <w:tab/>
              <w:t>9</w:t>
            </w:r>
          </w:hyperlink>
          <w:r>
            <w:fldChar w:fldCharType="end"/>
          </w:r>
        </w:p>
      </w:sdtContent>
    </w:sdt>
    <w:p w14:paraId="329C7A17" w14:textId="77777777" w:rsidR="003A53A3" w:rsidRDefault="00000000">
      <w:pPr>
        <w:tabs>
          <w:tab w:val="right" w:pos="9128"/>
        </w:tabs>
        <w:spacing w:before="100" w:after="80" w:line="276" w:lineRule="auto"/>
        <w:jc w:val="both"/>
        <w:rPr>
          <w:rFonts w:ascii="Times New Roman" w:eastAsia="Times New Roman" w:hAnsi="Times New Roman" w:cs="Times New Roman"/>
          <w:color w:val="000000"/>
        </w:rPr>
        <w:sectPr w:rsidR="003A53A3">
          <w:headerReference w:type="default" r:id="rId8"/>
          <w:footerReference w:type="default" r:id="rId9"/>
          <w:pgSz w:w="11906" w:h="16838"/>
          <w:pgMar w:top="1247" w:right="1134" w:bottom="1134" w:left="1134" w:header="652" w:footer="652" w:gutter="0"/>
          <w:pgNumType w:start="1"/>
          <w:cols w:space="720"/>
        </w:sectPr>
      </w:pPr>
      <w:r>
        <w:rPr>
          <w:rFonts w:ascii="Times New Roman" w:eastAsia="Times New Roman" w:hAnsi="Times New Roman" w:cs="Times New Roman"/>
          <w:color w:val="000000"/>
        </w:rPr>
        <w:tab/>
        <w:t>12</w:t>
      </w:r>
    </w:p>
    <w:p w14:paraId="38048C70" w14:textId="77777777" w:rsidR="003A53A3" w:rsidRDefault="00000000">
      <w:pPr>
        <w:pStyle w:val="Heading2"/>
        <w:spacing w:line="276" w:lineRule="auto"/>
        <w:jc w:val="both"/>
        <w:rPr>
          <w:rFonts w:ascii="Times New Roman" w:eastAsia="Times New Roman" w:hAnsi="Times New Roman" w:cs="Times New Roman"/>
          <w:color w:val="000000"/>
          <w:sz w:val="24"/>
          <w:szCs w:val="24"/>
        </w:rPr>
      </w:pPr>
      <w:bookmarkStart w:id="0" w:name="_11p579a55uik" w:colFirst="0" w:colLast="0"/>
      <w:bookmarkEnd w:id="0"/>
      <w:r>
        <w:rPr>
          <w:rFonts w:ascii="Times New Roman" w:eastAsia="Times New Roman" w:hAnsi="Times New Roman" w:cs="Times New Roman"/>
          <w:color w:val="000000"/>
          <w:sz w:val="24"/>
          <w:szCs w:val="24"/>
        </w:rPr>
        <w:lastRenderedPageBreak/>
        <w:t>Element 1</w:t>
      </w:r>
      <w:proofErr w:type="gramStart"/>
      <w:r>
        <w:rPr>
          <w:rFonts w:ascii="Times New Roman" w:eastAsia="Times New Roman" w:hAnsi="Times New Roman" w:cs="Times New Roman"/>
          <w:color w:val="000000"/>
          <w:sz w:val="24"/>
          <w:szCs w:val="24"/>
        </w:rPr>
        <w:t>:  Sustainable</w:t>
      </w:r>
      <w:proofErr w:type="gramEnd"/>
      <w:r>
        <w:rPr>
          <w:rFonts w:ascii="Times New Roman" w:eastAsia="Times New Roman" w:hAnsi="Times New Roman" w:cs="Times New Roman"/>
          <w:color w:val="000000"/>
          <w:sz w:val="24"/>
          <w:szCs w:val="24"/>
        </w:rPr>
        <w:t xml:space="preserve"> Brand Extension Poster</w:t>
      </w:r>
    </w:p>
    <w:p w14:paraId="218C747D" w14:textId="77777777" w:rsidR="003A53A3" w:rsidRDefault="00000000">
      <w:pPr>
        <w:spacing w:after="80" w:line="276" w:lineRule="auto"/>
        <w:jc w:val="both"/>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114300" distR="114300" wp14:anchorId="05A2E6A6" wp14:editId="55771797">
            <wp:extent cx="9648000" cy="5428608"/>
            <wp:effectExtent l="0" t="0" r="0" b="0"/>
            <wp:docPr id="2" name="image1.png" descr="IKEA FlexHome Loop poster presenting a modular furniture subscription and circular reuse service."/>
            <wp:cNvGraphicFramePr/>
            <a:graphic xmlns:a="http://schemas.openxmlformats.org/drawingml/2006/main">
              <a:graphicData uri="http://schemas.openxmlformats.org/drawingml/2006/picture">
                <pic:pic xmlns:pic="http://schemas.openxmlformats.org/drawingml/2006/picture">
                  <pic:nvPicPr>
                    <pic:cNvPr id="0" name="image1.png" descr="IKEA FlexHome Loop poster presenting a modular furniture subscription and circular reuse service."/>
                    <pic:cNvPicPr preferRelativeResize="0"/>
                  </pic:nvPicPr>
                  <pic:blipFill>
                    <a:blip r:embed="rId10"/>
                    <a:srcRect/>
                    <a:stretch>
                      <a:fillRect/>
                    </a:stretch>
                  </pic:blipFill>
                  <pic:spPr>
                    <a:xfrm>
                      <a:off x="0" y="0"/>
                      <a:ext cx="9648000" cy="5428608"/>
                    </a:xfrm>
                    <a:prstGeom prst="rect">
                      <a:avLst/>
                    </a:prstGeom>
                    <a:ln/>
                  </pic:spPr>
                </pic:pic>
              </a:graphicData>
            </a:graphic>
          </wp:inline>
        </w:drawing>
      </w:r>
    </w:p>
    <w:p w14:paraId="245DA40C" w14:textId="77777777" w:rsidR="003A53A3" w:rsidRDefault="00000000">
      <w:pPr>
        <w:spacing w:after="0" w:line="276" w:lineRule="auto"/>
        <w:jc w:val="both"/>
        <w:rPr>
          <w:rFonts w:ascii="Times New Roman" w:eastAsia="Times New Roman" w:hAnsi="Times New Roman" w:cs="Times New Roman"/>
          <w:color w:val="000000"/>
        </w:rPr>
        <w:sectPr w:rsidR="003A53A3">
          <w:headerReference w:type="default" r:id="rId11"/>
          <w:footerReference w:type="default" r:id="rId12"/>
          <w:pgSz w:w="16838" w:h="11906" w:orient="landscape"/>
          <w:pgMar w:top="567" w:right="567" w:bottom="567" w:left="567" w:header="652" w:footer="652" w:gutter="0"/>
          <w:cols w:space="720"/>
        </w:sectPr>
      </w:pPr>
      <w:r>
        <w:rPr>
          <w:rFonts w:ascii="Times New Roman" w:eastAsia="Times New Roman" w:hAnsi="Times New Roman" w:cs="Times New Roman"/>
          <w:color w:val="000000"/>
        </w:rPr>
        <w:t xml:space="preserve">Figure 1: IKEA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sustainable brand extension poster. Source: Author-created poster (2026).</w:t>
      </w:r>
    </w:p>
    <w:p w14:paraId="376B2286" w14:textId="77777777" w:rsidR="003A53A3" w:rsidRDefault="00000000">
      <w:pPr>
        <w:pStyle w:val="Heading2"/>
        <w:spacing w:line="276" w:lineRule="auto"/>
        <w:jc w:val="both"/>
        <w:rPr>
          <w:rFonts w:ascii="Times New Roman" w:eastAsia="Times New Roman" w:hAnsi="Times New Roman" w:cs="Times New Roman"/>
          <w:color w:val="000000"/>
          <w:sz w:val="24"/>
          <w:szCs w:val="24"/>
        </w:rPr>
      </w:pPr>
      <w:bookmarkStart w:id="1" w:name="_mbvk9kmbou8w" w:colFirst="0" w:colLast="0"/>
      <w:bookmarkEnd w:id="1"/>
      <w:r>
        <w:rPr>
          <w:rFonts w:ascii="Times New Roman" w:eastAsia="Times New Roman" w:hAnsi="Times New Roman" w:cs="Times New Roman"/>
          <w:color w:val="000000"/>
          <w:sz w:val="24"/>
          <w:szCs w:val="24"/>
        </w:rPr>
        <w:lastRenderedPageBreak/>
        <w:t>Element 2: STDP Analysis</w:t>
      </w:r>
    </w:p>
    <w:p w14:paraId="24183111" w14:textId="77777777" w:rsidR="003A53A3" w:rsidRDefault="00000000">
      <w:pPr>
        <w:pStyle w:val="Heading3"/>
        <w:spacing w:line="276" w:lineRule="auto"/>
        <w:jc w:val="both"/>
        <w:rPr>
          <w:rFonts w:ascii="Times New Roman" w:eastAsia="Times New Roman" w:hAnsi="Times New Roman" w:cs="Times New Roman"/>
          <w:color w:val="000000"/>
          <w:sz w:val="24"/>
          <w:szCs w:val="24"/>
        </w:rPr>
      </w:pPr>
      <w:bookmarkStart w:id="2" w:name="_fdtbm7r8hl40" w:colFirst="0" w:colLast="0"/>
      <w:bookmarkEnd w:id="2"/>
      <w:r>
        <w:rPr>
          <w:rFonts w:ascii="Times New Roman" w:eastAsia="Times New Roman" w:hAnsi="Times New Roman" w:cs="Times New Roman"/>
          <w:color w:val="000000"/>
          <w:sz w:val="24"/>
          <w:szCs w:val="24"/>
        </w:rPr>
        <w:t>2.1 Segmenting by life transition, not age alone</w:t>
      </w:r>
    </w:p>
    <w:p w14:paraId="4F1F3077"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There should be a division made in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at points where the burden of ownership becomes too great. The service exchanges a piece of permanent furniture for temporary access, so the most important factors should be anticipated household flexibility, the mobility of individuals, space constraints, and the willingness to use a managed access service (Kotler et al., 2025). In England, the private rental sector makes up 19 percent of the total population, or 4.7 million households, with a much greater degree of mobility when compared to owner occupied households (MHCLG, 2026). </w:t>
      </w:r>
    </w:p>
    <w:p w14:paraId="7A933685"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In the UK, for the first pilot, markets should be centered on London, Manchester, and Birmingham, where the rental market will aid short and efficient delivery and collection as well as focus refurbishment hubs. The demographic segment is adults, </w:t>
      </w:r>
      <w:proofErr w:type="gramStart"/>
      <w:r>
        <w:rPr>
          <w:rFonts w:ascii="Times New Roman" w:eastAsia="Times New Roman" w:hAnsi="Times New Roman" w:cs="Times New Roman"/>
          <w:color w:val="000000"/>
        </w:rPr>
        <w:t>24-39 year olds</w:t>
      </w:r>
      <w:proofErr w:type="gramEnd"/>
      <w:r>
        <w:rPr>
          <w:rFonts w:ascii="Times New Roman" w:eastAsia="Times New Roman" w:hAnsi="Times New Roman" w:cs="Times New Roman"/>
          <w:color w:val="000000"/>
        </w:rPr>
        <w:t xml:space="preserve">, who live alone or with a partner, have moderate to high household income, and limited storage space. </w:t>
      </w:r>
      <w:proofErr w:type="spellStart"/>
      <w:r>
        <w:rPr>
          <w:rFonts w:ascii="Times New Roman" w:eastAsia="Times New Roman" w:hAnsi="Times New Roman" w:cs="Times New Roman"/>
          <w:color w:val="000000"/>
        </w:rPr>
        <w:t>Psychographically</w:t>
      </w:r>
      <w:proofErr w:type="spellEnd"/>
      <w:r>
        <w:rPr>
          <w:rFonts w:ascii="Times New Roman" w:eastAsia="Times New Roman" w:hAnsi="Times New Roman" w:cs="Times New Roman"/>
          <w:color w:val="000000"/>
        </w:rPr>
        <w:t xml:space="preserve">, they place a premium on the design of their </w:t>
      </w:r>
      <w:proofErr w:type="gramStart"/>
      <w:r>
        <w:rPr>
          <w:rFonts w:ascii="Times New Roman" w:eastAsia="Times New Roman" w:hAnsi="Times New Roman" w:cs="Times New Roman"/>
          <w:color w:val="000000"/>
        </w:rPr>
        <w:t>home, but</w:t>
      </w:r>
      <w:proofErr w:type="gramEnd"/>
      <w:r>
        <w:rPr>
          <w:rFonts w:ascii="Times New Roman" w:eastAsia="Times New Roman" w:hAnsi="Times New Roman" w:cs="Times New Roman"/>
          <w:color w:val="000000"/>
        </w:rPr>
        <w:t xml:space="preserve"> have </w:t>
      </w:r>
      <w:proofErr w:type="gramStart"/>
      <w:r>
        <w:rPr>
          <w:rFonts w:ascii="Times New Roman" w:eastAsia="Times New Roman" w:hAnsi="Times New Roman" w:cs="Times New Roman"/>
          <w:color w:val="000000"/>
        </w:rPr>
        <w:t>the</w:t>
      </w:r>
      <w:proofErr w:type="gramEnd"/>
      <w:r>
        <w:rPr>
          <w:rFonts w:ascii="Times New Roman" w:eastAsia="Times New Roman" w:hAnsi="Times New Roman" w:cs="Times New Roman"/>
          <w:color w:val="000000"/>
        </w:rPr>
        <w:t xml:space="preserve"> preference </w:t>
      </w:r>
      <w:proofErr w:type="gramStart"/>
      <w:r>
        <w:rPr>
          <w:rFonts w:ascii="Times New Roman" w:eastAsia="Times New Roman" w:hAnsi="Times New Roman" w:cs="Times New Roman"/>
          <w:color w:val="000000"/>
        </w:rPr>
        <w:t>of</w:t>
      </w:r>
      <w:proofErr w:type="gramEnd"/>
      <w:r>
        <w:rPr>
          <w:rFonts w:ascii="Times New Roman" w:eastAsia="Times New Roman" w:hAnsi="Times New Roman" w:cs="Times New Roman"/>
          <w:color w:val="000000"/>
        </w:rPr>
        <w:t xml:space="preserve"> flexibility over ownership. Behaviorally, they frequently reorganize and configure online, but remain in one place every few years, and already use access-based services. Using these various dimensions does not </w:t>
      </w:r>
      <w:proofErr w:type="gramStart"/>
      <w:r>
        <w:rPr>
          <w:rFonts w:ascii="Times New Roman" w:eastAsia="Times New Roman" w:hAnsi="Times New Roman" w:cs="Times New Roman"/>
          <w:color w:val="000000"/>
        </w:rPr>
        <w:t>make the assumption</w:t>
      </w:r>
      <w:proofErr w:type="gramEnd"/>
      <w:r>
        <w:rPr>
          <w:rFonts w:ascii="Times New Roman" w:eastAsia="Times New Roman" w:hAnsi="Times New Roman" w:cs="Times New Roman"/>
          <w:color w:val="000000"/>
        </w:rPr>
        <w:t xml:space="preserve"> that all young or environmentally conscious customers fall into a single segment. Circular behavior is highly dependent on </w:t>
      </w:r>
      <w:proofErr w:type="gramStart"/>
      <w:r>
        <w:rPr>
          <w:rFonts w:ascii="Times New Roman" w:eastAsia="Times New Roman" w:hAnsi="Times New Roman" w:cs="Times New Roman"/>
          <w:color w:val="000000"/>
        </w:rPr>
        <w:t>context,</w:t>
      </w:r>
      <w:proofErr w:type="gramEnd"/>
      <w:r>
        <w:rPr>
          <w:rFonts w:ascii="Times New Roman" w:eastAsia="Times New Roman" w:hAnsi="Times New Roman" w:cs="Times New Roman"/>
          <w:color w:val="000000"/>
        </w:rPr>
        <w:t xml:space="preserve"> therefore segmentation must include attitudes as well as a practical trigger (Gomes et al., 2022).</w:t>
      </w:r>
    </w:p>
    <w:p w14:paraId="7C9F7EBB" w14:textId="77777777" w:rsidR="003A53A3" w:rsidRDefault="00000000">
      <w:pPr>
        <w:spacing w:before="80" w:after="80" w:line="276" w:lineRule="auto"/>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Table 1: </w:t>
      </w:r>
      <w:proofErr w:type="spellStart"/>
      <w:r>
        <w:rPr>
          <w:rFonts w:ascii="Times New Roman" w:eastAsia="Times New Roman" w:hAnsi="Times New Roman" w:cs="Times New Roman"/>
          <w:b/>
          <w:bCs/>
          <w:color w:val="000000"/>
        </w:rPr>
        <w:t>FlexHome</w:t>
      </w:r>
      <w:proofErr w:type="spellEnd"/>
      <w:r>
        <w:rPr>
          <w:rFonts w:ascii="Times New Roman" w:eastAsia="Times New Roman" w:hAnsi="Times New Roman" w:cs="Times New Roman"/>
          <w:b/>
          <w:bCs/>
          <w:color w:val="000000"/>
        </w:rPr>
        <w:t xml:space="preserve"> Loop segment portfolio</w:t>
      </w:r>
    </w:p>
    <w:tbl>
      <w:tblPr>
        <w:tblStyle w:val="a"/>
        <w:tblW w:w="93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2700"/>
        <w:gridCol w:w="3300"/>
        <w:gridCol w:w="1260"/>
      </w:tblGrid>
      <w:tr w:rsidR="003A53A3" w14:paraId="3015C8EC" w14:textId="77777777">
        <w:trPr>
          <w:tblHeader/>
          <w:jc w:val="center"/>
        </w:trPr>
        <w:tc>
          <w:tcPr>
            <w:tcW w:w="2100" w:type="dxa"/>
            <w:tcMar>
              <w:top w:w="100" w:type="dxa"/>
              <w:bottom w:w="100" w:type="dxa"/>
            </w:tcMar>
            <w:vAlign w:val="center"/>
          </w:tcPr>
          <w:p w14:paraId="0DCDB3DD" w14:textId="77777777" w:rsidR="003A53A3" w:rsidRDefault="00000000">
            <w:pPr>
              <w:spacing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Segment</w:t>
            </w:r>
          </w:p>
        </w:tc>
        <w:tc>
          <w:tcPr>
            <w:tcW w:w="2700" w:type="dxa"/>
            <w:tcMar>
              <w:top w:w="100" w:type="dxa"/>
              <w:bottom w:w="100" w:type="dxa"/>
            </w:tcMar>
            <w:vAlign w:val="center"/>
          </w:tcPr>
          <w:p w14:paraId="2779D65D" w14:textId="77777777" w:rsidR="003A53A3" w:rsidRDefault="00000000">
            <w:pPr>
              <w:spacing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Defining situation</w:t>
            </w:r>
          </w:p>
        </w:tc>
        <w:tc>
          <w:tcPr>
            <w:tcW w:w="3300" w:type="dxa"/>
            <w:tcMar>
              <w:top w:w="100" w:type="dxa"/>
              <w:bottom w:w="100" w:type="dxa"/>
            </w:tcMar>
            <w:vAlign w:val="center"/>
          </w:tcPr>
          <w:p w14:paraId="082186A7" w14:textId="77777777" w:rsidR="003A53A3" w:rsidRDefault="00000000">
            <w:pPr>
              <w:spacing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Dominant value sought</w:t>
            </w:r>
          </w:p>
        </w:tc>
        <w:tc>
          <w:tcPr>
            <w:tcW w:w="1260" w:type="dxa"/>
            <w:tcMar>
              <w:top w:w="100" w:type="dxa"/>
              <w:bottom w:w="100" w:type="dxa"/>
            </w:tcMar>
            <w:vAlign w:val="center"/>
          </w:tcPr>
          <w:p w14:paraId="0937787B" w14:textId="77777777" w:rsidR="003A53A3" w:rsidRDefault="00000000">
            <w:pPr>
              <w:spacing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Role</w:t>
            </w:r>
          </w:p>
        </w:tc>
      </w:tr>
      <w:tr w:rsidR="003A53A3" w14:paraId="7DBEE587" w14:textId="77777777">
        <w:trPr>
          <w:jc w:val="center"/>
        </w:trPr>
        <w:tc>
          <w:tcPr>
            <w:tcW w:w="2100" w:type="dxa"/>
            <w:tcMar>
              <w:top w:w="100" w:type="dxa"/>
              <w:bottom w:w="100" w:type="dxa"/>
            </w:tcMar>
            <w:vAlign w:val="center"/>
          </w:tcPr>
          <w:p w14:paraId="4EC9CF17"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Mobile urban households</w:t>
            </w:r>
          </w:p>
        </w:tc>
        <w:tc>
          <w:tcPr>
            <w:tcW w:w="2700" w:type="dxa"/>
            <w:tcMar>
              <w:top w:w="100" w:type="dxa"/>
              <w:bottom w:w="100" w:type="dxa"/>
            </w:tcMar>
            <w:vAlign w:val="center"/>
          </w:tcPr>
          <w:p w14:paraId="2F1A7887"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Renters aged 24-39 who expect another move</w:t>
            </w:r>
          </w:p>
        </w:tc>
        <w:tc>
          <w:tcPr>
            <w:tcW w:w="3300" w:type="dxa"/>
            <w:tcMar>
              <w:top w:w="100" w:type="dxa"/>
              <w:bottom w:w="100" w:type="dxa"/>
            </w:tcMar>
            <w:vAlign w:val="center"/>
          </w:tcPr>
          <w:p w14:paraId="258E9E59"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Flexibility, design continuity and a lower initial outlay</w:t>
            </w:r>
          </w:p>
        </w:tc>
        <w:tc>
          <w:tcPr>
            <w:tcW w:w="1260" w:type="dxa"/>
            <w:tcMar>
              <w:top w:w="100" w:type="dxa"/>
              <w:bottom w:w="100" w:type="dxa"/>
            </w:tcMar>
            <w:vAlign w:val="center"/>
          </w:tcPr>
          <w:p w14:paraId="6B5D84DC"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Primary</w:t>
            </w:r>
          </w:p>
        </w:tc>
      </w:tr>
      <w:tr w:rsidR="003A53A3" w14:paraId="410A366F" w14:textId="77777777">
        <w:trPr>
          <w:jc w:val="center"/>
        </w:trPr>
        <w:tc>
          <w:tcPr>
            <w:tcW w:w="2100" w:type="dxa"/>
            <w:tcMar>
              <w:top w:w="100" w:type="dxa"/>
              <w:bottom w:w="100" w:type="dxa"/>
            </w:tcMar>
            <w:vAlign w:val="center"/>
          </w:tcPr>
          <w:p w14:paraId="1F7864C1"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Short-stay learners and workers</w:t>
            </w:r>
          </w:p>
        </w:tc>
        <w:tc>
          <w:tcPr>
            <w:tcW w:w="2700" w:type="dxa"/>
            <w:tcMar>
              <w:top w:w="100" w:type="dxa"/>
              <w:bottom w:w="100" w:type="dxa"/>
            </w:tcMar>
            <w:vAlign w:val="center"/>
          </w:tcPr>
          <w:p w14:paraId="68BE0B90"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Students, interns and project employees</w:t>
            </w:r>
          </w:p>
        </w:tc>
        <w:tc>
          <w:tcPr>
            <w:tcW w:w="3300" w:type="dxa"/>
            <w:tcMar>
              <w:top w:w="100" w:type="dxa"/>
              <w:bottom w:w="100" w:type="dxa"/>
            </w:tcMar>
            <w:vAlign w:val="center"/>
          </w:tcPr>
          <w:p w14:paraId="5DCE9024"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Fast setup and predictable temporary access</w:t>
            </w:r>
          </w:p>
        </w:tc>
        <w:tc>
          <w:tcPr>
            <w:tcW w:w="1260" w:type="dxa"/>
            <w:tcMar>
              <w:top w:w="100" w:type="dxa"/>
              <w:bottom w:w="100" w:type="dxa"/>
            </w:tcMar>
            <w:vAlign w:val="center"/>
          </w:tcPr>
          <w:p w14:paraId="587CA672"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Selective</w:t>
            </w:r>
          </w:p>
        </w:tc>
      </w:tr>
      <w:tr w:rsidR="003A53A3" w14:paraId="7FA69DB1" w14:textId="77777777">
        <w:trPr>
          <w:jc w:val="center"/>
        </w:trPr>
        <w:tc>
          <w:tcPr>
            <w:tcW w:w="2100" w:type="dxa"/>
            <w:tcMar>
              <w:top w:w="100" w:type="dxa"/>
              <w:bottom w:w="100" w:type="dxa"/>
            </w:tcMar>
            <w:vAlign w:val="center"/>
          </w:tcPr>
          <w:p w14:paraId="3FD7240E"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Families in transition</w:t>
            </w:r>
          </w:p>
        </w:tc>
        <w:tc>
          <w:tcPr>
            <w:tcW w:w="2700" w:type="dxa"/>
            <w:tcMar>
              <w:top w:w="100" w:type="dxa"/>
              <w:bottom w:w="100" w:type="dxa"/>
            </w:tcMar>
            <w:vAlign w:val="center"/>
          </w:tcPr>
          <w:p w14:paraId="3B8EFDDC"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Households relocating, renovating or changing size</w:t>
            </w:r>
          </w:p>
        </w:tc>
        <w:tc>
          <w:tcPr>
            <w:tcW w:w="3300" w:type="dxa"/>
            <w:tcMar>
              <w:top w:w="100" w:type="dxa"/>
              <w:bottom w:w="100" w:type="dxa"/>
            </w:tcMar>
            <w:vAlign w:val="center"/>
          </w:tcPr>
          <w:p w14:paraId="77ADB36A"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Temporary capacity without disposal or storage</w:t>
            </w:r>
          </w:p>
        </w:tc>
        <w:tc>
          <w:tcPr>
            <w:tcW w:w="1260" w:type="dxa"/>
            <w:tcMar>
              <w:top w:w="100" w:type="dxa"/>
              <w:bottom w:w="100" w:type="dxa"/>
            </w:tcMar>
            <w:vAlign w:val="center"/>
          </w:tcPr>
          <w:p w14:paraId="5DC8E92F"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Secondary</w:t>
            </w:r>
          </w:p>
        </w:tc>
      </w:tr>
      <w:tr w:rsidR="003A53A3" w14:paraId="2EEB1A6B" w14:textId="77777777">
        <w:trPr>
          <w:jc w:val="center"/>
        </w:trPr>
        <w:tc>
          <w:tcPr>
            <w:tcW w:w="2100" w:type="dxa"/>
            <w:tcMar>
              <w:top w:w="100" w:type="dxa"/>
              <w:bottom w:w="100" w:type="dxa"/>
            </w:tcMar>
            <w:vAlign w:val="center"/>
          </w:tcPr>
          <w:p w14:paraId="35FC858A"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Institutional partners</w:t>
            </w:r>
          </w:p>
        </w:tc>
        <w:tc>
          <w:tcPr>
            <w:tcW w:w="2700" w:type="dxa"/>
            <w:tcMar>
              <w:top w:w="100" w:type="dxa"/>
              <w:bottom w:w="100" w:type="dxa"/>
            </w:tcMar>
            <w:vAlign w:val="center"/>
          </w:tcPr>
          <w:p w14:paraId="339BCAE3"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Build-to-rent operators and relocation providers</w:t>
            </w:r>
          </w:p>
        </w:tc>
        <w:tc>
          <w:tcPr>
            <w:tcW w:w="3300" w:type="dxa"/>
            <w:tcMar>
              <w:top w:w="100" w:type="dxa"/>
              <w:bottom w:w="100" w:type="dxa"/>
            </w:tcMar>
            <w:vAlign w:val="center"/>
          </w:tcPr>
          <w:p w14:paraId="7AC33270" w14:textId="77777777" w:rsidR="003A53A3" w:rsidRDefault="00000000">
            <w:pPr>
              <w:spacing w:line="276" w:lineRule="auto"/>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Standardised</w:t>
            </w:r>
            <w:proofErr w:type="spellEnd"/>
            <w:r>
              <w:rPr>
                <w:rFonts w:ascii="Times New Roman" w:eastAsia="Times New Roman" w:hAnsi="Times New Roman" w:cs="Times New Roman"/>
                <w:color w:val="000000"/>
              </w:rPr>
              <w:t xml:space="preserve"> furnishing, recovery and reporting</w:t>
            </w:r>
          </w:p>
        </w:tc>
        <w:tc>
          <w:tcPr>
            <w:tcW w:w="1260" w:type="dxa"/>
            <w:tcMar>
              <w:top w:w="100" w:type="dxa"/>
              <w:bottom w:w="100" w:type="dxa"/>
            </w:tcMar>
            <w:vAlign w:val="center"/>
          </w:tcPr>
          <w:p w14:paraId="2D72F9EF"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Channel partner</w:t>
            </w:r>
          </w:p>
        </w:tc>
      </w:tr>
    </w:tbl>
    <w:p w14:paraId="0C61577C" w14:textId="77777777" w:rsidR="003A53A3" w:rsidRDefault="00000000">
      <w:pPr>
        <w:spacing w:before="80" w:after="80"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Source: Self Made.</w:t>
      </w:r>
    </w:p>
    <w:p w14:paraId="0D65F702" w14:textId="77777777" w:rsidR="003A53A3" w:rsidRDefault="00000000">
      <w:pPr>
        <w:pStyle w:val="Heading3"/>
        <w:spacing w:line="276" w:lineRule="auto"/>
        <w:jc w:val="both"/>
        <w:rPr>
          <w:rFonts w:ascii="Times New Roman" w:eastAsia="Times New Roman" w:hAnsi="Times New Roman" w:cs="Times New Roman"/>
          <w:color w:val="000000"/>
          <w:sz w:val="24"/>
          <w:szCs w:val="24"/>
        </w:rPr>
      </w:pPr>
      <w:bookmarkStart w:id="3" w:name="_y9ywna5maxbg" w:colFirst="0" w:colLast="0"/>
      <w:bookmarkEnd w:id="3"/>
      <w:r>
        <w:rPr>
          <w:rFonts w:ascii="Times New Roman" w:eastAsia="Times New Roman" w:hAnsi="Times New Roman" w:cs="Times New Roman"/>
          <w:color w:val="000000"/>
          <w:sz w:val="24"/>
          <w:szCs w:val="24"/>
        </w:rPr>
        <w:t>2.2 Evaluating four demand situations</w:t>
      </w:r>
    </w:p>
    <w:p w14:paraId="1BC1BBBB"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Table 1 highlights how various segments have differing value </w:t>
      </w:r>
      <w:proofErr w:type="gramStart"/>
      <w:r>
        <w:rPr>
          <w:rFonts w:ascii="Times New Roman" w:eastAsia="Times New Roman" w:hAnsi="Times New Roman" w:cs="Times New Roman"/>
          <w:color w:val="000000"/>
        </w:rPr>
        <w:t>potentials</w:t>
      </w:r>
      <w:proofErr w:type="gramEnd"/>
      <w:r>
        <w:rPr>
          <w:rFonts w:ascii="Times New Roman" w:eastAsia="Times New Roman" w:hAnsi="Times New Roman" w:cs="Times New Roman"/>
          <w:color w:val="000000"/>
        </w:rPr>
        <w:t xml:space="preserve"> and risk levels for service. Mobile urban households offer our proposition strong alignment and recurrent demand, however with digital accessibility they will consider if the trade-off of fees vs. ownership is worth it. While institutional partners help potential demand and route density, engagement with these partners may be more cumbersome due to the nature of procurement and contract terms.</w:t>
      </w:r>
    </w:p>
    <w:p w14:paraId="724BAAA8"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For the above reasons, it appears that a </w:t>
      </w:r>
      <w:proofErr w:type="gramStart"/>
      <w:r>
        <w:rPr>
          <w:rFonts w:ascii="Times New Roman" w:eastAsia="Times New Roman" w:hAnsi="Times New Roman" w:cs="Times New Roman"/>
          <w:color w:val="000000"/>
        </w:rPr>
        <w:t>needs based</w:t>
      </w:r>
      <w:proofErr w:type="gramEnd"/>
      <w:r>
        <w:rPr>
          <w:rFonts w:ascii="Times New Roman" w:eastAsia="Times New Roman" w:hAnsi="Times New Roman" w:cs="Times New Roman"/>
          <w:color w:val="000000"/>
        </w:rPr>
        <w:t xml:space="preserve"> tiered approach is of more value than a mass market approach. Environmental motivation should be considered a value </w:t>
      </w:r>
      <w:proofErr w:type="gramStart"/>
      <w:r>
        <w:rPr>
          <w:rFonts w:ascii="Times New Roman" w:eastAsia="Times New Roman" w:hAnsi="Times New Roman" w:cs="Times New Roman"/>
          <w:color w:val="000000"/>
        </w:rPr>
        <w:t>add</w:t>
      </w:r>
      <w:proofErr w:type="gramEnd"/>
      <w:r>
        <w:rPr>
          <w:rFonts w:ascii="Times New Roman" w:eastAsia="Times New Roman" w:hAnsi="Times New Roman" w:cs="Times New Roman"/>
          <w:color w:val="000000"/>
        </w:rPr>
        <w:t xml:space="preserve">, not a </w:t>
      </w:r>
      <w:proofErr w:type="gramStart"/>
      <w:r>
        <w:rPr>
          <w:rFonts w:ascii="Times New Roman" w:eastAsia="Times New Roman" w:hAnsi="Times New Roman" w:cs="Times New Roman"/>
          <w:color w:val="000000"/>
        </w:rPr>
        <w:t>make or break</w:t>
      </w:r>
      <w:proofErr w:type="gramEnd"/>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lastRenderedPageBreak/>
        <w:t>approach. In the context of the circular economy, and focusing on our value proposition, the literature outlines financial uncertainty, uncertain contracts and hygiene, quality and the desire to own (</w:t>
      </w:r>
      <w:proofErr w:type="spellStart"/>
      <w:r>
        <w:rPr>
          <w:rFonts w:ascii="Times New Roman" w:eastAsia="Times New Roman" w:hAnsi="Times New Roman" w:cs="Times New Roman"/>
          <w:color w:val="000000"/>
        </w:rPr>
        <w:t>Hagejärd</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Femenías</w:t>
      </w:r>
      <w:proofErr w:type="spellEnd"/>
      <w:r>
        <w:rPr>
          <w:rFonts w:ascii="Times New Roman" w:eastAsia="Times New Roman" w:hAnsi="Times New Roman" w:cs="Times New Roman"/>
          <w:color w:val="000000"/>
        </w:rPr>
        <w:t xml:space="preserve">, and Pettersen, 2025) as major barriers to the value proposition. A segment is only desirable if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can eliminate the barriers whilst fulfilling IKEA’s accessibility promise.</w:t>
      </w:r>
    </w:p>
    <w:p w14:paraId="5BDED1EF" w14:textId="77777777" w:rsidR="003A53A3" w:rsidRDefault="00000000">
      <w:pPr>
        <w:pStyle w:val="Heading3"/>
        <w:spacing w:line="276" w:lineRule="auto"/>
        <w:jc w:val="both"/>
        <w:rPr>
          <w:rFonts w:ascii="Times New Roman" w:eastAsia="Times New Roman" w:hAnsi="Times New Roman" w:cs="Times New Roman"/>
          <w:color w:val="000000"/>
          <w:sz w:val="24"/>
          <w:szCs w:val="24"/>
        </w:rPr>
      </w:pPr>
      <w:bookmarkStart w:id="4" w:name="_irtm66q8w3zz" w:colFirst="0" w:colLast="0"/>
      <w:bookmarkEnd w:id="4"/>
      <w:r>
        <w:rPr>
          <w:rFonts w:ascii="Times New Roman" w:eastAsia="Times New Roman" w:hAnsi="Times New Roman" w:cs="Times New Roman"/>
          <w:color w:val="000000"/>
          <w:sz w:val="24"/>
          <w:szCs w:val="24"/>
        </w:rPr>
        <w:t>2.3 Target architecture and customer definition</w:t>
      </w:r>
    </w:p>
    <w:p w14:paraId="0E28B50A"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primary target </w:t>
      </w:r>
      <w:proofErr w:type="gramStart"/>
      <w:r>
        <w:rPr>
          <w:rFonts w:ascii="Times New Roman" w:eastAsia="Times New Roman" w:hAnsi="Times New Roman" w:cs="Times New Roman"/>
          <w:color w:val="000000"/>
        </w:rPr>
        <w:t>are</w:t>
      </w:r>
      <w:proofErr w:type="gramEnd"/>
      <w:r>
        <w:rPr>
          <w:rFonts w:ascii="Times New Roman" w:eastAsia="Times New Roman" w:hAnsi="Times New Roman" w:cs="Times New Roman"/>
          <w:color w:val="000000"/>
        </w:rPr>
        <w:t xml:space="preserve"> mobile urban households. This customer is a 25-38 </w:t>
      </w:r>
      <w:proofErr w:type="gramStart"/>
      <w:r>
        <w:rPr>
          <w:rFonts w:ascii="Times New Roman" w:eastAsia="Times New Roman" w:hAnsi="Times New Roman" w:cs="Times New Roman"/>
          <w:color w:val="000000"/>
        </w:rPr>
        <w:t>yr</w:t>
      </w:r>
      <w:proofErr w:type="gramEnd"/>
      <w:r>
        <w:rPr>
          <w:rFonts w:ascii="Times New Roman" w:eastAsia="Times New Roman" w:hAnsi="Times New Roman" w:cs="Times New Roman"/>
          <w:color w:val="000000"/>
        </w:rPr>
        <w:t xml:space="preserve"> old, single or dual member, professional renter residing in a 1- or 2-bedroom property, who or expects to move within 3 years. This customer wants a fully furnished technology enabled home with minimal fuss, is ok with home service, can sustain a monthly payment, but is value conscious. The customer is purchasing a fully furnished home, not furniture. </w:t>
      </w:r>
    </w:p>
    <w:p w14:paraId="4AB5F3BC"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Build-to-rent operators and corporate relocation service providers make up a secondary business-to-business target. By integrating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into their offerings, these operators can decrease the cost to acquire customers and stabilize reverse-logistics flows. </w:t>
      </w:r>
    </w:p>
    <w:p w14:paraId="4154487E"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Long-term homeowners should also not be included in the First Target market, as they will typically be more concerned with the cost, customization, and ownership of the product, which will outlast the typical stay in the home. Segmentation should not be broad to include all potential target customers. IKEA can determine potential customers through postcode, stage of tenancy, recent move, and room planning, but should avoid inferred vulnerability and subscription campaigns.</w:t>
      </w:r>
    </w:p>
    <w:p w14:paraId="596DD167" w14:textId="77777777" w:rsidR="003A53A3" w:rsidRDefault="00000000">
      <w:pPr>
        <w:pStyle w:val="Heading3"/>
        <w:spacing w:line="276" w:lineRule="auto"/>
        <w:jc w:val="both"/>
        <w:rPr>
          <w:rFonts w:ascii="Times New Roman" w:eastAsia="Times New Roman" w:hAnsi="Times New Roman" w:cs="Times New Roman"/>
          <w:color w:val="000000"/>
          <w:sz w:val="24"/>
          <w:szCs w:val="24"/>
        </w:rPr>
      </w:pPr>
      <w:bookmarkStart w:id="5" w:name="_fyoo5de22bxh" w:colFirst="0" w:colLast="0"/>
      <w:bookmarkEnd w:id="5"/>
      <w:r>
        <w:rPr>
          <w:rFonts w:ascii="Times New Roman" w:eastAsia="Times New Roman" w:hAnsi="Times New Roman" w:cs="Times New Roman"/>
          <w:color w:val="000000"/>
          <w:sz w:val="24"/>
          <w:szCs w:val="24"/>
        </w:rPr>
        <w:t>2.4 Differentiation and the intended market position</w:t>
      </w:r>
    </w:p>
    <w:p w14:paraId="65074F22" w14:textId="77777777" w:rsidR="003A53A3" w:rsidRDefault="00000000">
      <w:pPr>
        <w:spacing w:line="276"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should not distinguish itself through a general sustainability claim. Its unique offering is a closed-loop system where the IKEA design is built, delivered, assembled, and reused through a membership offering that supports color and model swaps and the recovery of used material. Competitors in this closed-loop system are IKEA's Buyback and Resell service, as well as new furnishings and secondhand options. Benefits should be managed throughout the use cycle to ensure customer satisfaction and retention (</w:t>
      </w:r>
      <w:proofErr w:type="spellStart"/>
      <w:r>
        <w:rPr>
          <w:rFonts w:ascii="Times New Roman" w:eastAsia="Times New Roman" w:hAnsi="Times New Roman" w:cs="Times New Roman"/>
          <w:color w:val="000000"/>
        </w:rPr>
        <w:t>Petänen</w:t>
      </w:r>
      <w:proofErr w:type="spellEnd"/>
      <w:r>
        <w:rPr>
          <w:rFonts w:ascii="Times New Roman" w:eastAsia="Times New Roman" w:hAnsi="Times New Roman" w:cs="Times New Roman"/>
          <w:color w:val="000000"/>
        </w:rPr>
        <w:t>, Sundqvist and Antikainen, 2024).</w:t>
      </w:r>
    </w:p>
    <w:p w14:paraId="6473A8B6"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IKEA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provides redesigned modules </w:t>
      </w:r>
      <w:proofErr w:type="gramStart"/>
      <w:r>
        <w:rPr>
          <w:rFonts w:ascii="Times New Roman" w:eastAsia="Times New Roman" w:hAnsi="Times New Roman" w:cs="Times New Roman"/>
          <w:color w:val="000000"/>
        </w:rPr>
        <w:t>to</w:t>
      </w:r>
      <w:proofErr w:type="gramEnd"/>
      <w:r>
        <w:rPr>
          <w:rFonts w:ascii="Times New Roman" w:eastAsia="Times New Roman" w:hAnsi="Times New Roman" w:cs="Times New Roman"/>
          <w:color w:val="000000"/>
        </w:rPr>
        <w:t xml:space="preserve"> renters as part of a circular service.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Loop’s positioning statement is for modern urban renters with constantly evolving homes and plans.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offers renters the opportunity to have a complete, flexible home without the burden of permanent ownership. The service includes design, delivery, care, and circulation of the modules.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should occupy between the uncertainty of the low-commitment peer-to-peer resale model and the inflexibility of the new home ownership model. The promise of the service provides renters with flexibility and the assurance of quality, evidentiary circular design and care.</w:t>
      </w:r>
    </w:p>
    <w:p w14:paraId="441C3465" w14:textId="77777777" w:rsidR="003A53A3" w:rsidRDefault="003A53A3">
      <w:pPr>
        <w:spacing w:line="276" w:lineRule="auto"/>
        <w:jc w:val="both"/>
        <w:rPr>
          <w:rFonts w:ascii="Times New Roman" w:eastAsia="Times New Roman" w:hAnsi="Times New Roman" w:cs="Times New Roman"/>
          <w:color w:val="000000"/>
        </w:rPr>
      </w:pPr>
    </w:p>
    <w:p w14:paraId="0912DE36" w14:textId="77777777" w:rsidR="003A53A3" w:rsidRDefault="003A53A3">
      <w:pPr>
        <w:spacing w:line="276" w:lineRule="auto"/>
        <w:jc w:val="both"/>
        <w:rPr>
          <w:rFonts w:ascii="Times New Roman" w:eastAsia="Times New Roman" w:hAnsi="Times New Roman" w:cs="Times New Roman"/>
          <w:color w:val="000000"/>
        </w:rPr>
      </w:pPr>
    </w:p>
    <w:p w14:paraId="33E37717" w14:textId="77777777" w:rsidR="003A53A3" w:rsidRDefault="003A53A3">
      <w:pPr>
        <w:spacing w:line="276" w:lineRule="auto"/>
        <w:jc w:val="both"/>
        <w:rPr>
          <w:rFonts w:ascii="Times New Roman" w:eastAsia="Times New Roman" w:hAnsi="Times New Roman" w:cs="Times New Roman"/>
          <w:color w:val="000000"/>
        </w:rPr>
      </w:pPr>
    </w:p>
    <w:p w14:paraId="385C6D0C" w14:textId="77777777" w:rsidR="003A53A3" w:rsidRDefault="00000000">
      <w:pPr>
        <w:pStyle w:val="Heading2"/>
        <w:spacing w:line="276" w:lineRule="auto"/>
        <w:jc w:val="both"/>
        <w:rPr>
          <w:rFonts w:ascii="Times New Roman" w:eastAsia="Times New Roman" w:hAnsi="Times New Roman" w:cs="Times New Roman"/>
          <w:color w:val="000000"/>
          <w:sz w:val="24"/>
          <w:szCs w:val="24"/>
        </w:rPr>
      </w:pPr>
      <w:bookmarkStart w:id="6" w:name="_jg4oukpbscxn" w:colFirst="0" w:colLast="0"/>
      <w:bookmarkEnd w:id="6"/>
      <w:r>
        <w:rPr>
          <w:rFonts w:ascii="Times New Roman" w:eastAsia="Times New Roman" w:hAnsi="Times New Roman" w:cs="Times New Roman"/>
          <w:color w:val="000000"/>
          <w:sz w:val="24"/>
          <w:szCs w:val="24"/>
        </w:rPr>
        <w:t>Element 3: Lifecycle-Based Marketing Mix (7Ps)</w:t>
      </w:r>
    </w:p>
    <w:p w14:paraId="4CD027F8" w14:textId="77777777" w:rsidR="003A53A3" w:rsidRDefault="00000000">
      <w:pPr>
        <w:spacing w:before="80" w:after="80" w:line="276" w:lineRule="auto"/>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Table 2: 7Ps decision architecture</w:t>
      </w:r>
    </w:p>
    <w:tbl>
      <w:tblPr>
        <w:tblStyle w:val="a0"/>
        <w:tblW w:w="100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00"/>
        <w:gridCol w:w="7305"/>
      </w:tblGrid>
      <w:tr w:rsidR="003A53A3" w14:paraId="043E30BE" w14:textId="77777777">
        <w:trPr>
          <w:tblHeader/>
          <w:jc w:val="center"/>
        </w:trPr>
        <w:tc>
          <w:tcPr>
            <w:tcW w:w="2700" w:type="dxa"/>
            <w:tcMar>
              <w:top w:w="100" w:type="dxa"/>
              <w:bottom w:w="100" w:type="dxa"/>
            </w:tcMar>
            <w:vAlign w:val="center"/>
          </w:tcPr>
          <w:p w14:paraId="689A414A" w14:textId="77777777" w:rsidR="003A53A3" w:rsidRDefault="00000000">
            <w:pPr>
              <w:spacing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Marketing-mix element</w:t>
            </w:r>
          </w:p>
        </w:tc>
        <w:tc>
          <w:tcPr>
            <w:tcW w:w="7305" w:type="dxa"/>
            <w:tcMar>
              <w:top w:w="100" w:type="dxa"/>
              <w:bottom w:w="100" w:type="dxa"/>
            </w:tcMar>
            <w:vAlign w:val="center"/>
          </w:tcPr>
          <w:p w14:paraId="00C798D1" w14:textId="77777777" w:rsidR="003A53A3" w:rsidRDefault="00000000">
            <w:pPr>
              <w:spacing w:line="276"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Core strategic decision</w:t>
            </w:r>
          </w:p>
        </w:tc>
      </w:tr>
      <w:tr w:rsidR="003A53A3" w14:paraId="4F9A0286" w14:textId="77777777">
        <w:trPr>
          <w:jc w:val="center"/>
        </w:trPr>
        <w:tc>
          <w:tcPr>
            <w:tcW w:w="2700" w:type="dxa"/>
            <w:tcMar>
              <w:top w:w="100" w:type="dxa"/>
              <w:bottom w:w="100" w:type="dxa"/>
            </w:tcMar>
            <w:vAlign w:val="center"/>
          </w:tcPr>
          <w:p w14:paraId="60E09FF2"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Product</w:t>
            </w:r>
          </w:p>
        </w:tc>
        <w:tc>
          <w:tcPr>
            <w:tcW w:w="7305" w:type="dxa"/>
            <w:tcMar>
              <w:top w:w="100" w:type="dxa"/>
              <w:bottom w:w="100" w:type="dxa"/>
            </w:tcMar>
            <w:vAlign w:val="center"/>
          </w:tcPr>
          <w:p w14:paraId="2464F1B9"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Modular room plans plus assembly, care, exchange and recovery</w:t>
            </w:r>
          </w:p>
        </w:tc>
      </w:tr>
      <w:tr w:rsidR="003A53A3" w14:paraId="33A9CBF2" w14:textId="77777777">
        <w:trPr>
          <w:jc w:val="center"/>
        </w:trPr>
        <w:tc>
          <w:tcPr>
            <w:tcW w:w="2700" w:type="dxa"/>
            <w:tcMar>
              <w:top w:w="100" w:type="dxa"/>
              <w:bottom w:w="100" w:type="dxa"/>
            </w:tcMar>
            <w:vAlign w:val="center"/>
          </w:tcPr>
          <w:p w14:paraId="625FB0FC"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Price</w:t>
            </w:r>
          </w:p>
        </w:tc>
        <w:tc>
          <w:tcPr>
            <w:tcW w:w="7305" w:type="dxa"/>
            <w:tcMar>
              <w:top w:w="100" w:type="dxa"/>
              <w:bottom w:w="100" w:type="dxa"/>
            </w:tcMar>
            <w:vAlign w:val="center"/>
          </w:tcPr>
          <w:p w14:paraId="0C159961"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Tiered monthly membership with a clear cost cap and buy-out option</w:t>
            </w:r>
          </w:p>
        </w:tc>
      </w:tr>
      <w:tr w:rsidR="003A53A3" w14:paraId="74362C8F" w14:textId="77777777">
        <w:trPr>
          <w:jc w:val="center"/>
        </w:trPr>
        <w:tc>
          <w:tcPr>
            <w:tcW w:w="2700" w:type="dxa"/>
            <w:tcMar>
              <w:top w:w="100" w:type="dxa"/>
              <w:bottom w:w="100" w:type="dxa"/>
            </w:tcMar>
            <w:vAlign w:val="center"/>
          </w:tcPr>
          <w:p w14:paraId="1401D51D"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Place</w:t>
            </w:r>
          </w:p>
        </w:tc>
        <w:tc>
          <w:tcPr>
            <w:tcW w:w="7305" w:type="dxa"/>
            <w:tcMar>
              <w:top w:w="100" w:type="dxa"/>
              <w:bottom w:w="100" w:type="dxa"/>
            </w:tcMar>
            <w:vAlign w:val="center"/>
          </w:tcPr>
          <w:p w14:paraId="255976FA"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Digital-first booking supported by selected stores and city hubs</w:t>
            </w:r>
          </w:p>
        </w:tc>
      </w:tr>
      <w:tr w:rsidR="003A53A3" w14:paraId="74A826F6" w14:textId="77777777">
        <w:trPr>
          <w:jc w:val="center"/>
        </w:trPr>
        <w:tc>
          <w:tcPr>
            <w:tcW w:w="2700" w:type="dxa"/>
            <w:tcMar>
              <w:top w:w="100" w:type="dxa"/>
              <w:bottom w:w="100" w:type="dxa"/>
            </w:tcMar>
            <w:vAlign w:val="center"/>
          </w:tcPr>
          <w:p w14:paraId="5D585EB0"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Promotion</w:t>
            </w:r>
          </w:p>
        </w:tc>
        <w:tc>
          <w:tcPr>
            <w:tcW w:w="7305" w:type="dxa"/>
            <w:tcMar>
              <w:top w:w="100" w:type="dxa"/>
              <w:bottom w:w="100" w:type="dxa"/>
            </w:tcMar>
            <w:vAlign w:val="center"/>
          </w:tcPr>
          <w:p w14:paraId="22355FC7"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Life-transition stories supported by verified circular evidence</w:t>
            </w:r>
          </w:p>
        </w:tc>
      </w:tr>
      <w:tr w:rsidR="003A53A3" w14:paraId="0BD3711D" w14:textId="77777777">
        <w:trPr>
          <w:jc w:val="center"/>
        </w:trPr>
        <w:tc>
          <w:tcPr>
            <w:tcW w:w="2700" w:type="dxa"/>
            <w:tcMar>
              <w:top w:w="100" w:type="dxa"/>
              <w:bottom w:w="100" w:type="dxa"/>
            </w:tcMar>
            <w:vAlign w:val="center"/>
          </w:tcPr>
          <w:p w14:paraId="71EBAB1E"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People</w:t>
            </w:r>
          </w:p>
        </w:tc>
        <w:tc>
          <w:tcPr>
            <w:tcW w:w="7305" w:type="dxa"/>
            <w:tcMar>
              <w:top w:w="100" w:type="dxa"/>
              <w:bottom w:w="100" w:type="dxa"/>
            </w:tcMar>
            <w:vAlign w:val="center"/>
          </w:tcPr>
          <w:p w14:paraId="7910928F"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Home-planning advisers, installers, repairers and service agents</w:t>
            </w:r>
          </w:p>
        </w:tc>
      </w:tr>
      <w:tr w:rsidR="003A53A3" w14:paraId="5B930331" w14:textId="77777777">
        <w:trPr>
          <w:jc w:val="center"/>
        </w:trPr>
        <w:tc>
          <w:tcPr>
            <w:tcW w:w="2700" w:type="dxa"/>
            <w:tcMar>
              <w:top w:w="100" w:type="dxa"/>
              <w:bottom w:w="100" w:type="dxa"/>
            </w:tcMar>
            <w:vAlign w:val="center"/>
          </w:tcPr>
          <w:p w14:paraId="49A70E12"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Process</w:t>
            </w:r>
          </w:p>
        </w:tc>
        <w:tc>
          <w:tcPr>
            <w:tcW w:w="7305" w:type="dxa"/>
            <w:tcMar>
              <w:top w:w="100" w:type="dxa"/>
              <w:bottom w:w="100" w:type="dxa"/>
            </w:tcMar>
            <w:vAlign w:val="center"/>
          </w:tcPr>
          <w:p w14:paraId="28D3ACA5"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Choose, deliver, use, swap, renew and recirculate</w:t>
            </w:r>
          </w:p>
        </w:tc>
      </w:tr>
      <w:tr w:rsidR="003A53A3" w14:paraId="3C242871" w14:textId="77777777">
        <w:trPr>
          <w:jc w:val="center"/>
        </w:trPr>
        <w:tc>
          <w:tcPr>
            <w:tcW w:w="2700" w:type="dxa"/>
            <w:tcMar>
              <w:top w:w="100" w:type="dxa"/>
              <w:bottom w:w="100" w:type="dxa"/>
            </w:tcMar>
            <w:vAlign w:val="center"/>
          </w:tcPr>
          <w:p w14:paraId="31EE530E"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Physical evidence</w:t>
            </w:r>
          </w:p>
        </w:tc>
        <w:tc>
          <w:tcPr>
            <w:tcW w:w="7305" w:type="dxa"/>
            <w:tcMar>
              <w:top w:w="100" w:type="dxa"/>
              <w:bottom w:w="100" w:type="dxa"/>
            </w:tcMar>
            <w:vAlign w:val="center"/>
          </w:tcPr>
          <w:p w14:paraId="1EF51B47" w14:textId="77777777" w:rsidR="003A53A3" w:rsidRDefault="00000000">
            <w:pPr>
              <w:spacing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Condition grading, care seal, product passport and impact record</w:t>
            </w:r>
          </w:p>
        </w:tc>
      </w:tr>
    </w:tbl>
    <w:p w14:paraId="523052FD" w14:textId="77777777" w:rsidR="003A53A3" w:rsidRDefault="00000000">
      <w:pPr>
        <w:spacing w:before="80" w:after="80" w:line="276"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Source: Self Made.</w:t>
      </w:r>
    </w:p>
    <w:p w14:paraId="22EC88E2" w14:textId="77777777" w:rsidR="003A53A3" w:rsidRDefault="00000000">
      <w:pPr>
        <w:pStyle w:val="Heading3"/>
        <w:spacing w:line="276" w:lineRule="auto"/>
        <w:jc w:val="both"/>
        <w:rPr>
          <w:rFonts w:ascii="Times New Roman" w:eastAsia="Times New Roman" w:hAnsi="Times New Roman" w:cs="Times New Roman"/>
          <w:color w:val="000000"/>
          <w:sz w:val="24"/>
          <w:szCs w:val="24"/>
        </w:rPr>
      </w:pPr>
      <w:bookmarkStart w:id="7" w:name="_p8ljyvbaj2tn" w:colFirst="0" w:colLast="0"/>
      <w:bookmarkEnd w:id="7"/>
      <w:r>
        <w:rPr>
          <w:rFonts w:ascii="Times New Roman" w:eastAsia="Times New Roman" w:hAnsi="Times New Roman" w:cs="Times New Roman"/>
          <w:color w:val="000000"/>
          <w:sz w:val="24"/>
          <w:szCs w:val="24"/>
        </w:rPr>
        <w:t>3.1 Constructing the offer: Product and Price</w:t>
      </w:r>
    </w:p>
    <w:p w14:paraId="674BF8D3"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Product.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should be designed as a </w:t>
      </w:r>
      <w:proofErr w:type="gramStart"/>
      <w:r>
        <w:rPr>
          <w:rFonts w:ascii="Times New Roman" w:eastAsia="Times New Roman" w:hAnsi="Times New Roman" w:cs="Times New Roman"/>
          <w:color w:val="000000"/>
        </w:rPr>
        <w:t>product-service</w:t>
      </w:r>
      <w:proofErr w:type="gramEnd"/>
      <w:r>
        <w:rPr>
          <w:rFonts w:ascii="Times New Roman" w:eastAsia="Times New Roman" w:hAnsi="Times New Roman" w:cs="Times New Roman"/>
          <w:color w:val="000000"/>
        </w:rPr>
        <w:t xml:space="preserve"> system instead of a catalog of rented items. The main benefit is the flexibility of a customized, hassle-free adaptable home. The main offer involves modular packages for sleep, work, </w:t>
      </w:r>
      <w:proofErr w:type="gramStart"/>
      <w:r>
        <w:rPr>
          <w:rFonts w:ascii="Times New Roman" w:eastAsia="Times New Roman" w:hAnsi="Times New Roman" w:cs="Times New Roman"/>
          <w:color w:val="000000"/>
        </w:rPr>
        <w:t>dine</w:t>
      </w:r>
      <w:proofErr w:type="gramEnd"/>
      <w:r>
        <w:rPr>
          <w:rFonts w:ascii="Times New Roman" w:eastAsia="Times New Roman" w:hAnsi="Times New Roman" w:cs="Times New Roman"/>
          <w:color w:val="000000"/>
        </w:rPr>
        <w:t>, and storage, which can be integrated and further enhanced by digital planning, delivery, assembly, repairs, one planned annual swap, and collection. Pei, et al. (2024) showed that circular innovation of furniture integrates materials, products, services, and business models. It is important to note that the pilot should not include any products that cannot be easily cleaned and/or products that cannot endure multiple use cycles. Offering a broad range of products, as done by IKEA, is less optimal than offering a medium range of quality products.</w:t>
      </w:r>
    </w:p>
    <w:p w14:paraId="6895B5BB"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Price. </w:t>
      </w:r>
      <w:r>
        <w:rPr>
          <w:rFonts w:ascii="Times New Roman" w:eastAsia="Times New Roman" w:hAnsi="Times New Roman" w:cs="Times New Roman"/>
          <w:color w:val="000000"/>
        </w:rPr>
        <w:t>A flexible membership could create a consistent household expense. A proposed band for estimating price is GBP 35-45 for a single-module room and GBP 90-120 for a multiple-module room, subject to proof-of-concept testing and willingness-to-pay. A six-month minimum contract protects economics of the deal, while the perceived lock-in is reduced by a transparent, damage waiver, and optional buy out (Hidalgo-Crespo and Riel, 2025). This pricing strategy would require a low entry cost to own new IKEA furniture to be competitive against lower, second-hand alternatives. Research indicates that price, performance, and quality will continue to influence sustainable purchase decisions (</w:t>
      </w:r>
      <w:proofErr w:type="spellStart"/>
      <w:r>
        <w:rPr>
          <w:rFonts w:ascii="Times New Roman" w:eastAsia="Times New Roman" w:hAnsi="Times New Roman" w:cs="Times New Roman"/>
          <w:color w:val="000000"/>
        </w:rPr>
        <w:t>Vehmas</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Bocken</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Tuovila</w:t>
      </w:r>
      <w:proofErr w:type="spellEnd"/>
      <w:r>
        <w:rPr>
          <w:rFonts w:ascii="Times New Roman" w:eastAsia="Times New Roman" w:hAnsi="Times New Roman" w:cs="Times New Roman"/>
          <w:color w:val="000000"/>
        </w:rPr>
        <w:t>).</w:t>
      </w:r>
    </w:p>
    <w:p w14:paraId="5269A32B" w14:textId="77777777" w:rsidR="003A53A3" w:rsidRDefault="00000000">
      <w:pPr>
        <w:pStyle w:val="Heading3"/>
        <w:spacing w:line="276" w:lineRule="auto"/>
        <w:jc w:val="both"/>
        <w:rPr>
          <w:rFonts w:ascii="Times New Roman" w:eastAsia="Times New Roman" w:hAnsi="Times New Roman" w:cs="Times New Roman"/>
          <w:color w:val="000000"/>
          <w:sz w:val="24"/>
          <w:szCs w:val="24"/>
        </w:rPr>
      </w:pPr>
      <w:bookmarkStart w:id="8" w:name="_s3gfngsf6e1u" w:colFirst="0" w:colLast="0"/>
      <w:bookmarkEnd w:id="8"/>
      <w:r>
        <w:rPr>
          <w:rFonts w:ascii="Times New Roman" w:eastAsia="Times New Roman" w:hAnsi="Times New Roman" w:cs="Times New Roman"/>
          <w:color w:val="000000"/>
          <w:sz w:val="24"/>
          <w:szCs w:val="24"/>
        </w:rPr>
        <w:t>3.2 Reaching the market: Place and Promotion</w:t>
      </w:r>
    </w:p>
    <w:p w14:paraId="39A59977"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Place. </w:t>
      </w:r>
      <w:r>
        <w:rPr>
          <w:rFonts w:ascii="Times New Roman" w:eastAsia="Times New Roman" w:hAnsi="Times New Roman" w:cs="Times New Roman"/>
          <w:color w:val="000000"/>
        </w:rPr>
        <w:t xml:space="preserve">Purchase preference should be digital and should include entering postal code and room </w:t>
      </w:r>
      <w:proofErr w:type="gramStart"/>
      <w:r>
        <w:rPr>
          <w:rFonts w:ascii="Times New Roman" w:eastAsia="Times New Roman" w:hAnsi="Times New Roman" w:cs="Times New Roman"/>
          <w:color w:val="000000"/>
        </w:rPr>
        <w:t>dimensions, and</w:t>
      </w:r>
      <w:proofErr w:type="gramEnd"/>
      <w:r>
        <w:rPr>
          <w:rFonts w:ascii="Times New Roman" w:eastAsia="Times New Roman" w:hAnsi="Times New Roman" w:cs="Times New Roman"/>
          <w:color w:val="000000"/>
        </w:rPr>
        <w:t xml:space="preserve"> selecting style and expected duration. IKEA should also connect its website and the IKEA app to selected stores in which customers can touch available and new and “refurbished grade” materials, “see a planner”, and view available materials. The first fulfillment should be in densely populated urban centers with locally operated “refurbishment hubs”, as uncontrolled fulfillment to the rest of the country will lead to increased empty vehicle kilometers and unpredictable service. IKEA has useful learning experiences with its Buyback and Resell programs; however, Flex Home Loop will offer customers the ability to retain ownership (as opposed to a single sale) and reverse logistics (IKEA UK, 2024). Building partnerships with relocation services and build-to-rent services </w:t>
      </w:r>
      <w:r>
        <w:rPr>
          <w:rFonts w:ascii="Times New Roman" w:eastAsia="Times New Roman" w:hAnsi="Times New Roman" w:cs="Times New Roman"/>
          <w:color w:val="000000"/>
        </w:rPr>
        <w:lastRenderedPageBreak/>
        <w:t>should help IKEA cover more of its desired customer base without providing services that would only be beneficial to “institutional” or corporate customers.</w:t>
      </w:r>
    </w:p>
    <w:p w14:paraId="20FD32D7"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Promotion. </w:t>
      </w:r>
      <w:r>
        <w:rPr>
          <w:rFonts w:ascii="Times New Roman" w:eastAsia="Times New Roman" w:hAnsi="Times New Roman" w:cs="Times New Roman"/>
          <w:color w:val="000000"/>
        </w:rPr>
        <w:t xml:space="preserve">Communication should emphasize the situation, not how the circular system operates. The main message should be, “Your home can change when life does.” The first flat should show how the modules can be cleaned, repaired, and used again. The five-stage loop should be the main promotional tool in the campaign. Communication should clearly state what the promotion includes, how </w:t>
      </w:r>
      <w:proofErr w:type="gramStart"/>
      <w:r>
        <w:rPr>
          <w:rFonts w:ascii="Times New Roman" w:eastAsia="Times New Roman" w:hAnsi="Times New Roman" w:cs="Times New Roman"/>
          <w:color w:val="000000"/>
        </w:rPr>
        <w:t>condition is</w:t>
      </w:r>
      <w:proofErr w:type="gramEnd"/>
      <w:r>
        <w:rPr>
          <w:rFonts w:ascii="Times New Roman" w:eastAsia="Times New Roman" w:hAnsi="Times New Roman" w:cs="Times New Roman"/>
          <w:color w:val="000000"/>
        </w:rPr>
        <w:t xml:space="preserve"> evaluated, and when customers will be charged. Sustainability claims should be supported by estimates of completed product cycles, the percentage of repairs that are made, the percentage of new materials that are eliminated, and reduced logistics CO2 emissions. This helps to avoid greenwashing (de Freitas Netto et al., 2020) </w:t>
      </w:r>
      <w:proofErr w:type="gramStart"/>
      <w:r>
        <w:rPr>
          <w:rFonts w:ascii="Times New Roman" w:eastAsia="Times New Roman" w:hAnsi="Times New Roman" w:cs="Times New Roman"/>
          <w:color w:val="000000"/>
        </w:rPr>
        <w:t>and also</w:t>
      </w:r>
      <w:proofErr w:type="gramEnd"/>
      <w:r>
        <w:rPr>
          <w:rFonts w:ascii="Times New Roman" w:eastAsia="Times New Roman" w:hAnsi="Times New Roman" w:cs="Times New Roman"/>
          <w:color w:val="000000"/>
        </w:rPr>
        <w:t xml:space="preserve"> is in line with IKEA’s 2030 goal of simplifying reuse, repair, refurbishment, and recycling through circular services (IKEA, 2025). Referral credit should be distributed for completed service periods and successful returns rather than for frequent swaps.</w:t>
      </w:r>
    </w:p>
    <w:p w14:paraId="2C9415F5" w14:textId="77777777" w:rsidR="003A53A3" w:rsidRDefault="00000000">
      <w:pPr>
        <w:pStyle w:val="Heading3"/>
        <w:spacing w:line="276" w:lineRule="auto"/>
        <w:jc w:val="both"/>
        <w:rPr>
          <w:rFonts w:ascii="Times New Roman" w:eastAsia="Times New Roman" w:hAnsi="Times New Roman" w:cs="Times New Roman"/>
          <w:color w:val="000000"/>
          <w:sz w:val="24"/>
          <w:szCs w:val="24"/>
        </w:rPr>
      </w:pPr>
      <w:bookmarkStart w:id="9" w:name="_l1uki5t23f53" w:colFirst="0" w:colLast="0"/>
      <w:bookmarkEnd w:id="9"/>
      <w:r>
        <w:rPr>
          <w:rFonts w:ascii="Times New Roman" w:eastAsia="Times New Roman" w:hAnsi="Times New Roman" w:cs="Times New Roman"/>
          <w:color w:val="000000"/>
          <w:sz w:val="24"/>
          <w:szCs w:val="24"/>
        </w:rPr>
        <w:t>3.3 Delivering trust: People, Process and Physical Evidence</w:t>
      </w:r>
    </w:p>
    <w:p w14:paraId="481B2627"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People. </w:t>
      </w:r>
      <w:r>
        <w:rPr>
          <w:rFonts w:ascii="Times New Roman" w:eastAsia="Times New Roman" w:hAnsi="Times New Roman" w:cs="Times New Roman"/>
          <w:color w:val="000000"/>
        </w:rPr>
        <w:t xml:space="preserve">Employees in the service (customer) path are critical to the brand’s value proposition. They enter homes, touch and even handle goods (sometimes), and resolve damages fairly. These employees must understand space design and imagination in the affordability context. The service must capture the installer's condition with care as well as afford the repair and refurbishment service </w:t>
      </w:r>
      <w:proofErr w:type="gramStart"/>
      <w:r>
        <w:rPr>
          <w:rFonts w:ascii="Times New Roman" w:eastAsia="Times New Roman" w:hAnsi="Times New Roman" w:cs="Times New Roman"/>
          <w:color w:val="000000"/>
        </w:rPr>
        <w:t>teams</w:t>
      </w:r>
      <w:proofErr w:type="gramEnd"/>
      <w:r>
        <w:rPr>
          <w:rFonts w:ascii="Times New Roman" w:eastAsia="Times New Roman" w:hAnsi="Times New Roman" w:cs="Times New Roman"/>
          <w:color w:val="000000"/>
        </w:rPr>
        <w:t xml:space="preserve"> authority to make </w:t>
      </w:r>
      <w:proofErr w:type="spellStart"/>
      <w:r>
        <w:rPr>
          <w:rFonts w:ascii="Times New Roman" w:eastAsia="Times New Roman" w:hAnsi="Times New Roman" w:cs="Times New Roman"/>
          <w:color w:val="000000"/>
        </w:rPr>
        <w:t>trade offs</w:t>
      </w:r>
      <w:proofErr w:type="spellEnd"/>
      <w:r>
        <w:rPr>
          <w:rFonts w:ascii="Times New Roman" w:eastAsia="Times New Roman" w:hAnsi="Times New Roman" w:cs="Times New Roman"/>
          <w:color w:val="000000"/>
        </w:rPr>
        <w:t xml:space="preserve"> that protect customer safety and Cosmetic Quality. First contact resolution along with timeliness and understanding of customer challenges must be the priority of contact center incentives rather than focus on customer retention at any cost. Wirtz and Lovelock (2021) argue that perceived value is strongly shaped by the consistency of service and capability of the employees. </w:t>
      </w:r>
      <w:proofErr w:type="gramStart"/>
      <w:r>
        <w:rPr>
          <w:rFonts w:ascii="Times New Roman" w:eastAsia="Times New Roman" w:hAnsi="Times New Roman" w:cs="Times New Roman"/>
          <w:color w:val="000000"/>
        </w:rPr>
        <w:t>Therefore</w:t>
      </w:r>
      <w:proofErr w:type="gramEnd"/>
      <w:r>
        <w:rPr>
          <w:rFonts w:ascii="Times New Roman" w:eastAsia="Times New Roman" w:hAnsi="Times New Roman" w:cs="Times New Roman"/>
          <w:color w:val="000000"/>
        </w:rPr>
        <w:t xml:space="preserve"> partnering couriers should get the same service, safety, and service recovery training as IKEA employees.</w:t>
      </w:r>
    </w:p>
    <w:p w14:paraId="54939151"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Process. </w:t>
      </w:r>
      <w:r>
        <w:rPr>
          <w:rFonts w:ascii="Times New Roman" w:eastAsia="Times New Roman" w:hAnsi="Times New Roman" w:cs="Times New Roman"/>
          <w:color w:val="000000"/>
        </w:rPr>
        <w:t xml:space="preserve">The service borderline crosses the visible stages of choose, deliver, use, swap, renew and recirculate. Digital room verification to eliminate incompatible orders is performed prior to delivering the item. At handover, both parties approve a condition record and care instructions. Repair requests should only be made through the app. Additionally, the app should be used to determine the customer's worst case </w:t>
      </w:r>
      <w:proofErr w:type="gramStart"/>
      <w:r>
        <w:rPr>
          <w:rFonts w:ascii="Times New Roman" w:eastAsia="Times New Roman" w:hAnsi="Times New Roman" w:cs="Times New Roman"/>
          <w:color w:val="000000"/>
        </w:rPr>
        <w:t>scenario, but</w:t>
      </w:r>
      <w:proofErr w:type="gramEnd"/>
      <w:r>
        <w:rPr>
          <w:rFonts w:ascii="Times New Roman" w:eastAsia="Times New Roman" w:hAnsi="Times New Roman" w:cs="Times New Roman"/>
          <w:color w:val="000000"/>
        </w:rPr>
        <w:t xml:space="preserve"> should be used as an aid to reduce customer effort. At return, collected items are cleaned, safety checked and repaired with the goal of being assigned the next order. </w:t>
      </w:r>
      <w:proofErr w:type="gramStart"/>
      <w:r>
        <w:rPr>
          <w:rFonts w:ascii="Times New Roman" w:eastAsia="Times New Roman" w:hAnsi="Times New Roman" w:cs="Times New Roman"/>
          <w:color w:val="000000"/>
        </w:rPr>
        <w:t>Clear</w:t>
      </w:r>
      <w:proofErr w:type="gramEnd"/>
      <w:r>
        <w:rPr>
          <w:rFonts w:ascii="Times New Roman" w:eastAsia="Times New Roman" w:hAnsi="Times New Roman" w:cs="Times New Roman"/>
          <w:color w:val="000000"/>
        </w:rPr>
        <w:t xml:space="preserve"> defined rules should exist for exceptions such as damage, late access, and unrepairable goods. Digitalized service access can increase convenience, but the reliance on a service through an app creates a failure risk; store, and telephone access options must remain (</w:t>
      </w:r>
      <w:proofErr w:type="spellStart"/>
      <w:r>
        <w:rPr>
          <w:rFonts w:ascii="Times New Roman" w:eastAsia="Times New Roman" w:hAnsi="Times New Roman" w:cs="Times New Roman"/>
          <w:color w:val="000000"/>
        </w:rPr>
        <w:t>Tunn</w:t>
      </w:r>
      <w:proofErr w:type="spellEnd"/>
      <w:r>
        <w:rPr>
          <w:rFonts w:ascii="Times New Roman" w:eastAsia="Times New Roman" w:hAnsi="Times New Roman" w:cs="Times New Roman"/>
          <w:color w:val="000000"/>
        </w:rPr>
        <w:t xml:space="preserve"> et al., 2020).</w:t>
      </w:r>
    </w:p>
    <w:p w14:paraId="3C3AA086"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 xml:space="preserve">Physical evidence. </w:t>
      </w:r>
      <w:r>
        <w:rPr>
          <w:rFonts w:ascii="Times New Roman" w:eastAsia="Times New Roman" w:hAnsi="Times New Roman" w:cs="Times New Roman"/>
          <w:color w:val="000000"/>
        </w:rPr>
        <w:t xml:space="preserve">Customers cannot determine cleanliness or circularity </w:t>
      </w:r>
      <w:proofErr w:type="gramStart"/>
      <w:r>
        <w:rPr>
          <w:rFonts w:ascii="Times New Roman" w:eastAsia="Times New Roman" w:hAnsi="Times New Roman" w:cs="Times New Roman"/>
          <w:color w:val="000000"/>
        </w:rPr>
        <w:t>as a result of</w:t>
      </w:r>
      <w:proofErr w:type="gramEnd"/>
      <w:r>
        <w:rPr>
          <w:rFonts w:ascii="Times New Roman" w:eastAsia="Times New Roman" w:hAnsi="Times New Roman" w:cs="Times New Roman"/>
          <w:color w:val="000000"/>
        </w:rPr>
        <w:t xml:space="preserve"> a promise. Therefore, each product should be marked with the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Care Seal, condition grade, and include a QR-linked product passport to show the material composition, date of inspection, repairs, and cycle number. After installation, customers should fill out a room summary to show the number of components in the package and the cost and service associated with each component. The service contract makes most of the elements of a service contract tangible and helps address the concerns of contamination, quality, and uncertainty identified in circular furniture (</w:t>
      </w:r>
      <w:proofErr w:type="spellStart"/>
      <w:r>
        <w:rPr>
          <w:rFonts w:ascii="Times New Roman" w:eastAsia="Times New Roman" w:hAnsi="Times New Roman" w:cs="Times New Roman"/>
          <w:color w:val="000000"/>
        </w:rPr>
        <w:t>Hagejärd</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Femenías</w:t>
      </w:r>
      <w:proofErr w:type="spellEnd"/>
      <w:r>
        <w:rPr>
          <w:rFonts w:ascii="Times New Roman" w:eastAsia="Times New Roman" w:hAnsi="Times New Roman" w:cs="Times New Roman"/>
          <w:color w:val="000000"/>
        </w:rPr>
        <w:t xml:space="preserve"> and Pettersen, 2025).</w:t>
      </w:r>
    </w:p>
    <w:p w14:paraId="302D1530" w14:textId="77777777" w:rsidR="003A53A3" w:rsidRDefault="00000000">
      <w:pPr>
        <w:pStyle w:val="Heading3"/>
        <w:spacing w:line="276" w:lineRule="auto"/>
        <w:jc w:val="both"/>
        <w:rPr>
          <w:rFonts w:ascii="Times New Roman" w:eastAsia="Times New Roman" w:hAnsi="Times New Roman" w:cs="Times New Roman"/>
          <w:color w:val="000000"/>
          <w:sz w:val="24"/>
          <w:szCs w:val="24"/>
        </w:rPr>
      </w:pPr>
      <w:bookmarkStart w:id="10" w:name="_z8fw1ux72wyb" w:colFirst="0" w:colLast="0"/>
      <w:bookmarkEnd w:id="10"/>
      <w:r>
        <w:rPr>
          <w:rFonts w:ascii="Times New Roman" w:eastAsia="Times New Roman" w:hAnsi="Times New Roman" w:cs="Times New Roman"/>
          <w:color w:val="000000"/>
          <w:sz w:val="24"/>
          <w:szCs w:val="24"/>
        </w:rPr>
        <w:lastRenderedPageBreak/>
        <w:t>3.4 Integration, control and sustainability tests</w:t>
      </w:r>
    </w:p>
    <w:p w14:paraId="4C92AA7A"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7Ps are only coherent if products remain in use, thus reducing customer effort. Management should look at the enquiry to membership conversion, the average number of cycles per item, utilization, repair yield, on-time delivery, failed collections, complaint resolution, churn and contribution margin by package. An environmental evaluation should cover the manufacturing avoided, refurbishment inputs, cleaning, storage and transport. Koide, Murakami and </w:t>
      </w:r>
      <w:proofErr w:type="spellStart"/>
      <w:r>
        <w:rPr>
          <w:rFonts w:ascii="Times New Roman" w:eastAsia="Times New Roman" w:hAnsi="Times New Roman" w:cs="Times New Roman"/>
          <w:color w:val="000000"/>
        </w:rPr>
        <w:t>Nansai</w:t>
      </w:r>
      <w:proofErr w:type="spellEnd"/>
      <w:r>
        <w:rPr>
          <w:rFonts w:ascii="Times New Roman" w:eastAsia="Times New Roman" w:hAnsi="Times New Roman" w:cs="Times New Roman"/>
          <w:color w:val="000000"/>
        </w:rPr>
        <w:t xml:space="preserve"> (2022) warn that </w:t>
      </w:r>
      <w:proofErr w:type="spellStart"/>
      <w:r>
        <w:rPr>
          <w:rFonts w:ascii="Times New Roman" w:eastAsia="Times New Roman" w:hAnsi="Times New Roman" w:cs="Times New Roman"/>
          <w:color w:val="000000"/>
        </w:rPr>
        <w:t>servitization</w:t>
      </w:r>
      <w:proofErr w:type="spellEnd"/>
      <w:r>
        <w:rPr>
          <w:rFonts w:ascii="Times New Roman" w:eastAsia="Times New Roman" w:hAnsi="Times New Roman" w:cs="Times New Roman"/>
          <w:color w:val="000000"/>
        </w:rPr>
        <w:t xml:space="preserve"> and reuse of products have the potential to damage the growth of a service, if poorly integrated with the logistics, substitution, and utilization control. A staged pilot should thus compare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members with similar ownership behavior and publish qualified results. Growth would satisfy the objective, but if genuine incremental service innovation does not occur, it will make the company’s brand suffer.</w:t>
      </w:r>
    </w:p>
    <w:p w14:paraId="31A2F492" w14:textId="77777777" w:rsidR="003A53A3" w:rsidRDefault="00000000">
      <w:pPr>
        <w:pStyle w:val="Heading2"/>
        <w:spacing w:line="276" w:lineRule="auto"/>
        <w:jc w:val="both"/>
        <w:rPr>
          <w:rFonts w:ascii="Times New Roman" w:eastAsia="Times New Roman" w:hAnsi="Times New Roman" w:cs="Times New Roman"/>
          <w:color w:val="000000"/>
          <w:sz w:val="24"/>
          <w:szCs w:val="24"/>
        </w:rPr>
      </w:pPr>
      <w:bookmarkStart w:id="11" w:name="_tvttfgdytofw" w:colFirst="0" w:colLast="0"/>
      <w:bookmarkEnd w:id="11"/>
      <w:r>
        <w:rPr>
          <w:rFonts w:ascii="Times New Roman" w:eastAsia="Times New Roman" w:hAnsi="Times New Roman" w:cs="Times New Roman"/>
          <w:color w:val="000000"/>
          <w:sz w:val="24"/>
          <w:szCs w:val="24"/>
        </w:rPr>
        <w:t>Element 4: Three-Stage Critical Reflection</w:t>
      </w:r>
    </w:p>
    <w:p w14:paraId="538D4E3E" w14:textId="77777777" w:rsidR="003A53A3" w:rsidRDefault="00000000">
      <w:pPr>
        <w:pStyle w:val="Heading3"/>
        <w:spacing w:line="276" w:lineRule="auto"/>
        <w:jc w:val="both"/>
        <w:rPr>
          <w:rFonts w:ascii="Times New Roman" w:eastAsia="Times New Roman" w:hAnsi="Times New Roman" w:cs="Times New Roman"/>
          <w:color w:val="000000"/>
          <w:sz w:val="24"/>
          <w:szCs w:val="24"/>
        </w:rPr>
      </w:pPr>
      <w:bookmarkStart w:id="12" w:name="_dde1vztqtzdc" w:colFirst="0" w:colLast="0"/>
      <w:bookmarkEnd w:id="12"/>
      <w:r>
        <w:rPr>
          <w:rFonts w:ascii="Times New Roman" w:eastAsia="Times New Roman" w:hAnsi="Times New Roman" w:cs="Times New Roman"/>
          <w:color w:val="000000"/>
          <w:sz w:val="24"/>
          <w:szCs w:val="24"/>
        </w:rPr>
        <w:t>4.1 What I developed and experienced</w:t>
      </w:r>
    </w:p>
    <w:p w14:paraId="6EFF8C1E"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Creating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allowed me to bring circular furniture from concept to customer system. Building on this initial concept, the environmental benefit of making the </w:t>
      </w:r>
      <w:proofErr w:type="spellStart"/>
      <w:r>
        <w:rPr>
          <w:rFonts w:ascii="Times New Roman" w:eastAsia="Times New Roman" w:hAnsi="Times New Roman" w:cs="Times New Roman"/>
          <w:color w:val="000000"/>
        </w:rPr>
        <w:t>FlexHome</w:t>
      </w:r>
      <w:proofErr w:type="spellEnd"/>
      <w:r>
        <w:rPr>
          <w:rFonts w:ascii="Times New Roman" w:eastAsia="Times New Roman" w:hAnsi="Times New Roman" w:cs="Times New Roman"/>
          <w:color w:val="000000"/>
        </w:rPr>
        <w:t xml:space="preserve"> Loop system enabled me to attract customers through the benefit of continuous circular usage of the products. This was the </w:t>
      </w:r>
      <w:proofErr w:type="gramStart"/>
      <w:r>
        <w:rPr>
          <w:rFonts w:ascii="Times New Roman" w:eastAsia="Times New Roman" w:hAnsi="Times New Roman" w:cs="Times New Roman"/>
          <w:color w:val="000000"/>
        </w:rPr>
        <w:t>main focus</w:t>
      </w:r>
      <w:proofErr w:type="gramEnd"/>
      <w:r>
        <w:rPr>
          <w:rFonts w:ascii="Times New Roman" w:eastAsia="Times New Roman" w:hAnsi="Times New Roman" w:cs="Times New Roman"/>
          <w:color w:val="000000"/>
        </w:rPr>
        <w:t xml:space="preserve"> of this system. I learnt the hard way that this was not the case, and I was forced to think from the customer’s viewpoint. This brought about my ‘choose, use, swap, renew and reuse’ system for the most part, and the system and ‘Furniture that moves with life’ to describe the problem that life has with the current circulation system of furniture. The process of preparing the poster required me to understand and synthesize complex research to pull apart the system and present the done rather than the dreamed system in a clear and engaging way.</w:t>
      </w:r>
    </w:p>
    <w:p w14:paraId="5CAF54CE" w14:textId="77777777" w:rsidR="003A53A3" w:rsidRDefault="00000000">
      <w:pPr>
        <w:pStyle w:val="Heading3"/>
        <w:spacing w:line="276" w:lineRule="auto"/>
        <w:jc w:val="both"/>
        <w:rPr>
          <w:rFonts w:ascii="Times New Roman" w:eastAsia="Times New Roman" w:hAnsi="Times New Roman" w:cs="Times New Roman"/>
          <w:color w:val="000000"/>
          <w:sz w:val="24"/>
          <w:szCs w:val="24"/>
        </w:rPr>
      </w:pPr>
      <w:bookmarkStart w:id="13" w:name="_hphrbu90yokp" w:colFirst="0" w:colLast="0"/>
      <w:bookmarkEnd w:id="13"/>
      <w:r>
        <w:rPr>
          <w:rFonts w:ascii="Times New Roman" w:eastAsia="Times New Roman" w:hAnsi="Times New Roman" w:cs="Times New Roman"/>
          <w:color w:val="000000"/>
          <w:sz w:val="24"/>
          <w:szCs w:val="24"/>
        </w:rPr>
        <w:t>4.2 Why the learning mattered</w:t>
      </w:r>
    </w:p>
    <w:p w14:paraId="4D55510E"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important shift in my thinking was </w:t>
      </w:r>
      <w:proofErr w:type="gramStart"/>
      <w:r>
        <w:rPr>
          <w:rFonts w:ascii="Times New Roman" w:eastAsia="Times New Roman" w:hAnsi="Times New Roman" w:cs="Times New Roman"/>
          <w:color w:val="000000"/>
        </w:rPr>
        <w:t>in the area of</w:t>
      </w:r>
      <w:proofErr w:type="gramEnd"/>
      <w:r>
        <w:rPr>
          <w:rFonts w:ascii="Times New Roman" w:eastAsia="Times New Roman" w:hAnsi="Times New Roman" w:cs="Times New Roman"/>
          <w:color w:val="000000"/>
        </w:rPr>
        <w:t xml:space="preserve"> segmentation. At the start, I was thinking of young, concerned consumers, but looking through the lenses of demographic, geographic, </w:t>
      </w:r>
      <w:proofErr w:type="spellStart"/>
      <w:r>
        <w:rPr>
          <w:rFonts w:ascii="Times New Roman" w:eastAsia="Times New Roman" w:hAnsi="Times New Roman" w:cs="Times New Roman"/>
          <w:color w:val="000000"/>
        </w:rPr>
        <w:t>behavioural</w:t>
      </w:r>
      <w:proofErr w:type="spellEnd"/>
      <w:r>
        <w:rPr>
          <w:rFonts w:ascii="Times New Roman" w:eastAsia="Times New Roman" w:hAnsi="Times New Roman" w:cs="Times New Roman"/>
          <w:color w:val="000000"/>
        </w:rPr>
        <w:t xml:space="preserve">, psychographic and economic segments I realized that they are not key drivers of </w:t>
      </w:r>
      <w:proofErr w:type="gramStart"/>
      <w:r>
        <w:rPr>
          <w:rFonts w:ascii="Times New Roman" w:eastAsia="Times New Roman" w:hAnsi="Times New Roman" w:cs="Times New Roman"/>
          <w:color w:val="000000"/>
        </w:rPr>
        <w:t>subscription.*</w:t>
      </w:r>
      <w:proofErr w:type="gramEnd"/>
      <w:r>
        <w:rPr>
          <w:rFonts w:ascii="Times New Roman" w:eastAsia="Times New Roman" w:hAnsi="Times New Roman" w:cs="Times New Roman"/>
          <w:color w:val="000000"/>
        </w:rPr>
        <w:t xml:space="preserve"> These: space, digital confidence, contract tolerance, residential mobility and the cost of alternative furniture are. This caused me to shift my thinking to a life transition segment which also caused me to rethink my target customers, where I removed settled homeowners. Overall, I grew more confident in my customer selection process rather than showing numerous potential customers, where I found to be </w:t>
      </w:r>
      <w:proofErr w:type="gramStart"/>
      <w:r>
        <w:rPr>
          <w:rFonts w:ascii="Times New Roman" w:eastAsia="Times New Roman" w:hAnsi="Times New Roman" w:cs="Times New Roman"/>
          <w:color w:val="000000"/>
        </w:rPr>
        <w:t>most of the time equally attractive</w:t>
      </w:r>
      <w:proofErr w:type="gramEnd"/>
      <w:r>
        <w:rPr>
          <w:rFonts w:ascii="Times New Roman" w:eastAsia="Times New Roman" w:hAnsi="Times New Roman" w:cs="Times New Roman"/>
          <w:color w:val="000000"/>
        </w:rPr>
        <w:t>.</w:t>
      </w:r>
    </w:p>
    <w:p w14:paraId="5D136757"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The 7Ps analysis added some dimension to my understanding of brand extension. For example, since IKEA would own the product, the people, reverse logistics, inspection, cleaning and service recovery could not be separated from the product. I learned that even a good circular economy model, where swaps are encouraged without control, could lead to excess transport and consumption. This new understanding led me to be more critical of easy-to-understand circular economy models, and to pay closer attention to the evidence, rebound effects and financial viability. While presenting the loop diagram helped me to explain the concept easily, I spent too much time describing the operational stages and too little time explaining the target market and competitive position. The experience helped me understand that a great visual aid, no matter how useful, cannot compensate for a poorly constructed verbal argument.</w:t>
      </w:r>
    </w:p>
    <w:p w14:paraId="4C706BF7" w14:textId="77777777" w:rsidR="003A53A3" w:rsidRDefault="00000000">
      <w:pPr>
        <w:pStyle w:val="Heading3"/>
        <w:spacing w:line="276" w:lineRule="auto"/>
        <w:jc w:val="both"/>
        <w:rPr>
          <w:rFonts w:ascii="Times New Roman" w:eastAsia="Times New Roman" w:hAnsi="Times New Roman" w:cs="Times New Roman"/>
          <w:color w:val="000000"/>
          <w:sz w:val="24"/>
          <w:szCs w:val="24"/>
        </w:rPr>
      </w:pPr>
      <w:bookmarkStart w:id="14" w:name="_62n1tuk13jcu" w:colFirst="0" w:colLast="0"/>
      <w:bookmarkEnd w:id="14"/>
      <w:r>
        <w:rPr>
          <w:rFonts w:ascii="Times New Roman" w:eastAsia="Times New Roman" w:hAnsi="Times New Roman" w:cs="Times New Roman"/>
          <w:color w:val="000000"/>
          <w:sz w:val="24"/>
          <w:szCs w:val="24"/>
        </w:rPr>
        <w:lastRenderedPageBreak/>
        <w:t>4.3 What I would improve next</w:t>
      </w:r>
    </w:p>
    <w:p w14:paraId="0FEACA23"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To repeat the project, I would place customer discovery at the start of the </w:t>
      </w:r>
      <w:proofErr w:type="gramStart"/>
      <w:r>
        <w:rPr>
          <w:rFonts w:ascii="Times New Roman" w:eastAsia="Times New Roman" w:hAnsi="Times New Roman" w:cs="Times New Roman"/>
          <w:color w:val="000000"/>
        </w:rPr>
        <w:t>project, and</w:t>
      </w:r>
      <w:proofErr w:type="gramEnd"/>
      <w:r>
        <w:rPr>
          <w:rFonts w:ascii="Times New Roman" w:eastAsia="Times New Roman" w:hAnsi="Times New Roman" w:cs="Times New Roman"/>
          <w:color w:val="000000"/>
        </w:rPr>
        <w:t xml:space="preserve"> not present a complete service idea. To better understand the competitive market, I would interview renters post-move to evaluate how my product would meet their needs. I would design package mock-ups and evaluate the cost of my product in the context of the cost of moving and disposing furniture, as well as the cost of buying furniture. I would create a business case, and would also utilize store operations, finance, refurbishment, logistics and other employee groups, as these groups would also be able to provide evidence counter to the marketing promise. A small pilot of the business would allow for a lifecycle assessment, and collection of service data, before environmental claims were made at scale.</w:t>
      </w:r>
    </w:p>
    <w:p w14:paraId="3D59474E" w14:textId="77777777" w:rsidR="003A53A3" w:rsidRDefault="00000000">
      <w:pPr>
        <w:spacing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I'd develop my self-discipline with respect to analysis and presentation. Additionally, I would practice explaining answers to difficult questions regarding hygiene, ownership, and total cost rather than just the presentation of the benefits. These would help me refine my ability in designing constructively sustainable propositions, improving my overall presentation, and Functional Cross-Integration which are skills that are directly applicable to Marketing and Consulting roles </w:t>
      </w:r>
      <w:proofErr w:type="gramStart"/>
      <w:r>
        <w:rPr>
          <w:rFonts w:ascii="Times New Roman" w:eastAsia="Times New Roman" w:hAnsi="Times New Roman" w:cs="Times New Roman"/>
          <w:color w:val="000000"/>
        </w:rPr>
        <w:t>in the near future</w:t>
      </w:r>
      <w:proofErr w:type="gramEnd"/>
      <w:r>
        <w:rPr>
          <w:rFonts w:ascii="Times New Roman" w:eastAsia="Times New Roman" w:hAnsi="Times New Roman" w:cs="Times New Roman"/>
          <w:color w:val="000000"/>
        </w:rPr>
        <w:t>.</w:t>
      </w:r>
    </w:p>
    <w:p w14:paraId="251143B8" w14:textId="77777777" w:rsidR="003A53A3" w:rsidRDefault="00000000">
      <w:pPr>
        <w:spacing w:line="276" w:lineRule="auto"/>
        <w:jc w:val="both"/>
        <w:rPr>
          <w:rFonts w:ascii="Times New Roman" w:eastAsia="Times New Roman" w:hAnsi="Times New Roman" w:cs="Times New Roman"/>
          <w:color w:val="000000"/>
        </w:rPr>
      </w:pPr>
      <w:r>
        <w:br w:type="page"/>
      </w:r>
    </w:p>
    <w:p w14:paraId="225FAF28" w14:textId="77777777" w:rsidR="003A53A3" w:rsidRDefault="00000000">
      <w:pPr>
        <w:pStyle w:val="Heading2"/>
        <w:spacing w:line="276" w:lineRule="auto"/>
        <w:jc w:val="both"/>
        <w:rPr>
          <w:rFonts w:ascii="Times New Roman" w:eastAsia="Times New Roman" w:hAnsi="Times New Roman" w:cs="Times New Roman"/>
          <w:color w:val="000000"/>
          <w:sz w:val="24"/>
          <w:szCs w:val="24"/>
        </w:rPr>
      </w:pPr>
      <w:bookmarkStart w:id="15" w:name="_velhg798ytrz" w:colFirst="0" w:colLast="0"/>
      <w:bookmarkEnd w:id="15"/>
      <w:r>
        <w:rPr>
          <w:rFonts w:ascii="Times New Roman" w:eastAsia="Times New Roman" w:hAnsi="Times New Roman" w:cs="Times New Roman"/>
          <w:color w:val="000000"/>
          <w:sz w:val="24"/>
          <w:szCs w:val="24"/>
        </w:rPr>
        <w:lastRenderedPageBreak/>
        <w:t>Reference:</w:t>
      </w:r>
    </w:p>
    <w:p w14:paraId="4BCF45AE" w14:textId="77777777" w:rsidR="003A53A3" w:rsidRDefault="00000000">
      <w:pPr>
        <w:keepLines/>
        <w:numPr>
          <w:ilvl w:val="0"/>
          <w:numId w:val="1"/>
        </w:numPr>
        <w:spacing w:before="240"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de Freitas Netto, S.V., Sobral, M.F.F., Ribeiro, A.R.B. and Soares, G.R.L. (2020) ‘Concepts and forms of greenwashing: a systematic review’, </w:t>
      </w:r>
      <w:r>
        <w:rPr>
          <w:rFonts w:ascii="Times New Roman" w:eastAsia="Times New Roman" w:hAnsi="Times New Roman" w:cs="Times New Roman"/>
          <w:i/>
          <w:iCs/>
          <w:color w:val="000000"/>
        </w:rPr>
        <w:t>Environmental Sciences Europe</w:t>
      </w:r>
      <w:r>
        <w:rPr>
          <w:rFonts w:ascii="Times New Roman" w:eastAsia="Times New Roman" w:hAnsi="Times New Roman" w:cs="Times New Roman"/>
          <w:color w:val="000000"/>
        </w:rPr>
        <w:t>, 32, 19.</w:t>
      </w:r>
      <w:hyperlink r:id="rId13">
        <w:r>
          <w:rPr>
            <w:rFonts w:ascii="Times New Roman" w:eastAsia="Times New Roman" w:hAnsi="Times New Roman" w:cs="Times New Roman"/>
            <w:color w:val="000000"/>
          </w:rPr>
          <w:t xml:space="preserve"> </w:t>
        </w:r>
      </w:hyperlink>
      <w:hyperlink r:id="rId14">
        <w:r>
          <w:rPr>
            <w:rFonts w:ascii="Times New Roman" w:eastAsia="Times New Roman" w:hAnsi="Times New Roman" w:cs="Times New Roman"/>
            <w:color w:val="1155CC"/>
            <w:u w:val="single"/>
          </w:rPr>
          <w:t>https://doi.org/10.1186/s12302-020-0300-3</w:t>
        </w:r>
      </w:hyperlink>
    </w:p>
    <w:p w14:paraId="69B10E3B"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Gomes, G.M., Moreira, N.G. and </w:t>
      </w:r>
      <w:proofErr w:type="spellStart"/>
      <w:r>
        <w:rPr>
          <w:rFonts w:ascii="Times New Roman" w:eastAsia="Times New Roman" w:hAnsi="Times New Roman" w:cs="Times New Roman"/>
          <w:color w:val="000000"/>
        </w:rPr>
        <w:t>Ometto</w:t>
      </w:r>
      <w:proofErr w:type="spellEnd"/>
      <w:r>
        <w:rPr>
          <w:rFonts w:ascii="Times New Roman" w:eastAsia="Times New Roman" w:hAnsi="Times New Roman" w:cs="Times New Roman"/>
          <w:color w:val="000000"/>
        </w:rPr>
        <w:t xml:space="preserve">, A.R. (2022) ‘Role of consumer mindsets, </w:t>
      </w:r>
      <w:proofErr w:type="spellStart"/>
      <w:r>
        <w:rPr>
          <w:rFonts w:ascii="Times New Roman" w:eastAsia="Times New Roman" w:hAnsi="Times New Roman" w:cs="Times New Roman"/>
          <w:color w:val="000000"/>
        </w:rPr>
        <w:t>behaviour</w:t>
      </w:r>
      <w:proofErr w:type="spellEnd"/>
      <w:r>
        <w:rPr>
          <w:rFonts w:ascii="Times New Roman" w:eastAsia="Times New Roman" w:hAnsi="Times New Roman" w:cs="Times New Roman"/>
          <w:color w:val="000000"/>
        </w:rPr>
        <w:t xml:space="preserve">, and influencing factors in circular consumption systems: a systematic review’, </w:t>
      </w:r>
      <w:r>
        <w:rPr>
          <w:rFonts w:ascii="Times New Roman" w:eastAsia="Times New Roman" w:hAnsi="Times New Roman" w:cs="Times New Roman"/>
          <w:i/>
          <w:iCs/>
          <w:color w:val="000000"/>
        </w:rPr>
        <w:t>Sustainable Production and Consumption</w:t>
      </w:r>
      <w:r>
        <w:rPr>
          <w:rFonts w:ascii="Times New Roman" w:eastAsia="Times New Roman" w:hAnsi="Times New Roman" w:cs="Times New Roman"/>
          <w:color w:val="000000"/>
        </w:rPr>
        <w:t>, 32, pp. 1–14.</w:t>
      </w:r>
      <w:hyperlink r:id="rId15">
        <w:r>
          <w:rPr>
            <w:rFonts w:ascii="Times New Roman" w:eastAsia="Times New Roman" w:hAnsi="Times New Roman" w:cs="Times New Roman"/>
            <w:color w:val="000000"/>
          </w:rPr>
          <w:t xml:space="preserve"> </w:t>
        </w:r>
      </w:hyperlink>
      <w:hyperlink r:id="rId16">
        <w:r>
          <w:rPr>
            <w:rFonts w:ascii="Times New Roman" w:eastAsia="Times New Roman" w:hAnsi="Times New Roman" w:cs="Times New Roman"/>
            <w:color w:val="1155CC"/>
            <w:u w:val="single"/>
          </w:rPr>
          <w:t>https://doi.org/10.1016/j.spc.2022.04.005</w:t>
        </w:r>
      </w:hyperlink>
    </w:p>
    <w:p w14:paraId="487BEE76"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Hagejärd</w:t>
      </w:r>
      <w:proofErr w:type="spellEnd"/>
      <w:r>
        <w:rPr>
          <w:rFonts w:ascii="Times New Roman" w:eastAsia="Times New Roman" w:hAnsi="Times New Roman" w:cs="Times New Roman"/>
          <w:color w:val="000000"/>
        </w:rPr>
        <w:t xml:space="preserve">, S., </w:t>
      </w:r>
      <w:proofErr w:type="spellStart"/>
      <w:r>
        <w:rPr>
          <w:rFonts w:ascii="Times New Roman" w:eastAsia="Times New Roman" w:hAnsi="Times New Roman" w:cs="Times New Roman"/>
          <w:color w:val="000000"/>
        </w:rPr>
        <w:t>Femenías</w:t>
      </w:r>
      <w:proofErr w:type="spellEnd"/>
      <w:r>
        <w:rPr>
          <w:rFonts w:ascii="Times New Roman" w:eastAsia="Times New Roman" w:hAnsi="Times New Roman" w:cs="Times New Roman"/>
          <w:color w:val="000000"/>
        </w:rPr>
        <w:t xml:space="preserve">, P. and Pettersen, I.N. (2025) ‘User perspectives on circular value propositions for kitchen furniture and appliances’, </w:t>
      </w:r>
      <w:r>
        <w:rPr>
          <w:rFonts w:ascii="Times New Roman" w:eastAsia="Times New Roman" w:hAnsi="Times New Roman" w:cs="Times New Roman"/>
          <w:i/>
          <w:iCs/>
          <w:color w:val="000000"/>
        </w:rPr>
        <w:t>Circular Economy and Sustainability</w:t>
      </w:r>
      <w:r>
        <w:rPr>
          <w:rFonts w:ascii="Times New Roman" w:eastAsia="Times New Roman" w:hAnsi="Times New Roman" w:cs="Times New Roman"/>
          <w:color w:val="000000"/>
        </w:rPr>
        <w:t>, 5, pp. 4389–4420. https://doi.org/10.1007/s43615-025-00560-0</w:t>
      </w:r>
    </w:p>
    <w:p w14:paraId="5577F677"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Hidalgo-Crespo, J. and Riel, A. (2025) ‘Consumer acceptance of product as a service leasing model for home appliances using an extended theory of planned behavior in Ecuador’, </w:t>
      </w:r>
      <w:r>
        <w:rPr>
          <w:rFonts w:ascii="Times New Roman" w:eastAsia="Times New Roman" w:hAnsi="Times New Roman" w:cs="Times New Roman"/>
          <w:i/>
          <w:iCs/>
          <w:color w:val="000000"/>
        </w:rPr>
        <w:t>Circular Economy and Sustainability</w:t>
      </w:r>
      <w:r>
        <w:rPr>
          <w:rFonts w:ascii="Times New Roman" w:eastAsia="Times New Roman" w:hAnsi="Times New Roman" w:cs="Times New Roman"/>
          <w:color w:val="000000"/>
        </w:rPr>
        <w:t>, 5, pp. 5749–5772.</w:t>
      </w:r>
      <w:hyperlink r:id="rId17">
        <w:r>
          <w:rPr>
            <w:rFonts w:ascii="Times New Roman" w:eastAsia="Times New Roman" w:hAnsi="Times New Roman" w:cs="Times New Roman"/>
            <w:color w:val="000000"/>
          </w:rPr>
          <w:t xml:space="preserve"> </w:t>
        </w:r>
      </w:hyperlink>
      <w:hyperlink r:id="rId18">
        <w:r>
          <w:rPr>
            <w:rFonts w:ascii="Times New Roman" w:eastAsia="Times New Roman" w:hAnsi="Times New Roman" w:cs="Times New Roman"/>
            <w:color w:val="1155CC"/>
            <w:u w:val="single"/>
          </w:rPr>
          <w:t>https://doi.org/10.1007/s43615-025-00529-z</w:t>
        </w:r>
      </w:hyperlink>
    </w:p>
    <w:p w14:paraId="763705A6"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IKEA (2025) </w:t>
      </w:r>
      <w:r>
        <w:rPr>
          <w:rFonts w:ascii="Times New Roman" w:eastAsia="Times New Roman" w:hAnsi="Times New Roman" w:cs="Times New Roman"/>
          <w:i/>
          <w:iCs/>
          <w:color w:val="000000"/>
        </w:rPr>
        <w:t>IKEA Sustainability Strategy 2025–2030</w:t>
      </w:r>
      <w:r>
        <w:rPr>
          <w:rFonts w:ascii="Times New Roman" w:eastAsia="Times New Roman" w:hAnsi="Times New Roman" w:cs="Times New Roman"/>
          <w:color w:val="000000"/>
        </w:rPr>
        <w:t>. Delft: Inter IKEA Systems B.V.</w:t>
      </w:r>
      <w:hyperlink r:id="rId19">
        <w:r>
          <w:rPr>
            <w:rFonts w:ascii="Times New Roman" w:eastAsia="Times New Roman" w:hAnsi="Times New Roman" w:cs="Times New Roman"/>
            <w:color w:val="000000"/>
          </w:rPr>
          <w:t xml:space="preserve"> </w:t>
        </w:r>
      </w:hyperlink>
      <w:hyperlink r:id="rId20">
        <w:r>
          <w:rPr>
            <w:rFonts w:ascii="Times New Roman" w:eastAsia="Times New Roman" w:hAnsi="Times New Roman" w:cs="Times New Roman"/>
            <w:color w:val="1155CC"/>
            <w:u w:val="single"/>
          </w:rPr>
          <w:t>https://www.ikea.com/global/en/images/IKEA_Strategy_2025_2030_pdf_V2_New_d4052a55f9.pdf</w:t>
        </w:r>
      </w:hyperlink>
    </w:p>
    <w:p w14:paraId="37E0AA04"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IKEA UK (2024) ‘IKEA’s Buyback and Resell offer is back, supporting a more affordable way to shop’.</w:t>
      </w:r>
      <w:hyperlink r:id="rId21">
        <w:r>
          <w:rPr>
            <w:rFonts w:ascii="Times New Roman" w:eastAsia="Times New Roman" w:hAnsi="Times New Roman" w:cs="Times New Roman"/>
            <w:color w:val="000000"/>
          </w:rPr>
          <w:t xml:space="preserve"> </w:t>
        </w:r>
      </w:hyperlink>
      <w:hyperlink r:id="rId22">
        <w:r>
          <w:rPr>
            <w:rFonts w:ascii="Times New Roman" w:eastAsia="Times New Roman" w:hAnsi="Times New Roman" w:cs="Times New Roman"/>
            <w:color w:val="1155CC"/>
            <w:u w:val="single"/>
          </w:rPr>
          <w:t>https://www.ikea.com/gb/en/newsroom/corporate-news/ikeas-buyback-and-resell-offer-is-back-supporting-a-more-affordable-way-to-shop-pubf3e08620/</w:t>
        </w:r>
      </w:hyperlink>
    </w:p>
    <w:p w14:paraId="40E726E8"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Koide, R., Murakami, S. and </w:t>
      </w:r>
      <w:proofErr w:type="spellStart"/>
      <w:r>
        <w:rPr>
          <w:rFonts w:ascii="Times New Roman" w:eastAsia="Times New Roman" w:hAnsi="Times New Roman" w:cs="Times New Roman"/>
          <w:color w:val="000000"/>
        </w:rPr>
        <w:t>Nansai</w:t>
      </w:r>
      <w:proofErr w:type="spellEnd"/>
      <w:r>
        <w:rPr>
          <w:rFonts w:ascii="Times New Roman" w:eastAsia="Times New Roman" w:hAnsi="Times New Roman" w:cs="Times New Roman"/>
          <w:color w:val="000000"/>
        </w:rPr>
        <w:t>, K. (2022) ‘</w:t>
      </w:r>
      <w:proofErr w:type="spellStart"/>
      <w:r>
        <w:rPr>
          <w:rFonts w:ascii="Times New Roman" w:eastAsia="Times New Roman" w:hAnsi="Times New Roman" w:cs="Times New Roman"/>
          <w:color w:val="000000"/>
        </w:rPr>
        <w:t>Prioritising</w:t>
      </w:r>
      <w:proofErr w:type="spellEnd"/>
      <w:r>
        <w:rPr>
          <w:rFonts w:ascii="Times New Roman" w:eastAsia="Times New Roman" w:hAnsi="Times New Roman" w:cs="Times New Roman"/>
          <w:color w:val="000000"/>
        </w:rPr>
        <w:t xml:space="preserve"> low-risk and high-potential circular economy strategies for </w:t>
      </w:r>
      <w:proofErr w:type="spellStart"/>
      <w:r>
        <w:rPr>
          <w:rFonts w:ascii="Times New Roman" w:eastAsia="Times New Roman" w:hAnsi="Times New Roman" w:cs="Times New Roman"/>
          <w:color w:val="000000"/>
        </w:rPr>
        <w:t>decarbonisation</w:t>
      </w:r>
      <w:proofErr w:type="spellEnd"/>
      <w:r>
        <w:rPr>
          <w:rFonts w:ascii="Times New Roman" w:eastAsia="Times New Roman" w:hAnsi="Times New Roman" w:cs="Times New Roman"/>
          <w:color w:val="000000"/>
        </w:rPr>
        <w:t xml:space="preserve">: a meta-analysis on consumer-oriented product-service systems’, </w:t>
      </w:r>
      <w:r>
        <w:rPr>
          <w:rFonts w:ascii="Times New Roman" w:eastAsia="Times New Roman" w:hAnsi="Times New Roman" w:cs="Times New Roman"/>
          <w:i/>
          <w:iCs/>
          <w:color w:val="000000"/>
        </w:rPr>
        <w:t>Renewable and Sustainable Energy Reviews</w:t>
      </w:r>
      <w:r>
        <w:rPr>
          <w:rFonts w:ascii="Times New Roman" w:eastAsia="Times New Roman" w:hAnsi="Times New Roman" w:cs="Times New Roman"/>
          <w:color w:val="000000"/>
        </w:rPr>
        <w:t>, 155, 111858.</w:t>
      </w:r>
      <w:hyperlink r:id="rId23">
        <w:r>
          <w:rPr>
            <w:rFonts w:ascii="Times New Roman" w:eastAsia="Times New Roman" w:hAnsi="Times New Roman" w:cs="Times New Roman"/>
            <w:color w:val="000000"/>
          </w:rPr>
          <w:t xml:space="preserve"> </w:t>
        </w:r>
      </w:hyperlink>
      <w:hyperlink r:id="rId24">
        <w:r>
          <w:rPr>
            <w:rFonts w:ascii="Times New Roman" w:eastAsia="Times New Roman" w:hAnsi="Times New Roman" w:cs="Times New Roman"/>
            <w:color w:val="1155CC"/>
            <w:u w:val="single"/>
          </w:rPr>
          <w:t>https://doi.org/10.1016/j.rser.2021.111858</w:t>
        </w:r>
      </w:hyperlink>
    </w:p>
    <w:p w14:paraId="7ECC68BF"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Kotler, P., Keller, K.L. and Chernev, A. (2025) </w:t>
      </w:r>
      <w:r>
        <w:rPr>
          <w:rFonts w:ascii="Times New Roman" w:eastAsia="Times New Roman" w:hAnsi="Times New Roman" w:cs="Times New Roman"/>
          <w:i/>
          <w:iCs/>
          <w:color w:val="000000"/>
        </w:rPr>
        <w:t>Marketing Management</w:t>
      </w:r>
      <w:r>
        <w:rPr>
          <w:rFonts w:ascii="Times New Roman" w:eastAsia="Times New Roman" w:hAnsi="Times New Roman" w:cs="Times New Roman"/>
          <w:color w:val="000000"/>
        </w:rPr>
        <w:t xml:space="preserve">. 17th </w:t>
      </w:r>
      <w:proofErr w:type="spellStart"/>
      <w:r>
        <w:rPr>
          <w:rFonts w:ascii="Times New Roman" w:eastAsia="Times New Roman" w:hAnsi="Times New Roman" w:cs="Times New Roman"/>
          <w:color w:val="000000"/>
        </w:rPr>
        <w:t>edn</w:t>
      </w:r>
      <w:proofErr w:type="spellEnd"/>
      <w:r>
        <w:rPr>
          <w:rFonts w:ascii="Times New Roman" w:eastAsia="Times New Roman" w:hAnsi="Times New Roman" w:cs="Times New Roman"/>
          <w:color w:val="000000"/>
        </w:rPr>
        <w:t>. Harlow: Pearson.</w:t>
      </w:r>
    </w:p>
    <w:p w14:paraId="02DB58C2"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Ministry of Housing, Communities and Local Government (MHCLG) (2026) </w:t>
      </w:r>
      <w:r>
        <w:rPr>
          <w:rFonts w:ascii="Times New Roman" w:eastAsia="Times New Roman" w:hAnsi="Times New Roman" w:cs="Times New Roman"/>
          <w:i/>
          <w:iCs/>
          <w:color w:val="000000"/>
        </w:rPr>
        <w:t>English Housing Survey 2024 to 2025: Profile of households and dwellings</w:t>
      </w:r>
      <w:r>
        <w:rPr>
          <w:rFonts w:ascii="Times New Roman" w:eastAsia="Times New Roman" w:hAnsi="Times New Roman" w:cs="Times New Roman"/>
          <w:color w:val="000000"/>
        </w:rPr>
        <w:t>. London: GOV.UK.</w:t>
      </w:r>
      <w:hyperlink r:id="rId25">
        <w:r>
          <w:rPr>
            <w:rFonts w:ascii="Times New Roman" w:eastAsia="Times New Roman" w:hAnsi="Times New Roman" w:cs="Times New Roman"/>
            <w:color w:val="000000"/>
          </w:rPr>
          <w:t xml:space="preserve"> </w:t>
        </w:r>
      </w:hyperlink>
      <w:hyperlink r:id="rId26">
        <w:r>
          <w:rPr>
            <w:rFonts w:ascii="Times New Roman" w:eastAsia="Times New Roman" w:hAnsi="Times New Roman" w:cs="Times New Roman"/>
            <w:color w:val="1155CC"/>
            <w:u w:val="single"/>
          </w:rPr>
          <w:t>https://www.gov.uk/government/statistics/chapters-for-english-housing-survey-2024-to-2025-headline-findings-on-demographics-and-household-resilience/chapter-1-profile-of-households-and-dwellings</w:t>
        </w:r>
      </w:hyperlink>
    </w:p>
    <w:p w14:paraId="33E8B736"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Pei, X., Italia, M. and </w:t>
      </w:r>
      <w:proofErr w:type="spellStart"/>
      <w:r>
        <w:rPr>
          <w:rFonts w:ascii="Times New Roman" w:eastAsia="Times New Roman" w:hAnsi="Times New Roman" w:cs="Times New Roman"/>
          <w:color w:val="000000"/>
        </w:rPr>
        <w:t>Melazzini</w:t>
      </w:r>
      <w:proofErr w:type="spellEnd"/>
      <w:r>
        <w:rPr>
          <w:rFonts w:ascii="Times New Roman" w:eastAsia="Times New Roman" w:hAnsi="Times New Roman" w:cs="Times New Roman"/>
          <w:color w:val="000000"/>
        </w:rPr>
        <w:t>, M. (</w:t>
      </w:r>
      <w:proofErr w:type="gramStart"/>
      <w:r>
        <w:rPr>
          <w:rFonts w:ascii="Times New Roman" w:eastAsia="Times New Roman" w:hAnsi="Times New Roman" w:cs="Times New Roman"/>
          <w:color w:val="000000"/>
        </w:rPr>
        <w:t>2024) ‘</w:t>
      </w:r>
      <w:proofErr w:type="gramEnd"/>
      <w:r>
        <w:rPr>
          <w:rFonts w:ascii="Times New Roman" w:eastAsia="Times New Roman" w:hAnsi="Times New Roman" w:cs="Times New Roman"/>
          <w:color w:val="000000"/>
        </w:rPr>
        <w:t xml:space="preserve">Enhancing circular economy practices in the furniture industry through circular design strategies’, </w:t>
      </w:r>
      <w:r>
        <w:rPr>
          <w:rFonts w:ascii="Times New Roman" w:eastAsia="Times New Roman" w:hAnsi="Times New Roman" w:cs="Times New Roman"/>
          <w:i/>
          <w:iCs/>
          <w:color w:val="000000"/>
        </w:rPr>
        <w:t>Sustainability</w:t>
      </w:r>
      <w:r>
        <w:rPr>
          <w:rFonts w:ascii="Times New Roman" w:eastAsia="Times New Roman" w:hAnsi="Times New Roman" w:cs="Times New Roman"/>
          <w:color w:val="000000"/>
        </w:rPr>
        <w:t>, 16(15), 6544. https://doi.org/10.3390/su16156544</w:t>
      </w:r>
    </w:p>
    <w:p w14:paraId="01C956F5"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Petänen, P., Sundqvist, H. and Antikainen, M. (2024) ‘Deconstructing customer value propositions for the circular product-as-a-service business model: a case study from the textile industry’, </w:t>
      </w:r>
      <w:r>
        <w:rPr>
          <w:rFonts w:ascii="Times New Roman" w:eastAsia="Times New Roman" w:hAnsi="Times New Roman" w:cs="Times New Roman"/>
          <w:i/>
          <w:iCs/>
          <w:color w:val="000000"/>
        </w:rPr>
        <w:t>Circular Economy and Sustainability</w:t>
      </w:r>
      <w:r>
        <w:rPr>
          <w:rFonts w:ascii="Times New Roman" w:eastAsia="Times New Roman" w:hAnsi="Times New Roman" w:cs="Times New Roman"/>
          <w:color w:val="000000"/>
        </w:rPr>
        <w:t>, 4, pp. 1631–1653.</w:t>
      </w:r>
      <w:hyperlink r:id="rId27">
        <w:r>
          <w:rPr>
            <w:rFonts w:ascii="Times New Roman" w:eastAsia="Times New Roman" w:hAnsi="Times New Roman" w:cs="Times New Roman"/>
            <w:color w:val="000000"/>
          </w:rPr>
          <w:t xml:space="preserve"> </w:t>
        </w:r>
      </w:hyperlink>
      <w:hyperlink r:id="rId28">
        <w:r>
          <w:rPr>
            <w:rFonts w:ascii="Times New Roman" w:eastAsia="Times New Roman" w:hAnsi="Times New Roman" w:cs="Times New Roman"/>
            <w:color w:val="1155CC"/>
            <w:u w:val="single"/>
          </w:rPr>
          <w:t>https://doi.org/10.1007/s43615-024-00351-z</w:t>
        </w:r>
      </w:hyperlink>
    </w:p>
    <w:p w14:paraId="2419B24C"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Tunn</w:t>
      </w:r>
      <w:proofErr w:type="spellEnd"/>
      <w:r>
        <w:rPr>
          <w:rFonts w:ascii="Times New Roman" w:eastAsia="Times New Roman" w:hAnsi="Times New Roman" w:cs="Times New Roman"/>
          <w:color w:val="000000"/>
        </w:rPr>
        <w:t xml:space="preserve">, V.S.C., van den Hende, E.A., </w:t>
      </w:r>
      <w:proofErr w:type="spellStart"/>
      <w:r>
        <w:rPr>
          <w:rFonts w:ascii="Times New Roman" w:eastAsia="Times New Roman" w:hAnsi="Times New Roman" w:cs="Times New Roman"/>
          <w:color w:val="000000"/>
        </w:rPr>
        <w:t>Bocken</w:t>
      </w:r>
      <w:proofErr w:type="spellEnd"/>
      <w:r>
        <w:rPr>
          <w:rFonts w:ascii="Times New Roman" w:eastAsia="Times New Roman" w:hAnsi="Times New Roman" w:cs="Times New Roman"/>
          <w:color w:val="000000"/>
        </w:rPr>
        <w:t xml:space="preserve">, N.M.P. and </w:t>
      </w:r>
      <w:proofErr w:type="spellStart"/>
      <w:r>
        <w:rPr>
          <w:rFonts w:ascii="Times New Roman" w:eastAsia="Times New Roman" w:hAnsi="Times New Roman" w:cs="Times New Roman"/>
          <w:color w:val="000000"/>
        </w:rPr>
        <w:t>Schoormans</w:t>
      </w:r>
      <w:proofErr w:type="spellEnd"/>
      <w:r>
        <w:rPr>
          <w:rFonts w:ascii="Times New Roman" w:eastAsia="Times New Roman" w:hAnsi="Times New Roman" w:cs="Times New Roman"/>
          <w:color w:val="000000"/>
        </w:rPr>
        <w:t>, J.P.L. (2020) ‘</w:t>
      </w:r>
      <w:proofErr w:type="spellStart"/>
      <w:r>
        <w:rPr>
          <w:rFonts w:ascii="Times New Roman" w:eastAsia="Times New Roman" w:hAnsi="Times New Roman" w:cs="Times New Roman"/>
          <w:color w:val="000000"/>
        </w:rPr>
        <w:t>Digitalised</w:t>
      </w:r>
      <w:proofErr w:type="spellEnd"/>
      <w:r>
        <w:rPr>
          <w:rFonts w:ascii="Times New Roman" w:eastAsia="Times New Roman" w:hAnsi="Times New Roman" w:cs="Times New Roman"/>
          <w:color w:val="000000"/>
        </w:rPr>
        <w:t xml:space="preserve"> product-service systems: effects on consumers’ attitudes and experiences’, </w:t>
      </w:r>
      <w:r>
        <w:rPr>
          <w:rFonts w:ascii="Times New Roman" w:eastAsia="Times New Roman" w:hAnsi="Times New Roman" w:cs="Times New Roman"/>
          <w:i/>
          <w:iCs/>
          <w:color w:val="000000"/>
        </w:rPr>
        <w:t>Resources, Conservation and Recycling</w:t>
      </w:r>
      <w:r>
        <w:rPr>
          <w:rFonts w:ascii="Times New Roman" w:eastAsia="Times New Roman" w:hAnsi="Times New Roman" w:cs="Times New Roman"/>
          <w:color w:val="000000"/>
        </w:rPr>
        <w:t>, 162, 105045.</w:t>
      </w:r>
      <w:hyperlink r:id="rId29">
        <w:r>
          <w:rPr>
            <w:rFonts w:ascii="Times New Roman" w:eastAsia="Times New Roman" w:hAnsi="Times New Roman" w:cs="Times New Roman"/>
            <w:color w:val="000000"/>
          </w:rPr>
          <w:t xml:space="preserve"> </w:t>
        </w:r>
      </w:hyperlink>
      <w:hyperlink r:id="rId30">
        <w:r>
          <w:rPr>
            <w:rFonts w:ascii="Times New Roman" w:eastAsia="Times New Roman" w:hAnsi="Times New Roman" w:cs="Times New Roman"/>
            <w:color w:val="1155CC"/>
            <w:u w:val="single"/>
          </w:rPr>
          <w:t>https://doi.org/10.1016/j.resconrec.2020.105045</w:t>
        </w:r>
      </w:hyperlink>
    </w:p>
    <w:p w14:paraId="08D9D76B"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United Nations (2015) </w:t>
      </w:r>
      <w:r>
        <w:rPr>
          <w:rFonts w:ascii="Times New Roman" w:eastAsia="Times New Roman" w:hAnsi="Times New Roman" w:cs="Times New Roman"/>
          <w:i/>
          <w:iCs/>
          <w:color w:val="000000"/>
        </w:rPr>
        <w:t>Transforming our world: the 2030 Agenda for Sustainable Development</w:t>
      </w:r>
      <w:r>
        <w:rPr>
          <w:rFonts w:ascii="Times New Roman" w:eastAsia="Times New Roman" w:hAnsi="Times New Roman" w:cs="Times New Roman"/>
          <w:color w:val="000000"/>
        </w:rPr>
        <w:t>. New York: United Nations.</w:t>
      </w:r>
      <w:hyperlink r:id="rId31">
        <w:r>
          <w:rPr>
            <w:rFonts w:ascii="Times New Roman" w:eastAsia="Times New Roman" w:hAnsi="Times New Roman" w:cs="Times New Roman"/>
            <w:color w:val="000000"/>
          </w:rPr>
          <w:t xml:space="preserve"> </w:t>
        </w:r>
      </w:hyperlink>
      <w:hyperlink r:id="rId32">
        <w:r>
          <w:rPr>
            <w:rFonts w:ascii="Times New Roman" w:eastAsia="Times New Roman" w:hAnsi="Times New Roman" w:cs="Times New Roman"/>
            <w:color w:val="1155CC"/>
            <w:u w:val="single"/>
          </w:rPr>
          <w:t>https://sdgs.un.org/2030agenda</w:t>
        </w:r>
      </w:hyperlink>
    </w:p>
    <w:p w14:paraId="2829EB21" w14:textId="77777777" w:rsidR="003A53A3" w:rsidRDefault="00000000">
      <w:pPr>
        <w:keepLines/>
        <w:numPr>
          <w:ilvl w:val="0"/>
          <w:numId w:val="1"/>
        </w:numPr>
        <w:spacing w:after="0" w:line="276" w:lineRule="auto"/>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Vehmas</w:t>
      </w:r>
      <w:proofErr w:type="spellEnd"/>
      <w:r>
        <w:rPr>
          <w:rFonts w:ascii="Times New Roman" w:eastAsia="Times New Roman" w:hAnsi="Times New Roman" w:cs="Times New Roman"/>
          <w:color w:val="000000"/>
        </w:rPr>
        <w:t xml:space="preserve">, K., </w:t>
      </w:r>
      <w:proofErr w:type="spellStart"/>
      <w:r>
        <w:rPr>
          <w:rFonts w:ascii="Times New Roman" w:eastAsia="Times New Roman" w:hAnsi="Times New Roman" w:cs="Times New Roman"/>
          <w:color w:val="000000"/>
        </w:rPr>
        <w:t>Bocken</w:t>
      </w:r>
      <w:proofErr w:type="spellEnd"/>
      <w:r>
        <w:rPr>
          <w:rFonts w:ascii="Times New Roman" w:eastAsia="Times New Roman" w:hAnsi="Times New Roman" w:cs="Times New Roman"/>
          <w:color w:val="000000"/>
        </w:rPr>
        <w:t xml:space="preserve">, N. and </w:t>
      </w:r>
      <w:proofErr w:type="spellStart"/>
      <w:r>
        <w:rPr>
          <w:rFonts w:ascii="Times New Roman" w:eastAsia="Times New Roman" w:hAnsi="Times New Roman" w:cs="Times New Roman"/>
          <w:color w:val="000000"/>
        </w:rPr>
        <w:t>Tuovila</w:t>
      </w:r>
      <w:proofErr w:type="spellEnd"/>
      <w:r>
        <w:rPr>
          <w:rFonts w:ascii="Times New Roman" w:eastAsia="Times New Roman" w:hAnsi="Times New Roman" w:cs="Times New Roman"/>
          <w:color w:val="000000"/>
        </w:rPr>
        <w:t xml:space="preserve">, H. (2024) ‘Understanding consumer attitudes towards sustainable business models: a qualitative study with Finnish consumers’, </w:t>
      </w:r>
      <w:r>
        <w:rPr>
          <w:rFonts w:ascii="Times New Roman" w:eastAsia="Times New Roman" w:hAnsi="Times New Roman" w:cs="Times New Roman"/>
          <w:i/>
          <w:iCs/>
          <w:color w:val="000000"/>
        </w:rPr>
        <w:t>Circular Economy and Sustainability</w:t>
      </w:r>
      <w:r>
        <w:rPr>
          <w:rFonts w:ascii="Times New Roman" w:eastAsia="Times New Roman" w:hAnsi="Times New Roman" w:cs="Times New Roman"/>
          <w:color w:val="000000"/>
        </w:rPr>
        <w:t>, 4, pp. 1487–1512.</w:t>
      </w:r>
      <w:hyperlink r:id="rId33">
        <w:r>
          <w:rPr>
            <w:rFonts w:ascii="Times New Roman" w:eastAsia="Times New Roman" w:hAnsi="Times New Roman" w:cs="Times New Roman"/>
            <w:color w:val="000000"/>
          </w:rPr>
          <w:t xml:space="preserve"> </w:t>
        </w:r>
      </w:hyperlink>
      <w:hyperlink r:id="rId34">
        <w:r>
          <w:rPr>
            <w:rFonts w:ascii="Times New Roman" w:eastAsia="Times New Roman" w:hAnsi="Times New Roman" w:cs="Times New Roman"/>
            <w:color w:val="1155CC"/>
            <w:u w:val="single"/>
          </w:rPr>
          <w:t>https://doi.org/10.1007/s43615-023-00338-2</w:t>
        </w:r>
      </w:hyperlink>
    </w:p>
    <w:p w14:paraId="6B2E20DC" w14:textId="77777777" w:rsidR="003A53A3" w:rsidRDefault="00000000">
      <w:pPr>
        <w:keepLines/>
        <w:numPr>
          <w:ilvl w:val="0"/>
          <w:numId w:val="1"/>
        </w:numPr>
        <w:spacing w:after="240"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Wirtz, J. and Lovelock, C. (2021) </w:t>
      </w:r>
      <w:r>
        <w:rPr>
          <w:rFonts w:ascii="Times New Roman" w:eastAsia="Times New Roman" w:hAnsi="Times New Roman" w:cs="Times New Roman"/>
          <w:i/>
          <w:iCs/>
          <w:color w:val="000000"/>
        </w:rPr>
        <w:t>Services Marketing: People, Technology, Strategy</w:t>
      </w:r>
      <w:r>
        <w:rPr>
          <w:rFonts w:ascii="Times New Roman" w:eastAsia="Times New Roman" w:hAnsi="Times New Roman" w:cs="Times New Roman"/>
          <w:color w:val="000000"/>
        </w:rPr>
        <w:t xml:space="preserve">. 9th </w:t>
      </w:r>
      <w:proofErr w:type="spellStart"/>
      <w:proofErr w:type="gramStart"/>
      <w:r>
        <w:rPr>
          <w:rFonts w:ascii="Times New Roman" w:eastAsia="Times New Roman" w:hAnsi="Times New Roman" w:cs="Times New Roman"/>
          <w:color w:val="000000"/>
        </w:rPr>
        <w:t>edn</w:t>
      </w:r>
      <w:proofErr w:type="spellEnd"/>
      <w:proofErr w:type="gramEnd"/>
      <w:r>
        <w:rPr>
          <w:rFonts w:ascii="Times New Roman" w:eastAsia="Times New Roman" w:hAnsi="Times New Roman" w:cs="Times New Roman"/>
          <w:color w:val="000000"/>
        </w:rPr>
        <w:t>. Singapore: World Scientific.</w:t>
      </w:r>
    </w:p>
    <w:sectPr w:rsidR="003A53A3">
      <w:headerReference w:type="default" r:id="rId35"/>
      <w:footerReference w:type="default" r:id="rId36"/>
      <w:pgSz w:w="11906" w:h="16838"/>
      <w:pgMar w:top="1247" w:right="1134" w:bottom="1134" w:left="1134" w:header="652" w:footer="6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E994D" w14:textId="77777777" w:rsidR="003B1965" w:rsidRDefault="003B1965">
      <w:pPr>
        <w:spacing w:after="0" w:line="240" w:lineRule="auto"/>
      </w:pPr>
      <w:r>
        <w:separator/>
      </w:r>
    </w:p>
  </w:endnote>
  <w:endnote w:type="continuationSeparator" w:id="0">
    <w:p w14:paraId="76CD175B" w14:textId="77777777" w:rsidR="003B1965" w:rsidRDefault="003B1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F821213-A7B7-4EDC-B852-0550173FEDE2}"/>
    <w:embedItalic r:id="rId2" w:fontKey="{2C350B3C-F678-480C-AB01-81AD0C144DCA}"/>
    <w:embedBoldItalic r:id="rId3" w:fontKey="{0D2EB9D6-6E14-4E66-A3D8-9836EC9B5000}"/>
  </w:font>
  <w:font w:name="Roboto">
    <w:charset w:val="00"/>
    <w:family w:val="auto"/>
    <w:pitch w:val="variable"/>
    <w:sig w:usb0="E0000AFF" w:usb1="5000217F" w:usb2="00000021" w:usb3="00000000" w:csb0="0000019F" w:csb1="00000000"/>
    <w:embedBold r:id="rId4" w:fontKey="{B5CBC943-99FB-4819-A243-02A3C2D20DC2}"/>
  </w:font>
  <w:font w:name="Cambria">
    <w:panose1 w:val="02040503050406030204"/>
    <w:charset w:val="00"/>
    <w:family w:val="roman"/>
    <w:pitch w:val="variable"/>
    <w:sig w:usb0="E00006FF" w:usb1="420024FF" w:usb2="02000000" w:usb3="00000000" w:csb0="0000019F" w:csb1="00000000"/>
    <w:embedRegular r:id="rId5" w:fontKey="{F3E6FA9D-0BCE-4AF7-9147-1CFC0B438C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634B8" w14:textId="77777777" w:rsidR="003A53A3" w:rsidRDefault="00000000">
    <w:pPr>
      <w:pBdr>
        <w:top w:val="nil"/>
        <w:left w:val="nil"/>
        <w:bottom w:val="nil"/>
        <w:right w:val="nil"/>
        <w:between w:val="nil"/>
      </w:pBdr>
      <w:tabs>
        <w:tab w:val="center" w:pos="4680"/>
        <w:tab w:val="right" w:pos="9360"/>
      </w:tabs>
      <w:spacing w:after="0" w:line="240" w:lineRule="auto"/>
      <w:jc w:val="right"/>
    </w:pPr>
    <w:r>
      <w:rPr>
        <w:color w:val="5D6872"/>
        <w:sz w:val="18"/>
        <w:szCs w:val="18"/>
      </w:rPr>
      <w:t xml:space="preserve">Page </w:t>
    </w:r>
    <w:r>
      <w:rPr>
        <w:color w:val="5D6872"/>
        <w:sz w:val="18"/>
        <w:szCs w:val="18"/>
      </w:rPr>
      <w:fldChar w:fldCharType="begin"/>
    </w:r>
    <w:r>
      <w:rPr>
        <w:color w:val="5D6872"/>
        <w:sz w:val="18"/>
        <w:szCs w:val="18"/>
      </w:rPr>
      <w:instrText>PAGE</w:instrText>
    </w:r>
    <w:r>
      <w:rPr>
        <w:color w:val="5D6872"/>
        <w:sz w:val="18"/>
        <w:szCs w:val="18"/>
      </w:rPr>
      <w:fldChar w:fldCharType="separate"/>
    </w:r>
    <w:r w:rsidR="00191FBB">
      <w:rPr>
        <w:noProof/>
        <w:color w:val="5D6872"/>
        <w:sz w:val="18"/>
        <w:szCs w:val="18"/>
      </w:rPr>
      <w:t>1</w:t>
    </w:r>
    <w:r>
      <w:rPr>
        <w:color w:val="5D6872"/>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7D263" w14:textId="2A8CC66E" w:rsidR="003A53A3" w:rsidRDefault="00000000">
    <w:pPr>
      <w:pBdr>
        <w:top w:val="nil"/>
        <w:left w:val="nil"/>
        <w:bottom w:val="nil"/>
        <w:right w:val="nil"/>
        <w:between w:val="nil"/>
      </w:pBdr>
      <w:tabs>
        <w:tab w:val="center" w:pos="4680"/>
        <w:tab w:val="right" w:pos="9360"/>
      </w:tabs>
      <w:spacing w:after="0" w:line="240" w:lineRule="auto"/>
      <w:jc w:val="right"/>
    </w:pPr>
    <w:r>
      <w:rPr>
        <w:color w:val="5D6872"/>
        <w:sz w:val="18"/>
        <w:szCs w:val="18"/>
      </w:rPr>
      <w:t xml:space="preserve">Page </w:t>
    </w:r>
    <w:r>
      <w:rPr>
        <w:color w:val="5D6872"/>
        <w:sz w:val="18"/>
        <w:szCs w:val="18"/>
      </w:rPr>
      <w:fldChar w:fldCharType="begin"/>
    </w:r>
    <w:r>
      <w:rPr>
        <w:color w:val="5D6872"/>
        <w:sz w:val="18"/>
        <w:szCs w:val="18"/>
      </w:rPr>
      <w:instrText>PAGE</w:instrText>
    </w:r>
    <w:r>
      <w:rPr>
        <w:color w:val="5D6872"/>
        <w:sz w:val="18"/>
        <w:szCs w:val="18"/>
      </w:rPr>
      <w:fldChar w:fldCharType="separate"/>
    </w:r>
    <w:r w:rsidR="00191FBB">
      <w:rPr>
        <w:noProof/>
        <w:color w:val="5D6872"/>
        <w:sz w:val="18"/>
        <w:szCs w:val="18"/>
      </w:rPr>
      <w:t>3</w:t>
    </w:r>
    <w:r>
      <w:rPr>
        <w:color w:val="5D6872"/>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2D14F" w14:textId="75A53B1B" w:rsidR="003A53A3" w:rsidRDefault="00000000">
    <w:pPr>
      <w:pBdr>
        <w:top w:val="nil"/>
        <w:left w:val="nil"/>
        <w:bottom w:val="nil"/>
        <w:right w:val="nil"/>
        <w:between w:val="nil"/>
      </w:pBdr>
      <w:tabs>
        <w:tab w:val="center" w:pos="4680"/>
        <w:tab w:val="right" w:pos="9360"/>
      </w:tabs>
      <w:spacing w:after="0" w:line="240" w:lineRule="auto"/>
      <w:jc w:val="right"/>
    </w:pPr>
    <w:r>
      <w:rPr>
        <w:color w:val="5D6872"/>
        <w:sz w:val="18"/>
        <w:szCs w:val="18"/>
      </w:rPr>
      <w:t xml:space="preserve">Page </w:t>
    </w:r>
    <w:r>
      <w:rPr>
        <w:color w:val="5D6872"/>
        <w:sz w:val="18"/>
        <w:szCs w:val="18"/>
      </w:rPr>
      <w:fldChar w:fldCharType="begin"/>
    </w:r>
    <w:r>
      <w:rPr>
        <w:color w:val="5D6872"/>
        <w:sz w:val="18"/>
        <w:szCs w:val="18"/>
      </w:rPr>
      <w:instrText>PAGE</w:instrText>
    </w:r>
    <w:r>
      <w:rPr>
        <w:color w:val="5D6872"/>
        <w:sz w:val="18"/>
        <w:szCs w:val="18"/>
      </w:rPr>
      <w:fldChar w:fldCharType="separate"/>
    </w:r>
    <w:r w:rsidR="00191FBB">
      <w:rPr>
        <w:noProof/>
        <w:color w:val="5D6872"/>
        <w:sz w:val="18"/>
        <w:szCs w:val="18"/>
      </w:rPr>
      <w:t>4</w:t>
    </w:r>
    <w:r>
      <w:rPr>
        <w:color w:val="5D6872"/>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9C282" w14:textId="77777777" w:rsidR="003B1965" w:rsidRDefault="003B1965">
      <w:pPr>
        <w:spacing w:after="0" w:line="240" w:lineRule="auto"/>
      </w:pPr>
      <w:r>
        <w:separator/>
      </w:r>
    </w:p>
  </w:footnote>
  <w:footnote w:type="continuationSeparator" w:id="0">
    <w:p w14:paraId="6921A7CB" w14:textId="77777777" w:rsidR="003B1965" w:rsidRDefault="003B1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9B509" w14:textId="77777777" w:rsidR="003A53A3" w:rsidRDefault="003A53A3">
    <w:pPr>
      <w:pBdr>
        <w:top w:val="nil"/>
        <w:left w:val="nil"/>
        <w:bottom w:val="nil"/>
        <w:right w:val="nil"/>
        <w:between w:val="nil"/>
      </w:pBdr>
      <w:tabs>
        <w:tab w:val="center" w:pos="4680"/>
        <w:tab w:val="right" w:pos="9360"/>
      </w:tabs>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529CA" w14:textId="77777777" w:rsidR="003A53A3" w:rsidRDefault="00000000">
    <w:pPr>
      <w:pBdr>
        <w:top w:val="nil"/>
        <w:left w:val="nil"/>
        <w:bottom w:val="nil"/>
        <w:right w:val="nil"/>
        <w:between w:val="nil"/>
      </w:pBdr>
      <w:tabs>
        <w:tab w:val="center" w:pos="4680"/>
        <w:tab w:val="right" w:pos="9360"/>
      </w:tabs>
      <w:spacing w:after="0" w:line="240" w:lineRule="auto"/>
      <w:jc w:val="right"/>
    </w:pPr>
    <w:r>
      <w:rPr>
        <w:b/>
        <w:bCs/>
        <w:color w:val="5D6872"/>
        <w:sz w:val="17"/>
        <w:szCs w:val="17"/>
      </w:rPr>
      <w:t xml:space="preserve">IKEA </w:t>
    </w:r>
    <w:proofErr w:type="spellStart"/>
    <w:r>
      <w:rPr>
        <w:b/>
        <w:bCs/>
        <w:color w:val="5D6872"/>
        <w:sz w:val="17"/>
        <w:szCs w:val="17"/>
      </w:rPr>
      <w:t>FlexHome</w:t>
    </w:r>
    <w:proofErr w:type="spellEnd"/>
    <w:r>
      <w:rPr>
        <w:b/>
        <w:bCs/>
        <w:color w:val="5D6872"/>
        <w:sz w:val="17"/>
        <w:szCs w:val="17"/>
      </w:rPr>
      <w:t xml:space="preserve"> Loop | Element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37388" w14:textId="77777777" w:rsidR="003A53A3" w:rsidRDefault="00000000">
    <w:pPr>
      <w:pBdr>
        <w:top w:val="nil"/>
        <w:left w:val="nil"/>
        <w:bottom w:val="nil"/>
        <w:right w:val="nil"/>
        <w:between w:val="nil"/>
      </w:pBdr>
      <w:tabs>
        <w:tab w:val="center" w:pos="4680"/>
        <w:tab w:val="right" w:pos="9360"/>
      </w:tabs>
      <w:spacing w:after="0" w:line="240" w:lineRule="auto"/>
      <w:jc w:val="right"/>
    </w:pPr>
    <w:r>
      <w:rPr>
        <w:b/>
        <w:bCs/>
        <w:color w:val="5D6872"/>
        <w:sz w:val="17"/>
        <w:szCs w:val="17"/>
      </w:rPr>
      <w:t xml:space="preserve">IKEA </w:t>
    </w:r>
    <w:proofErr w:type="spellStart"/>
    <w:r>
      <w:rPr>
        <w:b/>
        <w:bCs/>
        <w:color w:val="5D6872"/>
        <w:sz w:val="17"/>
        <w:szCs w:val="17"/>
      </w:rPr>
      <w:t>FlexHome</w:t>
    </w:r>
    <w:proofErr w:type="spellEnd"/>
    <w:r>
      <w:rPr>
        <w:b/>
        <w:bCs/>
        <w:color w:val="5D6872"/>
        <w:sz w:val="17"/>
        <w:szCs w:val="17"/>
      </w:rPr>
      <w:t xml:space="preserve"> Loop | LCMB7024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47BE7"/>
    <w:multiLevelType w:val="multilevel"/>
    <w:tmpl w:val="1BC845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32562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3A3"/>
    <w:rsid w:val="00191FBB"/>
    <w:rsid w:val="0029590E"/>
    <w:rsid w:val="003A53A3"/>
    <w:rsid w:val="003B1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B2E4E"/>
  <w15:docId w15:val="{0BA461AD-A38A-4FC4-905D-287F5877C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83247"/>
        <w:sz w:val="24"/>
        <w:szCs w:val="24"/>
        <w:lang w:val="en"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20"/>
      <w:outlineLvl w:val="0"/>
    </w:pPr>
    <w:rPr>
      <w:b/>
      <w:bCs/>
      <w:color w:val="003B63"/>
      <w:sz w:val="34"/>
      <w:szCs w:val="34"/>
    </w:rPr>
  </w:style>
  <w:style w:type="paragraph" w:styleId="Heading2">
    <w:name w:val="heading 2"/>
    <w:basedOn w:val="Normal"/>
    <w:next w:val="Normal"/>
    <w:uiPriority w:val="9"/>
    <w:unhideWhenUsed/>
    <w:qFormat/>
    <w:pPr>
      <w:keepNext/>
      <w:keepLines/>
      <w:spacing w:before="240" w:after="120"/>
      <w:outlineLvl w:val="1"/>
    </w:pPr>
    <w:rPr>
      <w:b/>
      <w:bCs/>
      <w:color w:val="0058A3"/>
      <w:sz w:val="28"/>
      <w:szCs w:val="28"/>
    </w:rPr>
  </w:style>
  <w:style w:type="paragraph" w:styleId="Heading3">
    <w:name w:val="heading 3"/>
    <w:basedOn w:val="Normal"/>
    <w:next w:val="Normal"/>
    <w:uiPriority w:val="9"/>
    <w:unhideWhenUsed/>
    <w:qFormat/>
    <w:pPr>
      <w:keepNext/>
      <w:keepLines/>
      <w:spacing w:before="160" w:after="80"/>
      <w:outlineLvl w:val="2"/>
    </w:pPr>
    <w:rPr>
      <w:b/>
      <w:bCs/>
      <w:color w:val="4EA76D"/>
      <w:sz w:val="25"/>
      <w:szCs w:val="25"/>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86/s12302-020-0300-3?utm_source=chatgpt.com" TargetMode="External"/><Relationship Id="rId18" Type="http://schemas.openxmlformats.org/officeDocument/2006/relationships/hyperlink" Target="https://doi.org/10.1007/s43615-025-00529-z?utm_source=chatgpt.com" TargetMode="External"/><Relationship Id="rId26" Type="http://schemas.openxmlformats.org/officeDocument/2006/relationships/hyperlink" Target="https://www.gov.uk/government/statistics/chapters-for-english-housing-survey-2024-to-2025-headline-findings-on-demographics-and-household-resilience/chapter-1-profile-of-households-and-dwellings?utm_source=chatgpt.com" TargetMode="External"/><Relationship Id="rId21" Type="http://schemas.openxmlformats.org/officeDocument/2006/relationships/hyperlink" Target="https://www.ikea.com/gb/en/newsroom/corporate-news/ikeas-buyback-and-resell-offer-is-back-supporting-a-more-affordable-way-to-shop-pubf3e08620/?utm_source=chatgpt.com" TargetMode="External"/><Relationship Id="rId34" Type="http://schemas.openxmlformats.org/officeDocument/2006/relationships/hyperlink" Target="https://doi.org/10.1007/s43615-023-00338-2?utm_source=chatgpt.com" TargetMode="Externa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yperlink" Target="https://doi.org/10.1007/s43615-025-00529-z?utm_source=chatgpt.com" TargetMode="External"/><Relationship Id="rId25" Type="http://schemas.openxmlformats.org/officeDocument/2006/relationships/hyperlink" Target="https://www.gov.uk/government/statistics/chapters-for-english-housing-survey-2024-to-2025-headline-findings-on-demographics-and-household-resilience/chapter-1-profile-of-households-and-dwellings?utm_source=chatgpt.com" TargetMode="External"/><Relationship Id="rId33" Type="http://schemas.openxmlformats.org/officeDocument/2006/relationships/hyperlink" Target="https://doi.org/10.1007/s43615-023-00338-2?utm_source=chatgpt.com"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16/j.spc.2022.04.005?utm_source=chatgpt.com" TargetMode="External"/><Relationship Id="rId20" Type="http://schemas.openxmlformats.org/officeDocument/2006/relationships/hyperlink" Target="https://www.ikea.com/global/en/images/IKEA_Strategy_2025_2030_pdf_V2_New_d4052a55f9.pdf?utm_source=chatgpt.com" TargetMode="External"/><Relationship Id="rId29" Type="http://schemas.openxmlformats.org/officeDocument/2006/relationships/hyperlink" Target="https://doi.org/10.1016/j.resconrec.2020.105045?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yperlink" Target="https://doi.org/10.1016/j.rser.2021.111858?utm_source=chatgpt.com" TargetMode="External"/><Relationship Id="rId32" Type="http://schemas.openxmlformats.org/officeDocument/2006/relationships/hyperlink" Target="https://sdgs.un.org/2030agenda?utm_source=chatgpt.com"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spc.2022.04.005?utm_source=chatgpt.com" TargetMode="External"/><Relationship Id="rId23" Type="http://schemas.openxmlformats.org/officeDocument/2006/relationships/hyperlink" Target="https://doi.org/10.1016/j.rser.2021.111858?utm_source=chatgpt.com" TargetMode="External"/><Relationship Id="rId28" Type="http://schemas.openxmlformats.org/officeDocument/2006/relationships/hyperlink" Target="https://doi.org/10.1007/s43615-024-00351-z?utm_source=chatgpt.com" TargetMode="External"/><Relationship Id="rId36"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s://www.ikea.com/global/en/images/IKEA_Strategy_2025_2030_pdf_V2_New_d4052a55f9.pdf?utm_source=chatgpt.com" TargetMode="External"/><Relationship Id="rId31" Type="http://schemas.openxmlformats.org/officeDocument/2006/relationships/hyperlink" Target="https://sdgs.un.org/2030agenda?utm_source=chatgpt.com"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doi.org/10.1186/s12302-020-0300-3?utm_source=chatgpt.com" TargetMode="External"/><Relationship Id="rId22" Type="http://schemas.openxmlformats.org/officeDocument/2006/relationships/hyperlink" Target="https://www.ikea.com/gb/en/newsroom/corporate-news/ikeas-buyback-and-resell-offer-is-back-supporting-a-more-affordable-way-to-shop-pubf3e08620/?utm_source=chatgpt.com" TargetMode="External"/><Relationship Id="rId27" Type="http://schemas.openxmlformats.org/officeDocument/2006/relationships/hyperlink" Target="https://doi.org/10.1007/s43615-024-00351-z?utm_source=chatgpt.com" TargetMode="External"/><Relationship Id="rId30" Type="http://schemas.openxmlformats.org/officeDocument/2006/relationships/hyperlink" Target="https://doi.org/10.1016/j.resconrec.2020.105045?utm_source=chatgpt.com" TargetMode="External"/><Relationship Id="rId35" Type="http://schemas.openxmlformats.org/officeDocument/2006/relationships/header" Target="header3.xml"/><Relationship Id="rId8" Type="http://schemas.openxmlformats.org/officeDocument/2006/relationships/header" Target="header1.xml"/><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3791</Words>
  <Characters>21613</Characters>
  <Application>Microsoft Office Word</Application>
  <DocSecurity>0</DocSecurity>
  <Lines>180</Lines>
  <Paragraphs>50</Paragraphs>
  <ScaleCrop>false</ScaleCrop>
  <Company/>
  <LinksUpToDate>false</LinksUpToDate>
  <CharactersWithSpaces>25354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Satish Prakashbhai Parmar [Student-PECS]</cp:lastModifiedBy>
  <cp:revision>2</cp:revision>
  <dcterms:created xsi:type="dcterms:W3CDTF">2026-08-14T11:08:00Z</dcterms:created>
  <dcterms:modified xsi:type="dcterms:W3CDTF">2026-08-14T11:08:00Z</dcterms:modified>
</cp:coreProperties>
</file>