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2DF913" w14:textId="77777777" w:rsidR="00747772" w:rsidRDefault="00747772" w:rsidP="00747772">
      <w:pPr>
        <w:spacing w:before="100" w:beforeAutospacing="1" w:after="100" w:afterAutospacing="1" w:line="360" w:lineRule="auto"/>
        <w:outlineLvl w:val="1"/>
        <w:rPr>
          <w:rFonts w:ascii="Times New Roman" w:eastAsia="Times New Roman" w:hAnsi="Times New Roman" w:cs="Times New Roman"/>
          <w:b/>
          <w:bCs/>
          <w:sz w:val="36"/>
          <w:szCs w:val="36"/>
        </w:rPr>
      </w:pPr>
    </w:p>
    <w:p w14:paraId="04D217DC" w14:textId="50B9FD0F" w:rsidR="003E52DE" w:rsidRPr="00747772" w:rsidRDefault="003E52DE" w:rsidP="00747772">
      <w:pPr>
        <w:spacing w:before="100" w:beforeAutospacing="1" w:after="100" w:afterAutospacing="1" w:line="360" w:lineRule="auto"/>
        <w:outlineLvl w:val="1"/>
        <w:rPr>
          <w:rFonts w:ascii="Times New Roman" w:eastAsia="Times New Roman" w:hAnsi="Times New Roman" w:cs="Times New Roman"/>
          <w:b/>
          <w:bCs/>
          <w:sz w:val="36"/>
          <w:szCs w:val="36"/>
        </w:rPr>
      </w:pPr>
      <w:r w:rsidRPr="00CD33A8">
        <w:rPr>
          <w:rFonts w:asciiTheme="minorBidi" w:hAnsiTheme="minorBidi"/>
          <w:noProof/>
        </w:rPr>
        <w:drawing>
          <wp:anchor distT="0" distB="0" distL="114300" distR="114300" simplePos="0" relativeHeight="251659264" behindDoc="0" locked="0" layoutInCell="1" allowOverlap="1" wp14:anchorId="56930251" wp14:editId="466D1F98">
            <wp:simplePos x="0" y="0"/>
            <wp:positionH relativeFrom="column">
              <wp:posOffset>0</wp:posOffset>
            </wp:positionH>
            <wp:positionV relativeFrom="paragraph">
              <wp:posOffset>468597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688D2E" w14:textId="77777777" w:rsidR="003E52DE" w:rsidRDefault="003E52DE" w:rsidP="00F01385">
      <w:pPr>
        <w:spacing w:before="100" w:beforeAutospacing="1" w:after="100" w:afterAutospacing="1" w:line="360" w:lineRule="auto"/>
        <w:rPr>
          <w:rFonts w:ascii="Times New Roman" w:eastAsia="Times New Roman" w:hAnsi="Times New Roman" w:cs="Times New Roman"/>
          <w:sz w:val="24"/>
          <w:szCs w:val="24"/>
        </w:rPr>
      </w:pPr>
    </w:p>
    <w:p w14:paraId="2E4FC6C8" w14:textId="77777777" w:rsidR="003E52DE" w:rsidRDefault="003E52DE" w:rsidP="00F01385">
      <w:pPr>
        <w:spacing w:before="100" w:beforeAutospacing="1" w:after="100" w:afterAutospacing="1" w:line="360" w:lineRule="auto"/>
        <w:rPr>
          <w:rFonts w:ascii="Times New Roman" w:eastAsia="Times New Roman" w:hAnsi="Times New Roman" w:cs="Times New Roman"/>
          <w:sz w:val="24"/>
          <w:szCs w:val="24"/>
        </w:rPr>
      </w:pPr>
    </w:p>
    <w:p w14:paraId="77061A6C" w14:textId="77777777"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p>
    <w:p w14:paraId="21C878CD" w14:textId="1D8777D0"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Health and social care</w:t>
      </w:r>
    </w:p>
    <w:p w14:paraId="79DC7174" w14:textId="18FD258B"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LCHS 4003</w:t>
      </w:r>
    </w:p>
    <w:p w14:paraId="106E83C2" w14:textId="0FB50F3A"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Jariatu Janet Jalloh</w:t>
      </w:r>
    </w:p>
    <w:p w14:paraId="50559EF7" w14:textId="704FCDD6"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 D: 2527004</w:t>
      </w:r>
    </w:p>
    <w:p w14:paraId="364E00B7" w14:textId="32326A5A" w:rsidR="00747772" w:rsidRDefault="00747772"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Lecture</w:t>
      </w:r>
      <w:r w:rsidR="007A0C47">
        <w:rPr>
          <w:rFonts w:ascii="Times New Roman" w:eastAsia="Times New Roman" w:hAnsi="Times New Roman" w:cs="Times New Roman"/>
          <w:sz w:val="24"/>
          <w:szCs w:val="24"/>
        </w:rPr>
        <w:t xml:space="preserve"> Name: Dr. Jolly Nwankwo</w:t>
      </w:r>
    </w:p>
    <w:p w14:paraId="7FED785C" w14:textId="2ECDE172" w:rsidR="00747772" w:rsidRDefault="007A0C47"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27D44">
        <w:rPr>
          <w:rFonts w:ascii="Times New Roman" w:eastAsia="Times New Roman" w:hAnsi="Times New Roman" w:cs="Times New Roman"/>
          <w:sz w:val="24"/>
          <w:szCs w:val="24"/>
        </w:rPr>
        <w:t>Introduction</w:t>
      </w:r>
    </w:p>
    <w:p w14:paraId="52B2A354" w14:textId="32EE7E24" w:rsidR="000D1ADA" w:rsidRDefault="000D1ADA"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6AF8B2F" w14:textId="3A54522E" w:rsidR="007A0C47" w:rsidRDefault="007A0C47"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2A7BC3">
        <w:rPr>
          <w:rFonts w:ascii="Times New Roman" w:eastAsia="Times New Roman" w:hAnsi="Times New Roman" w:cs="Times New Roman"/>
          <w:sz w:val="24"/>
          <w:szCs w:val="24"/>
        </w:rPr>
        <w:t xml:space="preserve">This essay examines the critical role of effective communication within health and social practice, using the case study of Mrs. Thompson </w:t>
      </w:r>
      <w:r w:rsidR="007C3821">
        <w:rPr>
          <w:rFonts w:ascii="Times New Roman" w:eastAsia="Times New Roman" w:hAnsi="Times New Roman" w:cs="Times New Roman"/>
          <w:sz w:val="24"/>
          <w:szCs w:val="24"/>
        </w:rPr>
        <w:t>to contextualize theoretical frameworks and statutory</w:t>
      </w:r>
      <w:r>
        <w:rPr>
          <w:rFonts w:ascii="Times New Roman" w:eastAsia="Times New Roman" w:hAnsi="Times New Roman" w:cs="Times New Roman"/>
          <w:sz w:val="24"/>
          <w:szCs w:val="24"/>
        </w:rPr>
        <w:tab/>
      </w:r>
    </w:p>
    <w:p w14:paraId="3DF8FF91" w14:textId="7EEE2E74" w:rsid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requirements. Delivering high-quality, safe, and compassionate care relies fundamentally upon the capacity of multidisciplinary teams to exchange information accurately, </w:t>
      </w:r>
      <w:r w:rsidR="00737E9C" w:rsidRPr="00424518">
        <w:rPr>
          <w:rFonts w:ascii="Times New Roman" w:eastAsia="Times New Roman" w:hAnsi="Times New Roman" w:cs="Times New Roman"/>
          <w:sz w:val="24"/>
          <w:szCs w:val="24"/>
        </w:rPr>
        <w:t>empathies</w:t>
      </w:r>
      <w:r w:rsidRPr="00424518">
        <w:rPr>
          <w:rFonts w:ascii="Times New Roman" w:eastAsia="Times New Roman" w:hAnsi="Times New Roman" w:cs="Times New Roman"/>
          <w:sz w:val="24"/>
          <w:szCs w:val="24"/>
        </w:rPr>
        <w:t xml:space="preserve"> with service users, and collaborate with families. Throughout this discussion, reference will be made to the statutory obligations outlined in the Equality Act 2010 and the Data Protection Act 2018, alongside an exploration of administrative competencies. Furthermore, Dean Barnlund’s </w:t>
      </w:r>
      <w:r w:rsidRPr="00424518">
        <w:rPr>
          <w:rFonts w:ascii="Times New Roman" w:eastAsia="Times New Roman" w:hAnsi="Times New Roman" w:cs="Times New Roman"/>
          <w:sz w:val="24"/>
          <w:szCs w:val="24"/>
        </w:rPr>
        <w:lastRenderedPageBreak/>
        <w:t xml:space="preserve">Transactional Model of Communication will be applied to </w:t>
      </w:r>
      <w:r w:rsidR="00737E9C" w:rsidRPr="00424518">
        <w:rPr>
          <w:rFonts w:ascii="Times New Roman" w:eastAsia="Times New Roman" w:hAnsi="Times New Roman" w:cs="Times New Roman"/>
          <w:sz w:val="24"/>
          <w:szCs w:val="24"/>
        </w:rPr>
        <w:t>analyze</w:t>
      </w:r>
      <w:r w:rsidRPr="00424518">
        <w:rPr>
          <w:rFonts w:ascii="Times New Roman" w:eastAsia="Times New Roman" w:hAnsi="Times New Roman" w:cs="Times New Roman"/>
          <w:sz w:val="24"/>
          <w:szCs w:val="24"/>
        </w:rPr>
        <w:t xml:space="preserve"> the interactive and dynamic nature of clinical interactions. </w:t>
      </w:r>
    </w:p>
    <w:p w14:paraId="3D9D67F4" w14:textId="22C3596C" w:rsidR="003324FE" w:rsidRPr="00424518" w:rsidRDefault="003324FE" w:rsidP="00F01385">
      <w:pPr>
        <w:spacing w:before="100" w:beforeAutospacing="1" w:after="100" w:afterAutospacing="1" w:line="360" w:lineRule="auto"/>
        <w:rPr>
          <w:rFonts w:ascii="Times New Roman" w:eastAsia="Times New Roman" w:hAnsi="Times New Roman" w:cs="Times New Roman"/>
          <w:b/>
          <w:bCs/>
          <w:sz w:val="28"/>
          <w:szCs w:val="28"/>
          <w:u w:val="single"/>
        </w:rPr>
      </w:pPr>
      <w:r w:rsidRPr="003324FE">
        <w:rPr>
          <w:rFonts w:ascii="Times New Roman" w:eastAsia="Times New Roman" w:hAnsi="Times New Roman" w:cs="Times New Roman"/>
          <w:b/>
          <w:bCs/>
          <w:sz w:val="28"/>
          <w:szCs w:val="28"/>
          <w:u w:val="single"/>
        </w:rPr>
        <w:t>Importance of effective communication</w:t>
      </w:r>
    </w:p>
    <w:p w14:paraId="512EDD62" w14:textId="6898143E"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24518">
        <w:rPr>
          <w:rFonts w:ascii="Times New Roman" w:eastAsia="Times New Roman" w:hAnsi="Times New Roman" w:cs="Times New Roman"/>
          <w:sz w:val="24"/>
          <w:szCs w:val="24"/>
        </w:rPr>
        <w:t xml:space="preserve">The subject of this case study,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 is an 84-year-old individual who lives alone and has recently been discharged from hospital following a bout of pneumonia. Her medical and social profile includes a diagnosis of mild cognitive impairment or dementia, routine visits from domiciliary care services twice daily, and a recent history of medication non-adherence that exacerbated her confusion. A critical incident occurred wherein she missed two consecutive days of prescribed medication and was subsequently located outdoors during freezing weather conditions wearing inappropriate attire. Consequently, these events triggered a formal medication review and a multi-agency safeguarding investigation.</w:t>
      </w:r>
    </w:p>
    <w:p w14:paraId="0DEFC8A1" w14:textId="7B25D3F4"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Within health and social care delivery, communication serves as the primary vehicle through which safety, continuity, and dignity are maintained (Nursing and Midwifery Council [NMC], 2018). Person-</w:t>
      </w:r>
      <w:r w:rsidR="00737E9C" w:rsidRPr="00424518">
        <w:rPr>
          <w:rFonts w:ascii="Times New Roman" w:eastAsia="Times New Roman" w:hAnsi="Times New Roman" w:cs="Times New Roman"/>
          <w:sz w:val="24"/>
          <w:szCs w:val="24"/>
        </w:rPr>
        <w:t>centered</w:t>
      </w:r>
      <w:r w:rsidRPr="00424518">
        <w:rPr>
          <w:rFonts w:ascii="Times New Roman" w:eastAsia="Times New Roman" w:hAnsi="Times New Roman" w:cs="Times New Roman"/>
          <w:sz w:val="24"/>
          <w:szCs w:val="24"/>
        </w:rPr>
        <w:t xml:space="preserve"> communication enables practitioners to look beyond clinical symptoms and engage service users as active partners in their own health and wellbeing (Health and Care Professions Council [HCPC], 2023). For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 whose mild dementia impacts her short-term memory, information processing speed, and decision-making capacity, standard communicative approaches are often insufficient. According to the National Institute for Health and Care Excellence (NICE, 2018), professionals must deliberately modify their interactions by deploying simplified language, pacing their speech, granting extended time for cognitive processing, and routinely verifying comprehension.</w:t>
      </w:r>
    </w:p>
    <w:p w14:paraId="42F07BAA" w14:textId="22397D53" w:rsidR="00424518" w:rsidRPr="00424518" w:rsidRDefault="00424518" w:rsidP="00F01385">
      <w:pPr>
        <w:spacing w:before="100" w:beforeAutospacing="1" w:after="100" w:afterAutospacing="1" w:line="360" w:lineRule="auto"/>
        <w:outlineLvl w:val="1"/>
        <w:rPr>
          <w:rFonts w:ascii="Times New Roman" w:eastAsia="Times New Roman" w:hAnsi="Times New Roman" w:cs="Times New Roman"/>
          <w:b/>
          <w:bCs/>
          <w:sz w:val="36"/>
          <w:szCs w:val="36"/>
        </w:rPr>
      </w:pPr>
    </w:p>
    <w:p w14:paraId="6E926ABE" w14:textId="6BCFB6E0" w:rsidR="003324FE"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To mitigate risks associated with cognitive decline and confusion, health and social care professionals must adopt specific interpersonal strategies. Communication should be free of dense medical jargon that might overwhelm or disorient the service user. Non-verbal cues—such as maintaining an open posture, offering reassuring facial expressions, and sitting at eye level—play a profound role in establishing rapport and easing anxiety. Active listening is equally vital, </w:t>
      </w:r>
      <w:r w:rsidRPr="00424518">
        <w:rPr>
          <w:rFonts w:ascii="Times New Roman" w:eastAsia="Times New Roman" w:hAnsi="Times New Roman" w:cs="Times New Roman"/>
          <w:sz w:val="24"/>
          <w:szCs w:val="24"/>
        </w:rPr>
        <w:lastRenderedPageBreak/>
        <w:t xml:space="preserve">allowing care workers to uncover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Thompson’s underlying preferences, fears, and daily routines.</w:t>
      </w:r>
    </w:p>
    <w:p w14:paraId="075A9540" w14:textId="3943E2C4" w:rsidR="00424518" w:rsidRPr="00424518" w:rsidRDefault="003324FE"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4518" w:rsidRPr="00424518">
        <w:rPr>
          <w:rFonts w:ascii="Times New Roman" w:eastAsia="Times New Roman" w:hAnsi="Times New Roman" w:cs="Times New Roman"/>
          <w:sz w:val="24"/>
          <w:szCs w:val="24"/>
        </w:rPr>
        <w:t xml:space="preserve">In addition to direct engagement with the service user, family members can act as essential partners in care, provided explicit consent is obtained from </w:t>
      </w:r>
      <w:r w:rsidR="00737E9C" w:rsidRPr="00424518">
        <w:rPr>
          <w:rFonts w:ascii="Times New Roman" w:eastAsia="Times New Roman" w:hAnsi="Times New Roman" w:cs="Times New Roman"/>
          <w:sz w:val="24"/>
          <w:szCs w:val="24"/>
        </w:rPr>
        <w:t>Mrs.</w:t>
      </w:r>
      <w:r w:rsidR="00424518" w:rsidRPr="00424518">
        <w:rPr>
          <w:rFonts w:ascii="Times New Roman" w:eastAsia="Times New Roman" w:hAnsi="Times New Roman" w:cs="Times New Roman"/>
          <w:sz w:val="24"/>
          <w:szCs w:val="24"/>
        </w:rPr>
        <w:t xml:space="preserve"> Thompson. Relatives often notice subtle shifts in </w:t>
      </w:r>
      <w:r w:rsidR="00737E9C" w:rsidRPr="00424518">
        <w:rPr>
          <w:rFonts w:ascii="Times New Roman" w:eastAsia="Times New Roman" w:hAnsi="Times New Roman" w:cs="Times New Roman"/>
          <w:sz w:val="24"/>
          <w:szCs w:val="24"/>
        </w:rPr>
        <w:t>behavior</w:t>
      </w:r>
      <w:r w:rsidR="00424518" w:rsidRPr="00424518">
        <w:rPr>
          <w:rFonts w:ascii="Times New Roman" w:eastAsia="Times New Roman" w:hAnsi="Times New Roman" w:cs="Times New Roman"/>
          <w:sz w:val="24"/>
          <w:szCs w:val="24"/>
        </w:rPr>
        <w:t xml:space="preserve">, declining medication compliance, or emerging environmental risks long before formal agencies do. Their insights assist multidisciplinary teams in tailoring care plans that respect </w:t>
      </w:r>
      <w:r w:rsidR="00737E9C" w:rsidRPr="00424518">
        <w:rPr>
          <w:rFonts w:ascii="Times New Roman" w:eastAsia="Times New Roman" w:hAnsi="Times New Roman" w:cs="Times New Roman"/>
          <w:sz w:val="24"/>
          <w:szCs w:val="24"/>
        </w:rPr>
        <w:t>Mrs.</w:t>
      </w:r>
      <w:r w:rsidR="00424518" w:rsidRPr="00424518">
        <w:rPr>
          <w:rFonts w:ascii="Times New Roman" w:eastAsia="Times New Roman" w:hAnsi="Times New Roman" w:cs="Times New Roman"/>
          <w:sz w:val="24"/>
          <w:szCs w:val="24"/>
        </w:rPr>
        <w:t xml:space="preserve"> Thompson's autonomy while protecting her safety. Nonetheless, practitioners carry a professional responsibility to ensure that </w:t>
      </w:r>
      <w:r w:rsidR="00737E9C" w:rsidRPr="00424518">
        <w:rPr>
          <w:rFonts w:ascii="Times New Roman" w:eastAsia="Times New Roman" w:hAnsi="Times New Roman" w:cs="Times New Roman"/>
          <w:sz w:val="24"/>
          <w:szCs w:val="24"/>
        </w:rPr>
        <w:t>Mrs.</w:t>
      </w:r>
      <w:r w:rsidR="00424518" w:rsidRPr="00424518">
        <w:rPr>
          <w:rFonts w:ascii="Times New Roman" w:eastAsia="Times New Roman" w:hAnsi="Times New Roman" w:cs="Times New Roman"/>
          <w:sz w:val="24"/>
          <w:szCs w:val="24"/>
        </w:rPr>
        <w:t xml:space="preserve"> Thompson remains at the core of all decisions concerning her life, provided she retains the mental capacity to express her wishes.</w:t>
      </w:r>
    </w:p>
    <w:p w14:paraId="391C5E9D" w14:textId="77777777" w:rsidR="00424518" w:rsidRPr="00424518" w:rsidRDefault="00424518" w:rsidP="00F01385">
      <w:pPr>
        <w:spacing w:before="100" w:beforeAutospacing="1" w:after="100" w:afterAutospacing="1" w:line="360" w:lineRule="auto"/>
        <w:outlineLvl w:val="1"/>
        <w:rPr>
          <w:rFonts w:ascii="Times New Roman" w:eastAsia="Times New Roman" w:hAnsi="Times New Roman" w:cs="Times New Roman"/>
          <w:b/>
          <w:bCs/>
          <w:sz w:val="36"/>
          <w:szCs w:val="36"/>
        </w:rPr>
      </w:pPr>
      <w:r w:rsidRPr="00424518">
        <w:rPr>
          <w:rFonts w:ascii="Times New Roman" w:eastAsia="Times New Roman" w:hAnsi="Times New Roman" w:cs="Times New Roman"/>
          <w:b/>
          <w:bCs/>
          <w:sz w:val="36"/>
          <w:szCs w:val="36"/>
        </w:rPr>
        <w:t>Application of the Transactional Model of Communication</w:t>
      </w:r>
    </w:p>
    <w:p w14:paraId="106686E1" w14:textId="6E454B16" w:rsidR="00424518" w:rsidRPr="00424518" w:rsidRDefault="003324FE"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4518" w:rsidRPr="00424518">
        <w:rPr>
          <w:rFonts w:ascii="Times New Roman" w:eastAsia="Times New Roman" w:hAnsi="Times New Roman" w:cs="Times New Roman"/>
          <w:sz w:val="24"/>
          <w:szCs w:val="24"/>
        </w:rPr>
        <w:t xml:space="preserve">To gain a deeper academic insight into these clinical interactions, Dean Barnlund’s Transactional Model of Communication (2008) can be applied. Unlike outdated linear models that view communication as a rigid, one-way transmission of data from a sender to a receiver, the transactional model </w:t>
      </w:r>
      <w:r w:rsidR="00737E9C" w:rsidRPr="00424518">
        <w:rPr>
          <w:rFonts w:ascii="Times New Roman" w:eastAsia="Times New Roman" w:hAnsi="Times New Roman" w:cs="Times New Roman"/>
          <w:sz w:val="24"/>
          <w:szCs w:val="24"/>
        </w:rPr>
        <w:t>conceptualizes</w:t>
      </w:r>
      <w:r w:rsidR="00424518" w:rsidRPr="00424518">
        <w:rPr>
          <w:rFonts w:ascii="Times New Roman" w:eastAsia="Times New Roman" w:hAnsi="Times New Roman" w:cs="Times New Roman"/>
          <w:sz w:val="24"/>
          <w:szCs w:val="24"/>
        </w:rPr>
        <w:t xml:space="preserve"> communication as a simultaneous, dynamic, and multi-layered process. In this framework, participants act concurrently as both senders and receivers of messages, continuously encoding and decoding verbal and non-verbal cues. </w:t>
      </w:r>
    </w:p>
    <w:p w14:paraId="4851110C" w14:textId="77777777" w:rsidR="00424518" w:rsidRPr="00424518" w:rsidRDefault="00424518" w:rsidP="00F01385">
      <w:pPr>
        <w:spacing w:after="0"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Scribd+ 1</w:t>
      </w:r>
    </w:p>
    <w:p w14:paraId="6907D2BF" w14:textId="1CD685AC"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When a domiciliary care worker visits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 the interaction is shaped by continuous feedback loops. For instance, as the care worker explains the morning medication schedule verbally, they simultaneously monitor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Thompson's non-verbal responses—such as furrowed brows, a blank stare, or nodding. These non-verbal cues function as immediate feedback, prompting the care worker to adapt their approach dynamically by slowing down speech or using visual prompts. </w:t>
      </w:r>
    </w:p>
    <w:p w14:paraId="6C2CDDF9" w14:textId="77777777" w:rsidR="00424518" w:rsidRPr="00424518" w:rsidRDefault="00424518" w:rsidP="00F01385">
      <w:pPr>
        <w:spacing w:after="0"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Pressbooks.pub</w:t>
      </w:r>
    </w:p>
    <w:p w14:paraId="104C8B93" w14:textId="2DF5DC7C"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lastRenderedPageBreak/>
        <w:t xml:space="preserve">Furthermore, the transactional model highlights the influence of various contexts—such as </w:t>
      </w:r>
      <w:r w:rsidR="00C27D44">
        <w:rPr>
          <w:rFonts w:ascii="Times New Roman" w:eastAsia="Times New Roman" w:hAnsi="Times New Roman" w:cs="Times New Roman"/>
          <w:sz w:val="24"/>
          <w:szCs w:val="24"/>
        </w:rPr>
        <w:t xml:space="preserve">practice, </w:t>
      </w:r>
      <w:r w:rsidRPr="00424518">
        <w:rPr>
          <w:rFonts w:ascii="Times New Roman" w:eastAsia="Times New Roman" w:hAnsi="Times New Roman" w:cs="Times New Roman"/>
          <w:sz w:val="24"/>
          <w:szCs w:val="24"/>
        </w:rPr>
        <w:t xml:space="preserve">social, and relational environments—upon an exchange. Factors like environmental noise in a care setting,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Thompson's internal state of confusion, and the professional relationship built over time act as filters that shape how messages are interpreted. By </w:t>
      </w:r>
      <w:r w:rsidR="00737E9C" w:rsidRPr="00424518">
        <w:rPr>
          <w:rFonts w:ascii="Times New Roman" w:eastAsia="Times New Roman" w:hAnsi="Times New Roman" w:cs="Times New Roman"/>
          <w:sz w:val="24"/>
          <w:szCs w:val="24"/>
        </w:rPr>
        <w:t>recognizing</w:t>
      </w:r>
      <w:r w:rsidRPr="00424518">
        <w:rPr>
          <w:rFonts w:ascii="Times New Roman" w:eastAsia="Times New Roman" w:hAnsi="Times New Roman" w:cs="Times New Roman"/>
          <w:sz w:val="24"/>
          <w:szCs w:val="24"/>
        </w:rPr>
        <w:t xml:space="preserve"> that meaning is co-created rather than merely transmitted, care professionals can better appreciate how anxiety or cognitive impairment alters the decoding of safety instructions, allowing them to refine their interactive strategies accordingly. </w:t>
      </w:r>
    </w:p>
    <w:p w14:paraId="63935274" w14:textId="77777777" w:rsidR="00424518" w:rsidRPr="00424518" w:rsidRDefault="00424518" w:rsidP="00F01385">
      <w:pPr>
        <w:spacing w:after="0"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Toronto Metropolitan University Pressbooks</w:t>
      </w:r>
    </w:p>
    <w:p w14:paraId="25CF13FE" w14:textId="044E8274" w:rsidR="00424518" w:rsidRPr="00424518" w:rsidRDefault="009E3592" w:rsidP="00F01385">
      <w:pPr>
        <w:spacing w:before="100" w:beforeAutospacing="1" w:after="100" w:afterAutospacing="1" w:line="36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Applying</w:t>
      </w:r>
      <w:r w:rsidR="00424518" w:rsidRPr="00424518">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t</w:t>
      </w:r>
      <w:r w:rsidR="00424518" w:rsidRPr="00424518">
        <w:rPr>
          <w:rFonts w:ascii="Times New Roman" w:eastAsia="Times New Roman" w:hAnsi="Times New Roman" w:cs="Times New Roman"/>
          <w:b/>
          <w:bCs/>
          <w:sz w:val="36"/>
          <w:szCs w:val="36"/>
        </w:rPr>
        <w:t>he Equality Act 2010</w:t>
      </w:r>
    </w:p>
    <w:p w14:paraId="143EC7AD" w14:textId="5318412A" w:rsidR="00424518" w:rsidRPr="00424518" w:rsidRDefault="003324FE"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4518" w:rsidRPr="00424518">
        <w:rPr>
          <w:rFonts w:ascii="Times New Roman" w:eastAsia="Times New Roman" w:hAnsi="Times New Roman" w:cs="Times New Roman"/>
          <w:sz w:val="24"/>
          <w:szCs w:val="24"/>
        </w:rPr>
        <w:t xml:space="preserve">Interaction within health and social care must also adhere to strict legislative standards. The Equality Act 2010 legally protects individuals from discrimination based on protected characteristics, which explicitly include age and disability. Given </w:t>
      </w:r>
      <w:r w:rsidR="00737E9C" w:rsidRPr="00424518">
        <w:rPr>
          <w:rFonts w:ascii="Times New Roman" w:eastAsia="Times New Roman" w:hAnsi="Times New Roman" w:cs="Times New Roman"/>
          <w:sz w:val="24"/>
          <w:szCs w:val="24"/>
        </w:rPr>
        <w:t>Mrs.</w:t>
      </w:r>
      <w:r w:rsidR="00424518" w:rsidRPr="00424518">
        <w:rPr>
          <w:rFonts w:ascii="Times New Roman" w:eastAsia="Times New Roman" w:hAnsi="Times New Roman" w:cs="Times New Roman"/>
          <w:sz w:val="24"/>
          <w:szCs w:val="24"/>
        </w:rPr>
        <w:t xml:space="preserve"> Thompson's advanced age and her diagnosis of dementia, service providers have a statutory duty to implement "reasonable adjustments" to ensure equitable access to services and information.</w:t>
      </w:r>
    </w:p>
    <w:p w14:paraId="477EE780" w14:textId="1DA79505"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In practice, reasonable adjustments for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 might involve providing care documentation or medication schedules in large-print formats, utilizing pictorial communication aids, scheduling appointments at times of day when her cognitive function is optimal, and granting her family adequate time to support her understanding. Failing to make these accommodations would not only breach statutory legislation but also compromise the safety and person-</w:t>
      </w:r>
      <w:r w:rsidR="00737E9C" w:rsidRPr="00424518">
        <w:rPr>
          <w:rFonts w:ascii="Times New Roman" w:eastAsia="Times New Roman" w:hAnsi="Times New Roman" w:cs="Times New Roman"/>
          <w:sz w:val="24"/>
          <w:szCs w:val="24"/>
        </w:rPr>
        <w:t>centered</w:t>
      </w:r>
      <w:r w:rsidRPr="00424518">
        <w:rPr>
          <w:rFonts w:ascii="Times New Roman" w:eastAsia="Times New Roman" w:hAnsi="Times New Roman" w:cs="Times New Roman"/>
          <w:sz w:val="24"/>
          <w:szCs w:val="24"/>
        </w:rPr>
        <w:t xml:space="preserve"> nature of her care package.</w:t>
      </w:r>
    </w:p>
    <w:p w14:paraId="21FECF94" w14:textId="476E18A9" w:rsidR="00FF710B" w:rsidRDefault="00424518" w:rsidP="00F01385">
      <w:pPr>
        <w:spacing w:before="100" w:beforeAutospacing="1" w:after="100" w:afterAutospacing="1" w:line="360" w:lineRule="auto"/>
        <w:outlineLvl w:val="1"/>
        <w:rPr>
          <w:rFonts w:ascii="Times New Roman" w:eastAsia="Times New Roman" w:hAnsi="Times New Roman" w:cs="Times New Roman"/>
          <w:b/>
          <w:bCs/>
          <w:sz w:val="36"/>
          <w:szCs w:val="36"/>
        </w:rPr>
      </w:pPr>
      <w:r w:rsidRPr="00424518">
        <w:rPr>
          <w:rFonts w:ascii="Times New Roman" w:eastAsia="Times New Roman" w:hAnsi="Times New Roman" w:cs="Times New Roman"/>
          <w:b/>
          <w:bCs/>
          <w:sz w:val="36"/>
          <w:szCs w:val="36"/>
        </w:rPr>
        <w:t>Administrative Skills and in Professional Practice</w:t>
      </w:r>
    </w:p>
    <w:p w14:paraId="6AB09F1A" w14:textId="52C0C504" w:rsidR="00FF710B" w:rsidRPr="00424518" w:rsidRDefault="00FF710B" w:rsidP="00F01385">
      <w:pPr>
        <w:spacing w:before="100" w:beforeAutospacing="1" w:after="100" w:afterAutospacing="1" w:line="36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Administrative skills are important when supporting Mrs. Thompson with her health conditions. They help staff organize information, keep records, arrange appointment </w:t>
      </w:r>
      <w:r>
        <w:rPr>
          <w:rFonts w:ascii="Times New Roman" w:eastAsia="Times New Roman" w:hAnsi="Times New Roman" w:cs="Times New Roman"/>
          <w:b/>
          <w:bCs/>
          <w:sz w:val="36"/>
          <w:szCs w:val="36"/>
        </w:rPr>
        <w:lastRenderedPageBreak/>
        <w:t>and communicate with other people involved in his care</w:t>
      </w:r>
      <w:r w:rsidR="00F2319A">
        <w:rPr>
          <w:rFonts w:ascii="Times New Roman" w:eastAsia="Times New Roman" w:hAnsi="Times New Roman" w:cs="Times New Roman"/>
          <w:b/>
          <w:bCs/>
          <w:sz w:val="36"/>
          <w:szCs w:val="36"/>
        </w:rPr>
        <w:t>. One important skill is record keeping. Staff need to write down information about Mrs. Thompson health, appointments and support. The information should be correct and kept up to date.</w:t>
      </w:r>
    </w:p>
    <w:p w14:paraId="661D7F9E" w14:textId="703361C5" w:rsidR="00424518" w:rsidRPr="00424518" w:rsidRDefault="003324FE" w:rsidP="00F01385">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4518" w:rsidRPr="00424518">
        <w:rPr>
          <w:rFonts w:ascii="Times New Roman" w:eastAsia="Times New Roman" w:hAnsi="Times New Roman" w:cs="Times New Roman"/>
          <w:sz w:val="24"/>
          <w:szCs w:val="24"/>
        </w:rPr>
        <w:t>Beyond direct verbal and non-verbal engagement, written communication and administrative competence are core pillars of safe healthcare delivery (Department of Health and Social Care [DHSC], 2014). Administrative skills—encompassing accurate record-keeping, robust information management, strict confidentiality, and timely reporting—are essential for maintaining continuity of care across multi-agency teams (DHSC, 2014).</w:t>
      </w:r>
    </w:p>
    <w:p w14:paraId="14B5B1E2" w14:textId="0312FCE2"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In </w:t>
      </w:r>
      <w:r w:rsidR="00EC3D45"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Thompson’s specific circumstances, meticulous documentation is of paramount importance. Following her recent transition home, missed medication instances, and the safeguarding incident where she wandered outside inappropriately dressed, every care encounter must be recorded with precision. Domiciliary care workers are required to log medication administration immediately, noting exact timings, any refused or missed doses, and subtle </w:t>
      </w:r>
      <w:r w:rsidR="00737E9C" w:rsidRPr="00424518">
        <w:rPr>
          <w:rFonts w:ascii="Times New Roman" w:eastAsia="Times New Roman" w:hAnsi="Times New Roman" w:cs="Times New Roman"/>
          <w:sz w:val="24"/>
          <w:szCs w:val="24"/>
        </w:rPr>
        <w:t>behavioral</w:t>
      </w:r>
      <w:r w:rsidRPr="00424518">
        <w:rPr>
          <w:rFonts w:ascii="Times New Roman" w:eastAsia="Times New Roman" w:hAnsi="Times New Roman" w:cs="Times New Roman"/>
          <w:sz w:val="24"/>
          <w:szCs w:val="24"/>
        </w:rPr>
        <w:t xml:space="preserve"> shifts. Incidents involving risks to safety must be documented factually, objectively, and promptly in strict alignment with </w:t>
      </w:r>
      <w:r w:rsidR="00737E9C" w:rsidRPr="00424518">
        <w:rPr>
          <w:rFonts w:ascii="Times New Roman" w:eastAsia="Times New Roman" w:hAnsi="Times New Roman" w:cs="Times New Roman"/>
          <w:sz w:val="24"/>
          <w:szCs w:val="24"/>
        </w:rPr>
        <w:t>organizational</w:t>
      </w:r>
      <w:r w:rsidRPr="00424518">
        <w:rPr>
          <w:rFonts w:ascii="Times New Roman" w:eastAsia="Times New Roman" w:hAnsi="Times New Roman" w:cs="Times New Roman"/>
          <w:sz w:val="24"/>
          <w:szCs w:val="24"/>
        </w:rPr>
        <w:t xml:space="preserve"> policies.</w:t>
      </w:r>
    </w:p>
    <w:p w14:paraId="1975EAA5" w14:textId="77777777" w:rsidR="00424518" w:rsidRPr="00424518" w:rsidRDefault="00424518" w:rsidP="00F01385">
      <w:pPr>
        <w:spacing w:before="100" w:beforeAutospacing="1" w:after="100" w:afterAutospacing="1" w:line="36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Comprehensive records ensure that other members of the multidisciplinary network—including her General Practitioner (GP), community nurses, social workers, and emergency services—can access uniform, up-to-date information to guide clinical decisions. Furthermore, contemporaneous records serve as critical legal evidence demonstrating that professional duties of care were executed correctly, while also feeding into internal quality assurance and clinical audit cycles.</w:t>
      </w:r>
    </w:p>
    <w:p w14:paraId="5BB7709D" w14:textId="4FC33147" w:rsidR="00424518" w:rsidRPr="00424518" w:rsidRDefault="00424518" w:rsidP="00424518">
      <w:pPr>
        <w:spacing w:before="100" w:beforeAutospacing="1" w:after="100" w:afterAutospacing="1" w:line="48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To safeguard sensitive personal data generated through these administrative processes, practice must comply with the Data Protection Act 2018. This legislation governs how health and social </w:t>
      </w:r>
      <w:r w:rsidRPr="00424518">
        <w:rPr>
          <w:rFonts w:ascii="Times New Roman" w:eastAsia="Times New Roman" w:hAnsi="Times New Roman" w:cs="Times New Roman"/>
          <w:sz w:val="24"/>
          <w:szCs w:val="24"/>
        </w:rPr>
        <w:lastRenderedPageBreak/>
        <w:t xml:space="preserve">care </w:t>
      </w:r>
      <w:r w:rsidR="00737E9C" w:rsidRPr="00424518">
        <w:rPr>
          <w:rFonts w:ascii="Times New Roman" w:eastAsia="Times New Roman" w:hAnsi="Times New Roman" w:cs="Times New Roman"/>
          <w:sz w:val="24"/>
          <w:szCs w:val="24"/>
        </w:rPr>
        <w:t>organizations</w:t>
      </w:r>
      <w:r w:rsidRPr="00424518">
        <w:rPr>
          <w:rFonts w:ascii="Times New Roman" w:eastAsia="Times New Roman" w:hAnsi="Times New Roman" w:cs="Times New Roman"/>
          <w:sz w:val="24"/>
          <w:szCs w:val="24"/>
        </w:rPr>
        <w:t xml:space="preserve"> collect, store, share, and destroy service user records. While information must be shared safely among </w:t>
      </w:r>
      <w:r w:rsidR="00737E9C" w:rsidRPr="00424518">
        <w:rPr>
          <w:rFonts w:ascii="Times New Roman" w:eastAsia="Times New Roman" w:hAnsi="Times New Roman" w:cs="Times New Roman"/>
          <w:sz w:val="24"/>
          <w:szCs w:val="24"/>
        </w:rPr>
        <w:t>authorized</w:t>
      </w:r>
      <w:r w:rsidRPr="00424518">
        <w:rPr>
          <w:rFonts w:ascii="Times New Roman" w:eastAsia="Times New Roman" w:hAnsi="Times New Roman" w:cs="Times New Roman"/>
          <w:sz w:val="24"/>
          <w:szCs w:val="24"/>
        </w:rPr>
        <w:t xml:space="preserve"> professionals to guarantee seamless care delivery, service user confidentiality must be rigorously maintained, ensuring that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Thompson's dignity, privacy, and legal rights are </w:t>
      </w:r>
      <w:r w:rsidR="00737E9C" w:rsidRPr="00424518">
        <w:rPr>
          <w:rFonts w:ascii="Times New Roman" w:eastAsia="Times New Roman" w:hAnsi="Times New Roman" w:cs="Times New Roman"/>
          <w:sz w:val="24"/>
          <w:szCs w:val="24"/>
        </w:rPr>
        <w:t>always protected</w:t>
      </w:r>
      <w:r w:rsidRPr="00424518">
        <w:rPr>
          <w:rFonts w:ascii="Times New Roman" w:eastAsia="Times New Roman" w:hAnsi="Times New Roman" w:cs="Times New Roman"/>
          <w:sz w:val="24"/>
          <w:szCs w:val="24"/>
        </w:rPr>
        <w:t>.</w:t>
      </w:r>
      <w:r w:rsidR="005A5812">
        <w:rPr>
          <w:rFonts w:ascii="Times New Roman" w:eastAsia="Times New Roman" w:hAnsi="Times New Roman" w:cs="Times New Roman"/>
          <w:sz w:val="24"/>
          <w:szCs w:val="24"/>
        </w:rPr>
        <w:t xml:space="preserve">  </w:t>
      </w:r>
    </w:p>
    <w:p w14:paraId="27682B7A" w14:textId="77777777" w:rsidR="00424518" w:rsidRPr="00424518" w:rsidRDefault="00424518" w:rsidP="00424518">
      <w:pPr>
        <w:spacing w:before="100" w:beforeAutospacing="1" w:after="100" w:afterAutospacing="1" w:line="480" w:lineRule="auto"/>
        <w:outlineLvl w:val="1"/>
        <w:rPr>
          <w:rFonts w:ascii="Times New Roman" w:eastAsia="Times New Roman" w:hAnsi="Times New Roman" w:cs="Times New Roman"/>
          <w:b/>
          <w:bCs/>
          <w:sz w:val="36"/>
          <w:szCs w:val="36"/>
        </w:rPr>
      </w:pPr>
      <w:r w:rsidRPr="00424518">
        <w:rPr>
          <w:rFonts w:ascii="Times New Roman" w:eastAsia="Times New Roman" w:hAnsi="Times New Roman" w:cs="Times New Roman"/>
          <w:b/>
          <w:bCs/>
          <w:sz w:val="36"/>
          <w:szCs w:val="36"/>
        </w:rPr>
        <w:t>Conclusion</w:t>
      </w:r>
    </w:p>
    <w:p w14:paraId="081D2E34" w14:textId="25FDE5E5" w:rsidR="00E63060" w:rsidRDefault="00424518" w:rsidP="00424518">
      <w:pPr>
        <w:spacing w:before="100" w:beforeAutospacing="1" w:after="100" w:afterAutospacing="1" w:line="480" w:lineRule="auto"/>
        <w:rPr>
          <w:rFonts w:ascii="Times New Roman" w:eastAsia="Times New Roman" w:hAnsi="Times New Roman" w:cs="Times New Roman"/>
          <w:sz w:val="24"/>
          <w:szCs w:val="24"/>
        </w:rPr>
      </w:pPr>
      <w:r w:rsidRPr="00424518">
        <w:rPr>
          <w:rFonts w:ascii="Times New Roman" w:eastAsia="Times New Roman" w:hAnsi="Times New Roman" w:cs="Times New Roman"/>
          <w:sz w:val="24"/>
          <w:szCs w:val="24"/>
        </w:rPr>
        <w:t xml:space="preserve">In summary, the care management of </w:t>
      </w:r>
      <w:r w:rsidR="00737E9C" w:rsidRPr="00424518">
        <w:rPr>
          <w:rFonts w:ascii="Times New Roman" w:eastAsia="Times New Roman" w:hAnsi="Times New Roman" w:cs="Times New Roman"/>
          <w:sz w:val="24"/>
          <w:szCs w:val="24"/>
        </w:rPr>
        <w:t>Mrs.</w:t>
      </w:r>
      <w:r w:rsidRPr="00424518">
        <w:rPr>
          <w:rFonts w:ascii="Times New Roman" w:eastAsia="Times New Roman" w:hAnsi="Times New Roman" w:cs="Times New Roman"/>
          <w:sz w:val="24"/>
          <w:szCs w:val="24"/>
        </w:rPr>
        <w:t xml:space="preserve"> Thompson highlights the complex interplay between clinical practice, interpersonal communication theory, and statutory compliance. Effective communication is far more than a routine exchange of words; it is a dynamic, transactional process that safeguards vulnerable individuals, promotes autonomy, and facilitates person-</w:t>
      </w:r>
      <w:r w:rsidR="00737E9C" w:rsidRPr="00424518">
        <w:rPr>
          <w:rFonts w:ascii="Times New Roman" w:eastAsia="Times New Roman" w:hAnsi="Times New Roman" w:cs="Times New Roman"/>
          <w:sz w:val="24"/>
          <w:szCs w:val="24"/>
        </w:rPr>
        <w:t>centered</w:t>
      </w:r>
      <w:r w:rsidRPr="00424518">
        <w:rPr>
          <w:rFonts w:ascii="Times New Roman" w:eastAsia="Times New Roman" w:hAnsi="Times New Roman" w:cs="Times New Roman"/>
          <w:sz w:val="24"/>
          <w:szCs w:val="24"/>
        </w:rPr>
        <w:t xml:space="preserve"> outcomes. By integrating Dean Barnlund’s communication model, adhering to the reasonable adjustment mandates of the Equality Act 2010, and upholding rigorous administrative standards under the Data Protection Act 2018, health and social care professionals can deliver safe, legally compliant, and deeply compassionate care.</w:t>
      </w:r>
    </w:p>
    <w:p w14:paraId="378AD2FD" w14:textId="63CD1012"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4CEE6C6A" w14:textId="71C1EB3B"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376A36A3" w14:textId="00BEDCF7"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352FA9BA" w14:textId="008F0EAE"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0B32DA7B" w14:textId="38F4516D"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0FE49ACB" w14:textId="50130934"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0554F738" w14:textId="279CE554"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49169404" w14:textId="77777777" w:rsidR="002330D9" w:rsidRDefault="002330D9" w:rsidP="00424518">
      <w:pPr>
        <w:spacing w:before="100" w:beforeAutospacing="1" w:after="100" w:afterAutospacing="1" w:line="480" w:lineRule="auto"/>
        <w:rPr>
          <w:rFonts w:ascii="Times New Roman" w:eastAsia="Times New Roman" w:hAnsi="Times New Roman" w:cs="Times New Roman"/>
          <w:sz w:val="24"/>
          <w:szCs w:val="24"/>
        </w:rPr>
      </w:pPr>
    </w:p>
    <w:p w14:paraId="04DB21A4" w14:textId="5CB49428" w:rsidR="00424518" w:rsidRDefault="002330D9" w:rsidP="00424518">
      <w:p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7CCEA65" w14:textId="76E6B6AD" w:rsidR="00424518" w:rsidRPr="002330D9" w:rsidRDefault="002330D9" w:rsidP="00424518">
      <w:pPr>
        <w:pStyle w:val="NormalWeb"/>
        <w:rPr>
          <w:b/>
          <w:bCs/>
          <w:color w:val="000000"/>
          <w:sz w:val="28"/>
          <w:szCs w:val="28"/>
          <w:u w:val="single"/>
        </w:rPr>
      </w:pPr>
      <w:r>
        <w:rPr>
          <w:color w:val="000000"/>
          <w:sz w:val="27"/>
          <w:szCs w:val="27"/>
        </w:rPr>
        <w:t xml:space="preserve">                                                   </w:t>
      </w:r>
      <w:r w:rsidR="00424518" w:rsidRPr="002330D9">
        <w:rPr>
          <w:b/>
          <w:bCs/>
          <w:color w:val="000000"/>
          <w:sz w:val="28"/>
          <w:szCs w:val="28"/>
          <w:u w:val="single"/>
        </w:rPr>
        <w:t>References</w:t>
      </w:r>
    </w:p>
    <w:p w14:paraId="2B48E009" w14:textId="12F273B8" w:rsidR="00424518" w:rsidRPr="00424518" w:rsidRDefault="00737E9C" w:rsidP="00424518">
      <w:pPr>
        <w:pStyle w:val="NormalWeb"/>
        <w:spacing w:line="360" w:lineRule="auto"/>
        <w:rPr>
          <w:color w:val="000000"/>
          <w:sz w:val="22"/>
          <w:szCs w:val="22"/>
        </w:rPr>
      </w:pPr>
      <w:r w:rsidRPr="00424518">
        <w:rPr>
          <w:color w:val="000000"/>
          <w:sz w:val="22"/>
          <w:szCs w:val="22"/>
        </w:rPr>
        <w:t>Berglund</w:t>
      </w:r>
      <w:r w:rsidR="00424518" w:rsidRPr="00424518">
        <w:rPr>
          <w:color w:val="000000"/>
          <w:sz w:val="22"/>
          <w:szCs w:val="22"/>
        </w:rPr>
        <w:t xml:space="preserve">, D.C. (2008) A transactional model of communication. In: C.D. Mortensen (ed.) Communication Theory. 2nd </w:t>
      </w:r>
      <w:r w:rsidRPr="00424518">
        <w:rPr>
          <w:color w:val="000000"/>
          <w:sz w:val="22"/>
          <w:szCs w:val="22"/>
        </w:rPr>
        <w:t>end</w:t>
      </w:r>
      <w:r w:rsidR="00424518" w:rsidRPr="00424518">
        <w:rPr>
          <w:color w:val="000000"/>
          <w:sz w:val="22"/>
          <w:szCs w:val="22"/>
        </w:rPr>
        <w:t>. New Brunswick, NJ: Transaction Publishers.</w:t>
      </w:r>
    </w:p>
    <w:p w14:paraId="25C78DB7" w14:textId="77777777" w:rsidR="00424518" w:rsidRPr="00424518" w:rsidRDefault="00424518" w:rsidP="00424518">
      <w:pPr>
        <w:pStyle w:val="NormalWeb"/>
        <w:spacing w:line="360" w:lineRule="auto"/>
        <w:rPr>
          <w:color w:val="000000"/>
          <w:sz w:val="22"/>
          <w:szCs w:val="22"/>
        </w:rPr>
      </w:pPr>
      <w:r w:rsidRPr="00424518">
        <w:rPr>
          <w:color w:val="000000"/>
          <w:sz w:val="22"/>
          <w:szCs w:val="22"/>
        </w:rPr>
        <w:t>Data Protection Act 2018. London: The Stationery Office.</w:t>
      </w:r>
    </w:p>
    <w:p w14:paraId="73947427" w14:textId="77777777" w:rsidR="00424518" w:rsidRPr="00424518" w:rsidRDefault="00424518" w:rsidP="00424518">
      <w:pPr>
        <w:pStyle w:val="NormalWeb"/>
        <w:spacing w:line="360" w:lineRule="auto"/>
        <w:rPr>
          <w:color w:val="000000"/>
          <w:sz w:val="22"/>
          <w:szCs w:val="22"/>
        </w:rPr>
      </w:pPr>
      <w:r w:rsidRPr="00424518">
        <w:rPr>
          <w:color w:val="000000"/>
          <w:sz w:val="22"/>
          <w:szCs w:val="22"/>
        </w:rPr>
        <w:t>Department of Health and Social Care (2014) Care Act 2014. London: HMSO.</w:t>
      </w:r>
    </w:p>
    <w:p w14:paraId="2138F1BC" w14:textId="77777777" w:rsidR="00424518" w:rsidRPr="00424518" w:rsidRDefault="00424518" w:rsidP="00424518">
      <w:pPr>
        <w:pStyle w:val="NormalWeb"/>
        <w:spacing w:line="360" w:lineRule="auto"/>
        <w:rPr>
          <w:color w:val="000000"/>
          <w:sz w:val="22"/>
          <w:szCs w:val="22"/>
        </w:rPr>
      </w:pPr>
      <w:r w:rsidRPr="00424518">
        <w:rPr>
          <w:color w:val="000000"/>
          <w:sz w:val="22"/>
          <w:szCs w:val="22"/>
        </w:rPr>
        <w:t>Department of Health and Social Care (2022) Care and support statutory guidance. London: Department of Health and Social Care. Available at: https://www.gov.uk/government/publications/care-act-statutory-guidance</w:t>
      </w:r>
    </w:p>
    <w:p w14:paraId="209E6CA0" w14:textId="77777777" w:rsidR="00424518" w:rsidRPr="00424518" w:rsidRDefault="00424518" w:rsidP="00424518">
      <w:pPr>
        <w:pStyle w:val="NormalWeb"/>
        <w:spacing w:line="360" w:lineRule="auto"/>
        <w:rPr>
          <w:color w:val="000000"/>
          <w:sz w:val="22"/>
          <w:szCs w:val="22"/>
        </w:rPr>
      </w:pPr>
      <w:r w:rsidRPr="00424518">
        <w:rPr>
          <w:color w:val="000000"/>
          <w:sz w:val="22"/>
          <w:szCs w:val="22"/>
        </w:rPr>
        <w:t>Equality Act 2010. (c.15). London: The Stationery Office. Available at: https://www.legislation.gov.uk/ukpga/2010/15/contents</w:t>
      </w:r>
    </w:p>
    <w:p w14:paraId="78B9F9DB" w14:textId="77777777" w:rsidR="00424518" w:rsidRPr="00424518" w:rsidRDefault="00424518" w:rsidP="00424518">
      <w:pPr>
        <w:pStyle w:val="NormalWeb"/>
        <w:spacing w:line="360" w:lineRule="auto"/>
        <w:rPr>
          <w:color w:val="000000"/>
          <w:sz w:val="22"/>
          <w:szCs w:val="22"/>
        </w:rPr>
      </w:pPr>
      <w:r w:rsidRPr="00424518">
        <w:rPr>
          <w:color w:val="000000"/>
          <w:sz w:val="22"/>
          <w:szCs w:val="22"/>
        </w:rPr>
        <w:t>Health and Care Professions Council (HCPC) (2023) Standards of conduct, performance and ethics. London: HCPC. Available at: https://www.hcpc-uk.org/standards/standards-of-conduct-performance-and-ethics/</w:t>
      </w:r>
    </w:p>
    <w:p w14:paraId="11B34E8E" w14:textId="77777777" w:rsidR="00424518" w:rsidRPr="00424518" w:rsidRDefault="00424518" w:rsidP="00424518">
      <w:pPr>
        <w:pStyle w:val="NormalWeb"/>
        <w:spacing w:line="360" w:lineRule="auto"/>
        <w:rPr>
          <w:color w:val="000000"/>
          <w:sz w:val="22"/>
          <w:szCs w:val="22"/>
        </w:rPr>
      </w:pPr>
      <w:r w:rsidRPr="00424518">
        <w:rPr>
          <w:color w:val="000000"/>
          <w:sz w:val="22"/>
          <w:szCs w:val="22"/>
        </w:rPr>
        <w:t>Health and Social Care Act 2008 (Regulated Activities) Regulations 2014.</w:t>
      </w:r>
    </w:p>
    <w:p w14:paraId="26D96B23" w14:textId="77777777" w:rsidR="00424518" w:rsidRPr="00424518" w:rsidRDefault="00424518" w:rsidP="00424518">
      <w:pPr>
        <w:pStyle w:val="NormalWeb"/>
        <w:spacing w:line="360" w:lineRule="auto"/>
        <w:rPr>
          <w:color w:val="000000"/>
          <w:sz w:val="22"/>
          <w:szCs w:val="22"/>
        </w:rPr>
      </w:pPr>
      <w:r w:rsidRPr="00424518">
        <w:rPr>
          <w:color w:val="000000"/>
          <w:sz w:val="22"/>
          <w:szCs w:val="22"/>
        </w:rPr>
        <w:t>Information Commissioner’s Office (ICO) (2024) Guide to UK GDPR.</w:t>
      </w:r>
    </w:p>
    <w:p w14:paraId="7DEFF77A" w14:textId="57AC0A76" w:rsidR="00424518" w:rsidRPr="00424518" w:rsidRDefault="00424518" w:rsidP="00424518">
      <w:pPr>
        <w:pStyle w:val="NormalWeb"/>
        <w:spacing w:line="360" w:lineRule="auto"/>
        <w:rPr>
          <w:color w:val="000000"/>
          <w:sz w:val="22"/>
          <w:szCs w:val="22"/>
        </w:rPr>
      </w:pPr>
      <w:r w:rsidRPr="00424518">
        <w:rPr>
          <w:color w:val="000000"/>
          <w:sz w:val="22"/>
          <w:szCs w:val="22"/>
        </w:rPr>
        <w:t xml:space="preserve">Mental Capacity Act 2005. London: The Stationery </w:t>
      </w:r>
      <w:r w:rsidR="00737E9C" w:rsidRPr="00424518">
        <w:rPr>
          <w:color w:val="000000"/>
          <w:sz w:val="22"/>
          <w:szCs w:val="22"/>
        </w:rPr>
        <w:t>Office. National</w:t>
      </w:r>
      <w:r w:rsidRPr="00424518">
        <w:rPr>
          <w:color w:val="000000"/>
          <w:sz w:val="22"/>
          <w:szCs w:val="22"/>
        </w:rPr>
        <w:t xml:space="preserve"> Institute for Health and Care Excellence (NICE) (2018) Dementia: assessment, management and support for people living with dementia and their carers (NG97). London: NICE. Available at: https://www.nice.org.uk/guidance/ng97 (Accessed: 16 July 2026).</w:t>
      </w:r>
    </w:p>
    <w:p w14:paraId="79F5F462" w14:textId="06761A93" w:rsidR="00424518" w:rsidRPr="00424518" w:rsidRDefault="00424518" w:rsidP="00424518">
      <w:pPr>
        <w:pStyle w:val="NormalWeb"/>
        <w:spacing w:line="360" w:lineRule="auto"/>
        <w:rPr>
          <w:color w:val="000000"/>
          <w:sz w:val="22"/>
          <w:szCs w:val="22"/>
        </w:rPr>
      </w:pPr>
      <w:r w:rsidRPr="00424518">
        <w:rPr>
          <w:color w:val="000000"/>
          <w:sz w:val="22"/>
          <w:szCs w:val="22"/>
        </w:rPr>
        <w:lastRenderedPageBreak/>
        <w:t xml:space="preserve">Nursing and Midwifery Council (NMC) (2018) The Code: Professional standards of practice and </w:t>
      </w:r>
      <w:r w:rsidR="00737E9C" w:rsidRPr="00424518">
        <w:rPr>
          <w:color w:val="000000"/>
          <w:sz w:val="22"/>
          <w:szCs w:val="22"/>
        </w:rPr>
        <w:t>behavior</w:t>
      </w:r>
      <w:r w:rsidRPr="00424518">
        <w:rPr>
          <w:color w:val="000000"/>
          <w:sz w:val="22"/>
          <w:szCs w:val="22"/>
        </w:rPr>
        <w:t xml:space="preserve"> for nurses, midwives and nursing associates. London: NMC. Available at: https://www.nmc.org.uk/standards/code/ (Accessed: 16 July 2026).</w:t>
      </w:r>
    </w:p>
    <w:p w14:paraId="6BAD578C" w14:textId="77777777" w:rsidR="00424518" w:rsidRPr="00424518" w:rsidRDefault="00424518" w:rsidP="00424518">
      <w:pPr>
        <w:pStyle w:val="NormalWeb"/>
        <w:spacing w:line="360" w:lineRule="auto"/>
        <w:rPr>
          <w:color w:val="000000"/>
          <w:sz w:val="22"/>
          <w:szCs w:val="22"/>
        </w:rPr>
      </w:pPr>
      <w:r w:rsidRPr="00424518">
        <w:rPr>
          <w:color w:val="000000"/>
          <w:sz w:val="22"/>
          <w:szCs w:val="22"/>
        </w:rPr>
        <w:t>Skills for Care (2023) Dementia care guide. Leeds: Skills for Care. Available at: https://www.skillsforcare.org.uk (Accessed: 16 July 2026).</w:t>
      </w:r>
    </w:p>
    <w:p w14:paraId="7404911D" w14:textId="77777777" w:rsidR="00424518" w:rsidRPr="00424518" w:rsidRDefault="00424518" w:rsidP="00424518">
      <w:pPr>
        <w:pStyle w:val="NormalWeb"/>
        <w:spacing w:line="360" w:lineRule="auto"/>
        <w:rPr>
          <w:color w:val="000000"/>
          <w:sz w:val="22"/>
          <w:szCs w:val="22"/>
        </w:rPr>
      </w:pPr>
      <w:r w:rsidRPr="00424518">
        <w:rPr>
          <w:color w:val="000000"/>
          <w:sz w:val="22"/>
          <w:szCs w:val="22"/>
        </w:rPr>
        <w:t>Shannon, C.E. and Weaver, W. (1949) The Mathematical Theory of Communication. Urbana: University of Illinois Press.</w:t>
      </w:r>
    </w:p>
    <w:p w14:paraId="6E3FFE18" w14:textId="51BAB2AC" w:rsidR="00424518" w:rsidRPr="00424518" w:rsidRDefault="00424518" w:rsidP="00424518">
      <w:pPr>
        <w:pStyle w:val="NormalWeb"/>
        <w:spacing w:line="360" w:lineRule="auto"/>
        <w:rPr>
          <w:color w:val="000000"/>
          <w:sz w:val="22"/>
          <w:szCs w:val="22"/>
        </w:rPr>
      </w:pPr>
      <w:r w:rsidRPr="00424518">
        <w:rPr>
          <w:color w:val="000000"/>
          <w:sz w:val="22"/>
          <w:szCs w:val="22"/>
        </w:rPr>
        <w:t>Skills for Care (2023) Person-</w:t>
      </w:r>
      <w:r w:rsidR="00737E9C" w:rsidRPr="00424518">
        <w:rPr>
          <w:color w:val="000000"/>
          <w:sz w:val="22"/>
          <w:szCs w:val="22"/>
        </w:rPr>
        <w:t>centered</w:t>
      </w:r>
      <w:r w:rsidRPr="00424518">
        <w:rPr>
          <w:color w:val="000000"/>
          <w:sz w:val="22"/>
          <w:szCs w:val="22"/>
        </w:rPr>
        <w:t xml:space="preserve"> care guida</w:t>
      </w:r>
    </w:p>
    <w:p w14:paraId="760E708C" w14:textId="2DAA3496" w:rsidR="00424518" w:rsidRPr="00424518" w:rsidRDefault="00424518" w:rsidP="00424518">
      <w:pPr>
        <w:spacing w:before="100" w:beforeAutospacing="1" w:after="100" w:afterAutospacing="1" w:line="360" w:lineRule="auto"/>
        <w:rPr>
          <w:rFonts w:ascii="Times New Roman" w:eastAsia="Times New Roman" w:hAnsi="Times New Roman" w:cs="Times New Roman"/>
        </w:rPr>
      </w:pPr>
      <w:r w:rsidRPr="00424518">
        <w:rPr>
          <w:rFonts w:ascii="Times New Roman" w:eastAsia="Times New Roman" w:hAnsi="Times New Roman" w:cs="Times New Roman"/>
        </w:rPr>
        <w:t xml:space="preserve">     </w:t>
      </w:r>
    </w:p>
    <w:sectPr w:rsidR="00424518" w:rsidRPr="0042451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4AF40D" w14:textId="77777777" w:rsidR="00C151A3" w:rsidRDefault="00C151A3" w:rsidP="00424518">
      <w:pPr>
        <w:spacing w:after="0" w:line="240" w:lineRule="auto"/>
      </w:pPr>
      <w:r>
        <w:separator/>
      </w:r>
    </w:p>
  </w:endnote>
  <w:endnote w:type="continuationSeparator" w:id="0">
    <w:p w14:paraId="56F63F6D" w14:textId="77777777" w:rsidR="00C151A3" w:rsidRDefault="00C151A3" w:rsidP="00424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63696516"/>
      <w:docPartObj>
        <w:docPartGallery w:val="Page Numbers (Bottom of Page)"/>
        <w:docPartUnique/>
      </w:docPartObj>
    </w:sdtPr>
    <w:sdtEndPr>
      <w:rPr>
        <w:noProof/>
      </w:rPr>
    </w:sdtEndPr>
    <w:sdtContent>
      <w:p w14:paraId="2A2BF7F6" w14:textId="3365A405" w:rsidR="00424518" w:rsidRDefault="004245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A937D" w14:textId="77777777" w:rsidR="00424518" w:rsidRDefault="00424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CDD9FD" w14:textId="77777777" w:rsidR="00C151A3" w:rsidRDefault="00C151A3" w:rsidP="00424518">
      <w:pPr>
        <w:spacing w:after="0" w:line="240" w:lineRule="auto"/>
      </w:pPr>
      <w:r>
        <w:separator/>
      </w:r>
    </w:p>
  </w:footnote>
  <w:footnote w:type="continuationSeparator" w:id="0">
    <w:p w14:paraId="47899024" w14:textId="77777777" w:rsidR="00C151A3" w:rsidRDefault="00C151A3" w:rsidP="004245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60582486"/>
      <w:docPartObj>
        <w:docPartGallery w:val="Page Numbers (Top of Page)"/>
        <w:docPartUnique/>
      </w:docPartObj>
    </w:sdtPr>
    <w:sdtEndPr>
      <w:rPr>
        <w:noProof/>
      </w:rPr>
    </w:sdtEndPr>
    <w:sdtContent>
      <w:p w14:paraId="6B845466" w14:textId="6C153D13" w:rsidR="00424518" w:rsidRDefault="004245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631416" w14:textId="77777777" w:rsidR="00424518" w:rsidRDefault="00424518">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E9"/>
    <w:rsid w:val="00034677"/>
    <w:rsid w:val="000C75E9"/>
    <w:rsid w:val="000D1ADA"/>
    <w:rsid w:val="001A2BF0"/>
    <w:rsid w:val="002032B8"/>
    <w:rsid w:val="002330D9"/>
    <w:rsid w:val="002A7BC3"/>
    <w:rsid w:val="003324FE"/>
    <w:rsid w:val="003E52DE"/>
    <w:rsid w:val="00424518"/>
    <w:rsid w:val="004463CF"/>
    <w:rsid w:val="005A5812"/>
    <w:rsid w:val="005F7EBB"/>
    <w:rsid w:val="007259F1"/>
    <w:rsid w:val="00737E9C"/>
    <w:rsid w:val="00747772"/>
    <w:rsid w:val="007A0C47"/>
    <w:rsid w:val="007C3821"/>
    <w:rsid w:val="008A393B"/>
    <w:rsid w:val="009A7CC8"/>
    <w:rsid w:val="009E3592"/>
    <w:rsid w:val="00AA65FA"/>
    <w:rsid w:val="00C151A3"/>
    <w:rsid w:val="00C27D44"/>
    <w:rsid w:val="00CE4577"/>
    <w:rsid w:val="00E63060"/>
    <w:rsid w:val="00EC3D45"/>
    <w:rsid w:val="00F01385"/>
    <w:rsid w:val="00F2319A"/>
    <w:rsid w:val="00F263AC"/>
    <w:rsid w:val="00FF7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CDE4"/>
  <w15:chartTrackingRefBased/>
  <w15:docId w15:val="{F30B624D-564A-4084-90AE-8F3ED6894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C75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C75E9"/>
  </w:style>
  <w:style w:type="character" w:customStyle="1" w:styleId="eop">
    <w:name w:val="eop"/>
    <w:basedOn w:val="DefaultParagraphFont"/>
    <w:rsid w:val="000C75E9"/>
  </w:style>
  <w:style w:type="paragraph" w:styleId="Header">
    <w:name w:val="header"/>
    <w:basedOn w:val="Normal"/>
    <w:link w:val="HeaderChar"/>
    <w:uiPriority w:val="99"/>
    <w:unhideWhenUsed/>
    <w:rsid w:val="00424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518"/>
  </w:style>
  <w:style w:type="paragraph" w:styleId="Footer">
    <w:name w:val="footer"/>
    <w:basedOn w:val="Normal"/>
    <w:link w:val="FooterChar"/>
    <w:uiPriority w:val="99"/>
    <w:unhideWhenUsed/>
    <w:rsid w:val="00424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518"/>
  </w:style>
  <w:style w:type="paragraph" w:styleId="NormalWeb">
    <w:name w:val="Normal (Web)"/>
    <w:basedOn w:val="Normal"/>
    <w:uiPriority w:val="99"/>
    <w:semiHidden/>
    <w:unhideWhenUsed/>
    <w:rsid w:val="00424518"/>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5F7E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EB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64813449">
      <w:bodyDiv w:val="1"/>
      <w:marLeft w:val="0"/>
      <w:marRight w:val="0"/>
      <w:marTop w:val="0"/>
      <w:marBottom w:val="0"/>
      <w:divBdr>
        <w:top w:val="none" w:sz="0" w:space="0" w:color="auto"/>
        <w:left w:val="none" w:sz="0" w:space="0" w:color="auto"/>
        <w:bottom w:val="none" w:sz="0" w:space="0" w:color="auto"/>
        <w:right w:val="none" w:sz="0" w:space="0" w:color="auto"/>
      </w:divBdr>
      <w:divsChild>
        <w:div w:id="658581220">
          <w:marLeft w:val="0"/>
          <w:marRight w:val="0"/>
          <w:marTop w:val="0"/>
          <w:marBottom w:val="0"/>
          <w:divBdr>
            <w:top w:val="none" w:sz="0" w:space="0" w:color="auto"/>
            <w:left w:val="none" w:sz="0" w:space="0" w:color="auto"/>
            <w:bottom w:val="none" w:sz="0" w:space="0" w:color="auto"/>
            <w:right w:val="none" w:sz="0" w:space="0" w:color="auto"/>
          </w:divBdr>
        </w:div>
        <w:div w:id="2120903665">
          <w:marLeft w:val="0"/>
          <w:marRight w:val="0"/>
          <w:marTop w:val="0"/>
          <w:marBottom w:val="0"/>
          <w:divBdr>
            <w:top w:val="none" w:sz="0" w:space="0" w:color="auto"/>
            <w:left w:val="none" w:sz="0" w:space="0" w:color="auto"/>
            <w:bottom w:val="none" w:sz="0" w:space="0" w:color="auto"/>
            <w:right w:val="none" w:sz="0" w:space="0" w:color="auto"/>
          </w:divBdr>
        </w:div>
        <w:div w:id="566652126">
          <w:marLeft w:val="0"/>
          <w:marRight w:val="0"/>
          <w:marTop w:val="0"/>
          <w:marBottom w:val="0"/>
          <w:divBdr>
            <w:top w:val="none" w:sz="0" w:space="0" w:color="auto"/>
            <w:left w:val="none" w:sz="0" w:space="0" w:color="auto"/>
            <w:bottom w:val="none" w:sz="0" w:space="0" w:color="auto"/>
            <w:right w:val="none" w:sz="0" w:space="0" w:color="auto"/>
          </w:divBdr>
        </w:div>
        <w:div w:id="485170608">
          <w:marLeft w:val="0"/>
          <w:marRight w:val="0"/>
          <w:marTop w:val="0"/>
          <w:marBottom w:val="0"/>
          <w:divBdr>
            <w:top w:val="none" w:sz="0" w:space="0" w:color="auto"/>
            <w:left w:val="none" w:sz="0" w:space="0" w:color="auto"/>
            <w:bottom w:val="none" w:sz="0" w:space="0" w:color="auto"/>
            <w:right w:val="none" w:sz="0" w:space="0" w:color="auto"/>
          </w:divBdr>
        </w:div>
        <w:div w:id="1938055951">
          <w:marLeft w:val="0"/>
          <w:marRight w:val="0"/>
          <w:marTop w:val="0"/>
          <w:marBottom w:val="0"/>
          <w:divBdr>
            <w:top w:val="none" w:sz="0" w:space="0" w:color="auto"/>
            <w:left w:val="none" w:sz="0" w:space="0" w:color="auto"/>
            <w:bottom w:val="none" w:sz="0" w:space="0" w:color="auto"/>
            <w:right w:val="none" w:sz="0" w:space="0" w:color="auto"/>
          </w:divBdr>
        </w:div>
        <w:div w:id="1491600167">
          <w:marLeft w:val="0"/>
          <w:marRight w:val="0"/>
          <w:marTop w:val="0"/>
          <w:marBottom w:val="0"/>
          <w:divBdr>
            <w:top w:val="none" w:sz="0" w:space="0" w:color="auto"/>
            <w:left w:val="none" w:sz="0" w:space="0" w:color="auto"/>
            <w:bottom w:val="none" w:sz="0" w:space="0" w:color="auto"/>
            <w:right w:val="none" w:sz="0" w:space="0" w:color="auto"/>
          </w:divBdr>
        </w:div>
        <w:div w:id="1935475643">
          <w:marLeft w:val="0"/>
          <w:marRight w:val="0"/>
          <w:marTop w:val="0"/>
          <w:marBottom w:val="0"/>
          <w:divBdr>
            <w:top w:val="none" w:sz="0" w:space="0" w:color="auto"/>
            <w:left w:val="none" w:sz="0" w:space="0" w:color="auto"/>
            <w:bottom w:val="none" w:sz="0" w:space="0" w:color="auto"/>
            <w:right w:val="none" w:sz="0" w:space="0" w:color="auto"/>
          </w:divBdr>
        </w:div>
        <w:div w:id="402991861">
          <w:marLeft w:val="0"/>
          <w:marRight w:val="0"/>
          <w:marTop w:val="0"/>
          <w:marBottom w:val="0"/>
          <w:divBdr>
            <w:top w:val="none" w:sz="0" w:space="0" w:color="auto"/>
            <w:left w:val="none" w:sz="0" w:space="0" w:color="auto"/>
            <w:bottom w:val="none" w:sz="0" w:space="0" w:color="auto"/>
            <w:right w:val="none" w:sz="0" w:space="0" w:color="auto"/>
          </w:divBdr>
        </w:div>
        <w:div w:id="78186382">
          <w:marLeft w:val="0"/>
          <w:marRight w:val="0"/>
          <w:marTop w:val="0"/>
          <w:marBottom w:val="0"/>
          <w:divBdr>
            <w:top w:val="none" w:sz="0" w:space="0" w:color="auto"/>
            <w:left w:val="none" w:sz="0" w:space="0" w:color="auto"/>
            <w:bottom w:val="none" w:sz="0" w:space="0" w:color="auto"/>
            <w:right w:val="none" w:sz="0" w:space="0" w:color="auto"/>
          </w:divBdr>
        </w:div>
        <w:div w:id="1254315660">
          <w:marLeft w:val="0"/>
          <w:marRight w:val="0"/>
          <w:marTop w:val="0"/>
          <w:marBottom w:val="0"/>
          <w:divBdr>
            <w:top w:val="none" w:sz="0" w:space="0" w:color="auto"/>
            <w:left w:val="none" w:sz="0" w:space="0" w:color="auto"/>
            <w:bottom w:val="none" w:sz="0" w:space="0" w:color="auto"/>
            <w:right w:val="none" w:sz="0" w:space="0" w:color="auto"/>
          </w:divBdr>
        </w:div>
        <w:div w:id="1780836460">
          <w:marLeft w:val="0"/>
          <w:marRight w:val="0"/>
          <w:marTop w:val="0"/>
          <w:marBottom w:val="0"/>
          <w:divBdr>
            <w:top w:val="none" w:sz="0" w:space="0" w:color="auto"/>
            <w:left w:val="none" w:sz="0" w:space="0" w:color="auto"/>
            <w:bottom w:val="none" w:sz="0" w:space="0" w:color="auto"/>
            <w:right w:val="none" w:sz="0" w:space="0" w:color="auto"/>
          </w:divBdr>
        </w:div>
        <w:div w:id="223950511">
          <w:marLeft w:val="0"/>
          <w:marRight w:val="0"/>
          <w:marTop w:val="0"/>
          <w:marBottom w:val="0"/>
          <w:divBdr>
            <w:top w:val="none" w:sz="0" w:space="0" w:color="auto"/>
            <w:left w:val="none" w:sz="0" w:space="0" w:color="auto"/>
            <w:bottom w:val="none" w:sz="0" w:space="0" w:color="auto"/>
            <w:right w:val="none" w:sz="0" w:space="0" w:color="auto"/>
          </w:divBdr>
        </w:div>
        <w:div w:id="1902133260">
          <w:marLeft w:val="0"/>
          <w:marRight w:val="0"/>
          <w:marTop w:val="0"/>
          <w:marBottom w:val="0"/>
          <w:divBdr>
            <w:top w:val="none" w:sz="0" w:space="0" w:color="auto"/>
            <w:left w:val="none" w:sz="0" w:space="0" w:color="auto"/>
            <w:bottom w:val="none" w:sz="0" w:space="0" w:color="auto"/>
            <w:right w:val="none" w:sz="0" w:space="0" w:color="auto"/>
          </w:divBdr>
        </w:div>
        <w:div w:id="366099651">
          <w:marLeft w:val="0"/>
          <w:marRight w:val="0"/>
          <w:marTop w:val="0"/>
          <w:marBottom w:val="0"/>
          <w:divBdr>
            <w:top w:val="none" w:sz="0" w:space="0" w:color="auto"/>
            <w:left w:val="none" w:sz="0" w:space="0" w:color="auto"/>
            <w:bottom w:val="none" w:sz="0" w:space="0" w:color="auto"/>
            <w:right w:val="none" w:sz="0" w:space="0" w:color="auto"/>
          </w:divBdr>
        </w:div>
      </w:divsChild>
    </w:div>
    <w:div w:id="1155225810">
      <w:bodyDiv w:val="1"/>
      <w:marLeft w:val="0"/>
      <w:marRight w:val="0"/>
      <w:marTop w:val="0"/>
      <w:marBottom w:val="0"/>
      <w:divBdr>
        <w:top w:val="none" w:sz="0" w:space="0" w:color="auto"/>
        <w:left w:val="none" w:sz="0" w:space="0" w:color="auto"/>
        <w:bottom w:val="none" w:sz="0" w:space="0" w:color="auto"/>
        <w:right w:val="none" w:sz="0" w:space="0" w:color="auto"/>
      </w:divBdr>
    </w:div>
    <w:div w:id="1316766532">
      <w:bodyDiv w:val="1"/>
      <w:marLeft w:val="0"/>
      <w:marRight w:val="0"/>
      <w:marTop w:val="0"/>
      <w:marBottom w:val="0"/>
      <w:divBdr>
        <w:top w:val="none" w:sz="0" w:space="0" w:color="auto"/>
        <w:left w:val="none" w:sz="0" w:space="0" w:color="auto"/>
        <w:bottom w:val="none" w:sz="0" w:space="0" w:color="auto"/>
        <w:right w:val="none" w:sz="0" w:space="0" w:color="auto"/>
      </w:divBdr>
      <w:divsChild>
        <w:div w:id="2014336395">
          <w:marLeft w:val="0"/>
          <w:marRight w:val="0"/>
          <w:marTop w:val="0"/>
          <w:marBottom w:val="0"/>
          <w:divBdr>
            <w:top w:val="none" w:sz="0" w:space="0" w:color="auto"/>
            <w:left w:val="none" w:sz="0" w:space="0" w:color="auto"/>
            <w:bottom w:val="none" w:sz="0" w:space="0" w:color="auto"/>
            <w:right w:val="none" w:sz="0" w:space="0" w:color="auto"/>
          </w:divBdr>
          <w:divsChild>
            <w:div w:id="193546248">
              <w:marLeft w:val="0"/>
              <w:marRight w:val="0"/>
              <w:marTop w:val="0"/>
              <w:marBottom w:val="0"/>
              <w:divBdr>
                <w:top w:val="none" w:sz="0" w:space="0" w:color="auto"/>
                <w:left w:val="none" w:sz="0" w:space="0" w:color="auto"/>
                <w:bottom w:val="none" w:sz="0" w:space="0" w:color="auto"/>
                <w:right w:val="none" w:sz="0" w:space="0" w:color="auto"/>
              </w:divBdr>
              <w:divsChild>
                <w:div w:id="1584098247">
                  <w:marLeft w:val="0"/>
                  <w:marRight w:val="0"/>
                  <w:marTop w:val="0"/>
                  <w:marBottom w:val="0"/>
                  <w:divBdr>
                    <w:top w:val="none" w:sz="0" w:space="0" w:color="auto"/>
                    <w:left w:val="none" w:sz="0" w:space="0" w:color="auto"/>
                    <w:bottom w:val="none" w:sz="0" w:space="0" w:color="auto"/>
                    <w:right w:val="none" w:sz="0" w:space="0" w:color="auto"/>
                  </w:divBdr>
                  <w:divsChild>
                    <w:div w:id="87704797">
                      <w:marLeft w:val="0"/>
                      <w:marRight w:val="0"/>
                      <w:marTop w:val="0"/>
                      <w:marBottom w:val="0"/>
                      <w:divBdr>
                        <w:top w:val="none" w:sz="0" w:space="0" w:color="auto"/>
                        <w:left w:val="none" w:sz="0" w:space="0" w:color="auto"/>
                        <w:bottom w:val="none" w:sz="0" w:space="0" w:color="auto"/>
                        <w:right w:val="none" w:sz="0" w:space="0" w:color="auto"/>
                      </w:divBdr>
                    </w:div>
                  </w:divsChild>
                </w:div>
                <w:div w:id="499782442">
                  <w:marLeft w:val="0"/>
                  <w:marRight w:val="0"/>
                  <w:marTop w:val="0"/>
                  <w:marBottom w:val="0"/>
                  <w:divBdr>
                    <w:top w:val="none" w:sz="0" w:space="0" w:color="auto"/>
                    <w:left w:val="none" w:sz="0" w:space="0" w:color="auto"/>
                    <w:bottom w:val="none" w:sz="0" w:space="0" w:color="auto"/>
                    <w:right w:val="none" w:sz="0" w:space="0" w:color="auto"/>
                  </w:divBdr>
                  <w:divsChild>
                    <w:div w:id="1709254102">
                      <w:marLeft w:val="0"/>
                      <w:marRight w:val="0"/>
                      <w:marTop w:val="0"/>
                      <w:marBottom w:val="0"/>
                      <w:divBdr>
                        <w:top w:val="none" w:sz="0" w:space="0" w:color="auto"/>
                        <w:left w:val="none" w:sz="0" w:space="0" w:color="auto"/>
                        <w:bottom w:val="none" w:sz="0" w:space="0" w:color="auto"/>
                        <w:right w:val="none" w:sz="0" w:space="0" w:color="auto"/>
                      </w:divBdr>
                    </w:div>
                  </w:divsChild>
                </w:div>
                <w:div w:id="1362975853">
                  <w:marLeft w:val="0"/>
                  <w:marRight w:val="0"/>
                  <w:marTop w:val="0"/>
                  <w:marBottom w:val="0"/>
                  <w:divBdr>
                    <w:top w:val="none" w:sz="0" w:space="0" w:color="auto"/>
                    <w:left w:val="none" w:sz="0" w:space="0" w:color="auto"/>
                    <w:bottom w:val="none" w:sz="0" w:space="0" w:color="auto"/>
                    <w:right w:val="none" w:sz="0" w:space="0" w:color="auto"/>
                  </w:divBdr>
                  <w:divsChild>
                    <w:div w:id="869953970">
                      <w:marLeft w:val="0"/>
                      <w:marRight w:val="0"/>
                      <w:marTop w:val="0"/>
                      <w:marBottom w:val="0"/>
                      <w:divBdr>
                        <w:top w:val="none" w:sz="0" w:space="0" w:color="auto"/>
                        <w:left w:val="none" w:sz="0" w:space="0" w:color="auto"/>
                        <w:bottom w:val="none" w:sz="0" w:space="0" w:color="auto"/>
                        <w:right w:val="none" w:sz="0" w:space="0" w:color="auto"/>
                      </w:divBdr>
                    </w:div>
                  </w:divsChild>
                </w:div>
                <w:div w:id="347871641">
                  <w:marLeft w:val="0"/>
                  <w:marRight w:val="0"/>
                  <w:marTop w:val="0"/>
                  <w:marBottom w:val="0"/>
                  <w:divBdr>
                    <w:top w:val="none" w:sz="0" w:space="0" w:color="auto"/>
                    <w:left w:val="none" w:sz="0" w:space="0" w:color="auto"/>
                    <w:bottom w:val="none" w:sz="0" w:space="0" w:color="auto"/>
                    <w:right w:val="none" w:sz="0" w:space="0" w:color="auto"/>
                  </w:divBdr>
                  <w:divsChild>
                    <w:div w:id="15250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655474">
      <w:bodyDiv w:val="1"/>
      <w:marLeft w:val="0"/>
      <w:marRight w:val="0"/>
      <w:marTop w:val="0"/>
      <w:marBottom w:val="0"/>
      <w:divBdr>
        <w:top w:val="none" w:sz="0" w:space="0" w:color="auto"/>
        <w:left w:val="none" w:sz="0" w:space="0" w:color="auto"/>
        <w:bottom w:val="none" w:sz="0" w:space="0" w:color="auto"/>
        <w:right w:val="none" w:sz="0" w:space="0" w:color="auto"/>
      </w:divBdr>
      <w:divsChild>
        <w:div w:id="1479834355">
          <w:marLeft w:val="0"/>
          <w:marRight w:val="0"/>
          <w:marTop w:val="0"/>
          <w:marBottom w:val="0"/>
          <w:divBdr>
            <w:top w:val="none" w:sz="0" w:space="0" w:color="auto"/>
            <w:left w:val="none" w:sz="0" w:space="0" w:color="auto"/>
            <w:bottom w:val="none" w:sz="0" w:space="0" w:color="auto"/>
            <w:right w:val="none" w:sz="0" w:space="0" w:color="auto"/>
          </w:divBdr>
        </w:div>
        <w:div w:id="1733037134">
          <w:marLeft w:val="0"/>
          <w:marRight w:val="0"/>
          <w:marTop w:val="0"/>
          <w:marBottom w:val="0"/>
          <w:divBdr>
            <w:top w:val="none" w:sz="0" w:space="0" w:color="auto"/>
            <w:left w:val="none" w:sz="0" w:space="0" w:color="auto"/>
            <w:bottom w:val="none" w:sz="0" w:space="0" w:color="auto"/>
            <w:right w:val="none" w:sz="0" w:space="0" w:color="auto"/>
          </w:divBdr>
        </w:div>
        <w:div w:id="699624513">
          <w:marLeft w:val="0"/>
          <w:marRight w:val="0"/>
          <w:marTop w:val="0"/>
          <w:marBottom w:val="0"/>
          <w:divBdr>
            <w:top w:val="none" w:sz="0" w:space="0" w:color="auto"/>
            <w:left w:val="none" w:sz="0" w:space="0" w:color="auto"/>
            <w:bottom w:val="none" w:sz="0" w:space="0" w:color="auto"/>
            <w:right w:val="none" w:sz="0" w:space="0" w:color="auto"/>
          </w:divBdr>
        </w:div>
        <w:div w:id="549998987">
          <w:marLeft w:val="0"/>
          <w:marRight w:val="0"/>
          <w:marTop w:val="0"/>
          <w:marBottom w:val="0"/>
          <w:divBdr>
            <w:top w:val="none" w:sz="0" w:space="0" w:color="auto"/>
            <w:left w:val="none" w:sz="0" w:space="0" w:color="auto"/>
            <w:bottom w:val="none" w:sz="0" w:space="0" w:color="auto"/>
            <w:right w:val="none" w:sz="0" w:space="0" w:color="auto"/>
          </w:divBdr>
        </w:div>
        <w:div w:id="1943947689">
          <w:marLeft w:val="0"/>
          <w:marRight w:val="0"/>
          <w:marTop w:val="0"/>
          <w:marBottom w:val="0"/>
          <w:divBdr>
            <w:top w:val="none" w:sz="0" w:space="0" w:color="auto"/>
            <w:left w:val="none" w:sz="0" w:space="0" w:color="auto"/>
            <w:bottom w:val="none" w:sz="0" w:space="0" w:color="auto"/>
            <w:right w:val="none" w:sz="0" w:space="0" w:color="auto"/>
          </w:divBdr>
        </w:div>
        <w:div w:id="1919362174">
          <w:marLeft w:val="0"/>
          <w:marRight w:val="0"/>
          <w:marTop w:val="0"/>
          <w:marBottom w:val="0"/>
          <w:divBdr>
            <w:top w:val="none" w:sz="0" w:space="0" w:color="auto"/>
            <w:left w:val="none" w:sz="0" w:space="0" w:color="auto"/>
            <w:bottom w:val="none" w:sz="0" w:space="0" w:color="auto"/>
            <w:right w:val="none" w:sz="0" w:space="0" w:color="auto"/>
          </w:divBdr>
        </w:div>
        <w:div w:id="309943100">
          <w:marLeft w:val="0"/>
          <w:marRight w:val="0"/>
          <w:marTop w:val="0"/>
          <w:marBottom w:val="0"/>
          <w:divBdr>
            <w:top w:val="none" w:sz="0" w:space="0" w:color="auto"/>
            <w:left w:val="none" w:sz="0" w:space="0" w:color="auto"/>
            <w:bottom w:val="none" w:sz="0" w:space="0" w:color="auto"/>
            <w:right w:val="none" w:sz="0" w:space="0" w:color="auto"/>
          </w:divBdr>
        </w:div>
        <w:div w:id="560945646">
          <w:marLeft w:val="0"/>
          <w:marRight w:val="0"/>
          <w:marTop w:val="0"/>
          <w:marBottom w:val="0"/>
          <w:divBdr>
            <w:top w:val="none" w:sz="0" w:space="0" w:color="auto"/>
            <w:left w:val="none" w:sz="0" w:space="0" w:color="auto"/>
            <w:bottom w:val="none" w:sz="0" w:space="0" w:color="auto"/>
            <w:right w:val="none" w:sz="0" w:space="0" w:color="auto"/>
          </w:divBdr>
        </w:div>
        <w:div w:id="784232436">
          <w:marLeft w:val="0"/>
          <w:marRight w:val="0"/>
          <w:marTop w:val="0"/>
          <w:marBottom w:val="0"/>
          <w:divBdr>
            <w:top w:val="none" w:sz="0" w:space="0" w:color="auto"/>
            <w:left w:val="none" w:sz="0" w:space="0" w:color="auto"/>
            <w:bottom w:val="none" w:sz="0" w:space="0" w:color="auto"/>
            <w:right w:val="none" w:sz="0" w:space="0" w:color="auto"/>
          </w:divBdr>
        </w:div>
        <w:div w:id="2111925650">
          <w:marLeft w:val="0"/>
          <w:marRight w:val="0"/>
          <w:marTop w:val="0"/>
          <w:marBottom w:val="0"/>
          <w:divBdr>
            <w:top w:val="none" w:sz="0" w:space="0" w:color="auto"/>
            <w:left w:val="none" w:sz="0" w:space="0" w:color="auto"/>
            <w:bottom w:val="none" w:sz="0" w:space="0" w:color="auto"/>
            <w:right w:val="none" w:sz="0" w:space="0" w:color="auto"/>
          </w:divBdr>
        </w:div>
        <w:div w:id="437795586">
          <w:marLeft w:val="0"/>
          <w:marRight w:val="0"/>
          <w:marTop w:val="0"/>
          <w:marBottom w:val="0"/>
          <w:divBdr>
            <w:top w:val="none" w:sz="0" w:space="0" w:color="auto"/>
            <w:left w:val="none" w:sz="0" w:space="0" w:color="auto"/>
            <w:bottom w:val="none" w:sz="0" w:space="0" w:color="auto"/>
            <w:right w:val="none" w:sz="0" w:space="0" w:color="auto"/>
          </w:divBdr>
        </w:div>
        <w:div w:id="1718159514">
          <w:marLeft w:val="0"/>
          <w:marRight w:val="0"/>
          <w:marTop w:val="0"/>
          <w:marBottom w:val="0"/>
          <w:divBdr>
            <w:top w:val="none" w:sz="0" w:space="0" w:color="auto"/>
            <w:left w:val="none" w:sz="0" w:space="0" w:color="auto"/>
            <w:bottom w:val="none" w:sz="0" w:space="0" w:color="auto"/>
            <w:right w:val="none" w:sz="0" w:space="0" w:color="auto"/>
          </w:divBdr>
        </w:div>
        <w:div w:id="39399424">
          <w:marLeft w:val="0"/>
          <w:marRight w:val="0"/>
          <w:marTop w:val="0"/>
          <w:marBottom w:val="0"/>
          <w:divBdr>
            <w:top w:val="none" w:sz="0" w:space="0" w:color="auto"/>
            <w:left w:val="none" w:sz="0" w:space="0" w:color="auto"/>
            <w:bottom w:val="none" w:sz="0" w:space="0" w:color="auto"/>
            <w:right w:val="none" w:sz="0" w:space="0" w:color="auto"/>
          </w:divBdr>
        </w:div>
        <w:div w:id="2102026779">
          <w:marLeft w:val="0"/>
          <w:marRight w:val="0"/>
          <w:marTop w:val="0"/>
          <w:marBottom w:val="0"/>
          <w:divBdr>
            <w:top w:val="none" w:sz="0" w:space="0" w:color="auto"/>
            <w:left w:val="none" w:sz="0" w:space="0" w:color="auto"/>
            <w:bottom w:val="none" w:sz="0" w:space="0" w:color="auto"/>
            <w:right w:val="none" w:sz="0" w:space="0" w:color="auto"/>
          </w:divBdr>
        </w:div>
      </w:divsChild>
    </w:div>
    <w:div w:id="1875146655">
      <w:bodyDiv w:val="1"/>
      <w:marLeft w:val="0"/>
      <w:marRight w:val="0"/>
      <w:marTop w:val="0"/>
      <w:marBottom w:val="0"/>
      <w:divBdr>
        <w:top w:val="none" w:sz="0" w:space="0" w:color="auto"/>
        <w:left w:val="none" w:sz="0" w:space="0" w:color="auto"/>
        <w:bottom w:val="none" w:sz="0" w:space="0" w:color="auto"/>
        <w:right w:val="none" w:sz="0" w:space="0" w:color="auto"/>
      </w:divBdr>
      <w:divsChild>
        <w:div w:id="888612402">
          <w:marLeft w:val="0"/>
          <w:marRight w:val="0"/>
          <w:marTop w:val="0"/>
          <w:marBottom w:val="0"/>
          <w:divBdr>
            <w:top w:val="none" w:sz="0" w:space="0" w:color="auto"/>
            <w:left w:val="none" w:sz="0" w:space="0" w:color="auto"/>
            <w:bottom w:val="none" w:sz="0" w:space="0" w:color="auto"/>
            <w:right w:val="none" w:sz="0" w:space="0" w:color="auto"/>
          </w:divBdr>
          <w:divsChild>
            <w:div w:id="17427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1522</Words>
  <Characters>10125</Characters>
  <Application>Microsoft Office Word</Application>
  <DocSecurity>0</DocSecurity>
  <Lines>187</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Maryland Medical System</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Terminal UMCAP3E221PC01</dc:creator>
  <cp:keywords/>
  <dc:description/>
  <cp:lastModifiedBy>Jariatu Jalloh (2527004)</cp:lastModifiedBy>
  <cp:revision>2</cp:revision>
  <dcterms:created xsi:type="dcterms:W3CDTF">2026-08-03T15:56:00Z</dcterms:created>
  <dcterms:modified xsi:type="dcterms:W3CDTF">2026-08-03T15:56:00Z</dcterms:modified>
</cp:coreProperties>
</file>