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B0D4C" w14:textId="0BBB00C2" w:rsidR="005B7DBC" w:rsidRPr="005B7DBC" w:rsidRDefault="005B7DBC" w:rsidP="005B7DBC">
      <w:pPr>
        <w:pStyle w:val="Title"/>
      </w:pPr>
      <w:r w:rsidRPr="005B7DBC">
        <w:t>Greenwashing in the Automobile Industry – A Root Cause Analysis (RCA</w:t>
      </w:r>
    </w:p>
    <w:p w14:paraId="74BC9F1F" w14:textId="0EDBC7B6" w:rsidR="005B7DBC" w:rsidRDefault="005B7DBC"/>
    <w:p w14:paraId="1168E861" w14:textId="77777777" w:rsidR="005B7DBC" w:rsidRDefault="005B7DBC"/>
    <w:p w14:paraId="77E39C13" w14:textId="5C3B857B" w:rsidR="00326127" w:rsidRDefault="005B7DBC">
      <w:r>
        <w:t>Student name: Andrei Vladeanu</w:t>
      </w:r>
    </w:p>
    <w:p w14:paraId="7C51FC15" w14:textId="291F8F7B" w:rsidR="005B7DBC" w:rsidRDefault="005B7DBC">
      <w:r>
        <w:t>Student number: 2432415</w:t>
      </w:r>
    </w:p>
    <w:p w14:paraId="5F1B7149" w14:textId="33A025FE" w:rsidR="005B7DBC" w:rsidRDefault="005B7DBC">
      <w:r>
        <w:t>Module name: Problem solving and innovation</w:t>
      </w:r>
    </w:p>
    <w:p w14:paraId="681B5312" w14:textId="737006C1" w:rsidR="005B7DBC" w:rsidRDefault="005B7DBC">
      <w:r>
        <w:rPr>
          <w:noProof/>
        </w:rPr>
        <w:drawing>
          <wp:anchor distT="0" distB="0" distL="114300" distR="114300" simplePos="0" relativeHeight="251658240" behindDoc="0" locked="0" layoutInCell="1" allowOverlap="1" wp14:anchorId="7384BCF2" wp14:editId="139EEDF3">
            <wp:simplePos x="0" y="0"/>
            <wp:positionH relativeFrom="page">
              <wp:posOffset>5588635</wp:posOffset>
            </wp:positionH>
            <wp:positionV relativeFrom="paragraph">
              <wp:posOffset>4526915</wp:posOffset>
            </wp:positionV>
            <wp:extent cx="1828800" cy="1828800"/>
            <wp:effectExtent l="0" t="0" r="0" b="0"/>
            <wp:wrapTopAndBottom/>
            <wp:docPr id="1587201021" name="Picture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201021" name="Picture 1" descr="A logo for a university&#10;&#10;AI-generated content may be incorrect."/>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828800" cy="1828800"/>
                    </a:xfrm>
                    <a:prstGeom prst="rect">
                      <a:avLst/>
                    </a:prstGeom>
                  </pic:spPr>
                </pic:pic>
              </a:graphicData>
            </a:graphic>
          </wp:anchor>
        </w:drawing>
      </w:r>
      <w:r>
        <w:t>Module code: BMSW4014_SWAN</w:t>
      </w:r>
      <w:r>
        <w:br w:type="page"/>
      </w:r>
    </w:p>
    <w:sdt>
      <w:sdtPr>
        <w:id w:val="-82937089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BBF6CF8" w14:textId="67955772" w:rsidR="005B7DBC" w:rsidRDefault="005B7DBC">
          <w:pPr>
            <w:pStyle w:val="TOCHeading"/>
          </w:pPr>
          <w:r>
            <w:t>Contents</w:t>
          </w:r>
        </w:p>
        <w:p w14:paraId="15344B4D" w14:textId="6FEAF3B5" w:rsidR="005B7DBC" w:rsidRDefault="005B7D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916931" w:history="1">
            <w:r w:rsidRPr="00D96672">
              <w:rPr>
                <w:rStyle w:val="Hyperlink"/>
                <w:noProof/>
              </w:rPr>
              <w:t>Introduction</w:t>
            </w:r>
            <w:r>
              <w:rPr>
                <w:noProof/>
                <w:webHidden/>
              </w:rPr>
              <w:tab/>
            </w:r>
            <w:r>
              <w:rPr>
                <w:noProof/>
                <w:webHidden/>
              </w:rPr>
              <w:fldChar w:fldCharType="begin"/>
            </w:r>
            <w:r>
              <w:rPr>
                <w:noProof/>
                <w:webHidden/>
              </w:rPr>
              <w:instrText xml:space="preserve"> PAGEREF _Toc213916931 \h </w:instrText>
            </w:r>
            <w:r>
              <w:rPr>
                <w:noProof/>
                <w:webHidden/>
              </w:rPr>
            </w:r>
            <w:r>
              <w:rPr>
                <w:noProof/>
                <w:webHidden/>
              </w:rPr>
              <w:fldChar w:fldCharType="separate"/>
            </w:r>
            <w:r>
              <w:rPr>
                <w:noProof/>
                <w:webHidden/>
              </w:rPr>
              <w:t>2</w:t>
            </w:r>
            <w:r>
              <w:rPr>
                <w:noProof/>
                <w:webHidden/>
              </w:rPr>
              <w:fldChar w:fldCharType="end"/>
            </w:r>
          </w:hyperlink>
        </w:p>
        <w:p w14:paraId="12398644" w14:textId="0DB7A858" w:rsidR="005B7DBC" w:rsidRDefault="005B7DBC">
          <w:pPr>
            <w:pStyle w:val="TOC1"/>
            <w:tabs>
              <w:tab w:val="right" w:leader="dot" w:pos="9016"/>
            </w:tabs>
            <w:rPr>
              <w:rFonts w:eastAsiaTheme="minorEastAsia"/>
              <w:noProof/>
              <w:lang w:eastAsia="en-GB"/>
            </w:rPr>
          </w:pPr>
          <w:hyperlink w:anchor="_Toc213916932" w:history="1">
            <w:r w:rsidRPr="00D96672">
              <w:rPr>
                <w:rStyle w:val="Hyperlink"/>
                <w:noProof/>
              </w:rPr>
              <w:t>Summary of the impact of the current situation</w:t>
            </w:r>
            <w:r>
              <w:rPr>
                <w:noProof/>
                <w:webHidden/>
              </w:rPr>
              <w:tab/>
            </w:r>
            <w:r>
              <w:rPr>
                <w:noProof/>
                <w:webHidden/>
              </w:rPr>
              <w:fldChar w:fldCharType="begin"/>
            </w:r>
            <w:r>
              <w:rPr>
                <w:noProof/>
                <w:webHidden/>
              </w:rPr>
              <w:instrText xml:space="preserve"> PAGEREF _Toc213916932 \h </w:instrText>
            </w:r>
            <w:r>
              <w:rPr>
                <w:noProof/>
                <w:webHidden/>
              </w:rPr>
            </w:r>
            <w:r>
              <w:rPr>
                <w:noProof/>
                <w:webHidden/>
              </w:rPr>
              <w:fldChar w:fldCharType="separate"/>
            </w:r>
            <w:r>
              <w:rPr>
                <w:noProof/>
                <w:webHidden/>
              </w:rPr>
              <w:t>2</w:t>
            </w:r>
            <w:r>
              <w:rPr>
                <w:noProof/>
                <w:webHidden/>
              </w:rPr>
              <w:fldChar w:fldCharType="end"/>
            </w:r>
          </w:hyperlink>
        </w:p>
        <w:p w14:paraId="43E0A882" w14:textId="7E2D74B2" w:rsidR="005B7DBC" w:rsidRDefault="005B7DBC">
          <w:pPr>
            <w:pStyle w:val="TOC1"/>
            <w:tabs>
              <w:tab w:val="right" w:leader="dot" w:pos="9016"/>
            </w:tabs>
            <w:rPr>
              <w:rFonts w:eastAsiaTheme="minorEastAsia"/>
              <w:noProof/>
              <w:lang w:eastAsia="en-GB"/>
            </w:rPr>
          </w:pPr>
          <w:hyperlink w:anchor="_Toc213916933" w:history="1">
            <w:r w:rsidRPr="00D96672">
              <w:rPr>
                <w:rStyle w:val="Hyperlink"/>
                <w:noProof/>
              </w:rPr>
              <w:t>A root cause analysis (RCA) to examine the causes of greenwashing</w:t>
            </w:r>
            <w:r>
              <w:rPr>
                <w:noProof/>
                <w:webHidden/>
              </w:rPr>
              <w:tab/>
            </w:r>
            <w:r>
              <w:rPr>
                <w:noProof/>
                <w:webHidden/>
              </w:rPr>
              <w:fldChar w:fldCharType="begin"/>
            </w:r>
            <w:r>
              <w:rPr>
                <w:noProof/>
                <w:webHidden/>
              </w:rPr>
              <w:instrText xml:space="preserve"> PAGEREF _Toc213916933 \h </w:instrText>
            </w:r>
            <w:r>
              <w:rPr>
                <w:noProof/>
                <w:webHidden/>
              </w:rPr>
            </w:r>
            <w:r>
              <w:rPr>
                <w:noProof/>
                <w:webHidden/>
              </w:rPr>
              <w:fldChar w:fldCharType="separate"/>
            </w:r>
            <w:r>
              <w:rPr>
                <w:noProof/>
                <w:webHidden/>
              </w:rPr>
              <w:t>2</w:t>
            </w:r>
            <w:r>
              <w:rPr>
                <w:noProof/>
                <w:webHidden/>
              </w:rPr>
              <w:fldChar w:fldCharType="end"/>
            </w:r>
          </w:hyperlink>
        </w:p>
        <w:p w14:paraId="1CAD59D9" w14:textId="092E7DEB" w:rsidR="005B7DBC" w:rsidRDefault="005B7DBC">
          <w:pPr>
            <w:pStyle w:val="TOC1"/>
            <w:tabs>
              <w:tab w:val="right" w:leader="dot" w:pos="9016"/>
            </w:tabs>
            <w:rPr>
              <w:rFonts w:eastAsiaTheme="minorEastAsia"/>
              <w:noProof/>
              <w:lang w:eastAsia="en-GB"/>
            </w:rPr>
          </w:pPr>
          <w:hyperlink w:anchor="_Toc213916934" w:history="1">
            <w:r w:rsidRPr="00D96672">
              <w:rPr>
                <w:rStyle w:val="Hyperlink"/>
                <w:noProof/>
              </w:rPr>
              <w:t>Conclusion</w:t>
            </w:r>
            <w:r>
              <w:rPr>
                <w:noProof/>
                <w:webHidden/>
              </w:rPr>
              <w:tab/>
            </w:r>
            <w:r>
              <w:rPr>
                <w:noProof/>
                <w:webHidden/>
              </w:rPr>
              <w:fldChar w:fldCharType="begin"/>
            </w:r>
            <w:r>
              <w:rPr>
                <w:noProof/>
                <w:webHidden/>
              </w:rPr>
              <w:instrText xml:space="preserve"> PAGEREF _Toc213916934 \h </w:instrText>
            </w:r>
            <w:r>
              <w:rPr>
                <w:noProof/>
                <w:webHidden/>
              </w:rPr>
            </w:r>
            <w:r>
              <w:rPr>
                <w:noProof/>
                <w:webHidden/>
              </w:rPr>
              <w:fldChar w:fldCharType="separate"/>
            </w:r>
            <w:r>
              <w:rPr>
                <w:noProof/>
                <w:webHidden/>
              </w:rPr>
              <w:t>2</w:t>
            </w:r>
            <w:r>
              <w:rPr>
                <w:noProof/>
                <w:webHidden/>
              </w:rPr>
              <w:fldChar w:fldCharType="end"/>
            </w:r>
          </w:hyperlink>
        </w:p>
        <w:p w14:paraId="415C8C69" w14:textId="63231D1D" w:rsidR="005B7DBC" w:rsidRDefault="005B7DBC">
          <w:pPr>
            <w:pStyle w:val="TOC1"/>
            <w:tabs>
              <w:tab w:val="right" w:leader="dot" w:pos="9016"/>
            </w:tabs>
            <w:rPr>
              <w:rFonts w:eastAsiaTheme="minorEastAsia"/>
              <w:noProof/>
              <w:lang w:eastAsia="en-GB"/>
            </w:rPr>
          </w:pPr>
          <w:hyperlink w:anchor="_Toc213916935" w:history="1">
            <w:r w:rsidRPr="00D96672">
              <w:rPr>
                <w:rStyle w:val="Hyperlink"/>
                <w:noProof/>
              </w:rPr>
              <w:t>References</w:t>
            </w:r>
            <w:r>
              <w:rPr>
                <w:noProof/>
                <w:webHidden/>
              </w:rPr>
              <w:tab/>
            </w:r>
            <w:r>
              <w:rPr>
                <w:noProof/>
                <w:webHidden/>
              </w:rPr>
              <w:fldChar w:fldCharType="begin"/>
            </w:r>
            <w:r>
              <w:rPr>
                <w:noProof/>
                <w:webHidden/>
              </w:rPr>
              <w:instrText xml:space="preserve"> PAGEREF _Toc213916935 \h </w:instrText>
            </w:r>
            <w:r>
              <w:rPr>
                <w:noProof/>
                <w:webHidden/>
              </w:rPr>
            </w:r>
            <w:r>
              <w:rPr>
                <w:noProof/>
                <w:webHidden/>
              </w:rPr>
              <w:fldChar w:fldCharType="separate"/>
            </w:r>
            <w:r>
              <w:rPr>
                <w:noProof/>
                <w:webHidden/>
              </w:rPr>
              <w:t>2</w:t>
            </w:r>
            <w:r>
              <w:rPr>
                <w:noProof/>
                <w:webHidden/>
              </w:rPr>
              <w:fldChar w:fldCharType="end"/>
            </w:r>
          </w:hyperlink>
        </w:p>
        <w:p w14:paraId="24C96253" w14:textId="33180FB3" w:rsidR="005B7DBC" w:rsidRDefault="005B7DBC" w:rsidP="005B7DBC">
          <w:r>
            <w:rPr>
              <w:b/>
              <w:bCs/>
              <w:noProof/>
            </w:rPr>
            <w:fldChar w:fldCharType="end"/>
          </w:r>
        </w:p>
      </w:sdtContent>
    </w:sdt>
    <w:p w14:paraId="6D3FED04" w14:textId="3B11612A" w:rsidR="005B7DBC" w:rsidRDefault="005B7DBC" w:rsidP="005B7DBC">
      <w:pPr>
        <w:pStyle w:val="Heading1"/>
      </w:pPr>
      <w:bookmarkStart w:id="0" w:name="_Toc213916931"/>
      <w:r>
        <w:t>Introduction</w:t>
      </w:r>
      <w:bookmarkEnd w:id="0"/>
    </w:p>
    <w:p w14:paraId="6968B078" w14:textId="756E0CBE" w:rsidR="00892B19" w:rsidRPr="00892B19" w:rsidRDefault="00892B19" w:rsidP="00892B19">
      <w:r>
        <w:t>According to 35 Can. Competition L. Rev 83 (2022), Greenwashing involves making environmental claims which may leave consumers with the impression that a company or a product or service is “environmentally friendly” when in fact is not. Greenwashing may for example, involve claims that a product is “biodegradable”, “non-toxic”, or “made from natural ingredients”, or may include more specific</w:t>
      </w:r>
      <w:r w:rsidR="00FF2F7A">
        <w:t xml:space="preserve"> claims related to the materials or the amount of energy used to produce a product. The use of a third-party logo or seal, for example, a logo showing that a product is “Certified Organic</w:t>
      </w:r>
      <w:r w:rsidR="00380DFE">
        <w:t>”,</w:t>
      </w:r>
      <w:r w:rsidR="00FF2F7A">
        <w:t xml:space="preserve"> is another type of green claim. Greenwashing can involve either comparative (as against a competitor`s product or service) or absolute environmental claims</w:t>
      </w:r>
      <w:r w:rsidR="00380DFE">
        <w:t xml:space="preserve"> (Hotten, 2015</w:t>
      </w:r>
    </w:p>
    <w:p w14:paraId="60BED0BB" w14:textId="05BE207F" w:rsidR="005B7DBC" w:rsidRDefault="005B7DBC" w:rsidP="005B7DBC">
      <w:pPr>
        <w:pStyle w:val="Heading1"/>
      </w:pPr>
      <w:bookmarkStart w:id="1" w:name="_Toc213916932"/>
      <w:r>
        <w:t>S</w:t>
      </w:r>
      <w:r w:rsidRPr="005B7DBC">
        <w:t>ummary of the impact of the current situation</w:t>
      </w:r>
      <w:bookmarkEnd w:id="1"/>
    </w:p>
    <w:p w14:paraId="07AAA075" w14:textId="7057FAC5" w:rsidR="00380DFE" w:rsidRDefault="00380DFE" w:rsidP="00380DFE">
      <w:r>
        <w:t xml:space="preserve">Recent reports indicate that misleading environmental claims remain widespread in the automotive industry. The Environmental Defenders Office (EDO) published a report in 2023, “Driving change or just filling the Tank?”, which numerous documents deceptive </w:t>
      </w:r>
      <w:r w:rsidR="003F48E2">
        <w:t>advertising</w:t>
      </w:r>
      <w:r>
        <w:t xml:space="preserve"> </w:t>
      </w:r>
      <w:r w:rsidR="003F48E2">
        <w:t>tactics</w:t>
      </w:r>
      <w:r>
        <w:t xml:space="preserve"> from “self-changing” hybrids to vague “net-zero” pledges that obscure the true environmental impact of many vehicles</w:t>
      </w:r>
      <w:r w:rsidR="003F48E2">
        <w:t>.</w:t>
      </w:r>
      <w:r>
        <w:t xml:space="preserve"> </w:t>
      </w:r>
      <w:r w:rsidR="003F48E2">
        <w:t>Such</w:t>
      </w:r>
      <w:r>
        <w:t xml:space="preserve"> greenwashing </w:t>
      </w:r>
      <w:r w:rsidR="003F48E2">
        <w:t>undermines public trust, making consumers sceptical of even legitimate sustainability efforts.</w:t>
      </w:r>
    </w:p>
    <w:p w14:paraId="59F30C1A" w14:textId="579FF1E7" w:rsidR="003F48E2" w:rsidRPr="00380DFE" w:rsidRDefault="003F48E2" w:rsidP="00380DFE">
      <w:r>
        <w:t>On the financial side, greenwashing may pose significant risks. A 2024 study found that companies engaging in greenwashing often carry higher unsystematic risk, despite short-term reputational gains. Meanwhile, market regulators continue to struggle: the European Securities and Markets Authority (ESMA) found little systematic financial penalty from greenwashing controversies in 2020-21, emphasising a gap in regulatory, deterrents. For consumers, this means that apparent “green” claims may be cosmetic rather than substantive hindering meaningful progress toward emission targets.</w:t>
      </w:r>
    </w:p>
    <w:p w14:paraId="40974EDF" w14:textId="0DC241A9" w:rsidR="003627BD" w:rsidRDefault="005B7DBC" w:rsidP="003627BD">
      <w:pPr>
        <w:pStyle w:val="Heading1"/>
      </w:pPr>
      <w:bookmarkStart w:id="2" w:name="_Toc213916933"/>
      <w:r w:rsidRPr="005B7DBC">
        <w:lastRenderedPageBreak/>
        <w:t>A root cause analysis (RCA) to examine the causes of greenwashing</w:t>
      </w:r>
      <w:bookmarkEnd w:id="2"/>
    </w:p>
    <w:p w14:paraId="5652B1EE" w14:textId="3C89C5A9" w:rsidR="003F48E2" w:rsidRPr="003F48E2" w:rsidRDefault="003F48E2" w:rsidP="003F48E2">
      <w:r w:rsidRPr="003F48E2">
        <w:t>To understand why greenwashing persists in the automotive sector, a Root Cause Analysis (RCA) helps identify key drivers:</w:t>
      </w:r>
    </w:p>
    <w:p w14:paraId="1997B838" w14:textId="77777777" w:rsidR="003F48E2" w:rsidRDefault="003627BD" w:rsidP="003627BD">
      <w:pPr>
        <w:tabs>
          <w:tab w:val="num" w:pos="720"/>
        </w:tabs>
      </w:pPr>
      <w:r w:rsidRPr="003627BD">
        <w:rPr>
          <w:b/>
          <w:bCs/>
        </w:rPr>
        <w:t xml:space="preserve">Whys: </w:t>
      </w:r>
      <w:r>
        <w:rPr>
          <w:b/>
          <w:bCs/>
        </w:rPr>
        <w:t>1.</w:t>
      </w:r>
      <w:r w:rsidR="003F48E2">
        <w:rPr>
          <w:b/>
          <w:bCs/>
        </w:rPr>
        <w:t xml:space="preserve"> Why does greenwashing happen?</w:t>
      </w:r>
      <w:r>
        <w:t xml:space="preserve"> </w:t>
      </w:r>
    </w:p>
    <w:p w14:paraId="021968B1" w14:textId="26EA80CB" w:rsidR="003627BD" w:rsidRPr="003627BD" w:rsidRDefault="003F48E2" w:rsidP="003627BD">
      <w:pPr>
        <w:tabs>
          <w:tab w:val="num" w:pos="720"/>
        </w:tabs>
        <w:rPr>
          <w:b/>
          <w:bCs/>
        </w:rPr>
      </w:pPr>
      <w:r>
        <w:t xml:space="preserve">                Because manufacturers wish to convey a strong environmental image and appeal to eco-conscious consumers.</w:t>
      </w:r>
      <w:r w:rsidR="003627BD">
        <w:t xml:space="preserve">               </w:t>
      </w:r>
    </w:p>
    <w:p w14:paraId="3DD18F8C" w14:textId="2B7CD0D5" w:rsidR="003F48E2" w:rsidRDefault="003627BD" w:rsidP="003627BD">
      <w:pPr>
        <w:ind w:left="720"/>
      </w:pPr>
      <w:r>
        <w:rPr>
          <w:b/>
          <w:bCs/>
        </w:rPr>
        <w:t xml:space="preserve"> 2. </w:t>
      </w:r>
      <w:r w:rsidRPr="003627BD">
        <w:rPr>
          <w:b/>
          <w:bCs/>
        </w:rPr>
        <w:t xml:space="preserve">Why do they </w:t>
      </w:r>
      <w:r w:rsidR="003F48E2">
        <w:rPr>
          <w:b/>
          <w:bCs/>
        </w:rPr>
        <w:t>emphasise eco-friendly branding</w:t>
      </w:r>
      <w:r w:rsidRPr="003627BD">
        <w:rPr>
          <w:b/>
          <w:bCs/>
        </w:rPr>
        <w:t>?</w:t>
      </w:r>
      <w:r w:rsidRPr="003627BD">
        <w:br/>
      </w:r>
      <w:r w:rsidR="003F48E2" w:rsidRPr="003F48E2">
        <w:t>Because consumers increasingly demand cleaner vehicles and regulators pressure firms to adopt sustainability narratives. Hybrid and EV marketing, for instance, allow firms to signal</w:t>
      </w:r>
      <w:r w:rsidR="003F48E2">
        <w:t>.</w:t>
      </w:r>
    </w:p>
    <w:p w14:paraId="497B8DE6" w14:textId="636939A7" w:rsidR="003627BD" w:rsidRPr="003627BD" w:rsidRDefault="003627BD" w:rsidP="003627BD">
      <w:pPr>
        <w:ind w:left="720"/>
      </w:pPr>
      <w:r>
        <w:rPr>
          <w:b/>
          <w:bCs/>
        </w:rPr>
        <w:t xml:space="preserve"> 3. </w:t>
      </w:r>
      <w:r w:rsidRPr="003627BD">
        <w:rPr>
          <w:b/>
          <w:bCs/>
        </w:rPr>
        <w:t xml:space="preserve">Why </w:t>
      </w:r>
      <w:r w:rsidR="003F48E2" w:rsidRPr="003F48E2">
        <w:rPr>
          <w:b/>
          <w:bCs/>
        </w:rPr>
        <w:t>don’t companies simply produce fully green vehicles instead of greenwashing?</w:t>
      </w:r>
      <w:r w:rsidRPr="003627BD">
        <w:br/>
        <w:t xml:space="preserve">Because </w:t>
      </w:r>
      <w:r w:rsidR="003F48E2">
        <w:t>developing genuinely sustainable vehicles across full life cycles is expensive, and many automakers still rely on internal combustion and hybrid models to generate revenue.</w:t>
      </w:r>
    </w:p>
    <w:p w14:paraId="6ADA14AF" w14:textId="77777777" w:rsidR="003F48E2" w:rsidRDefault="003627BD" w:rsidP="003627BD">
      <w:pPr>
        <w:ind w:left="720"/>
        <w:rPr>
          <w:b/>
          <w:bCs/>
        </w:rPr>
      </w:pPr>
      <w:r>
        <w:rPr>
          <w:b/>
          <w:bCs/>
        </w:rPr>
        <w:t xml:space="preserve"> 4. </w:t>
      </w:r>
      <w:r w:rsidRPr="003627BD">
        <w:rPr>
          <w:b/>
          <w:bCs/>
        </w:rPr>
        <w:t xml:space="preserve">Why </w:t>
      </w:r>
      <w:r w:rsidR="003F48E2" w:rsidRPr="003F48E2">
        <w:rPr>
          <w:b/>
          <w:bCs/>
        </w:rPr>
        <w:t>is the cost of genuine sustainability so high?</w:t>
      </w:r>
      <w:r w:rsidRPr="003627BD">
        <w:br/>
      </w:r>
      <w:r w:rsidR="003F48E2" w:rsidRPr="003F48E2">
        <w:t>Because the automotive value chain is complex: raw materials, manufacturing, battery supply, use-phase emissions, and end-of-life disposal all need transformation. The EDO report highlights a “life-cycle gap” in many</w:t>
      </w:r>
      <w:r w:rsidR="003F48E2" w:rsidRPr="003F48E2">
        <w:rPr>
          <w:b/>
          <w:bCs/>
        </w:rPr>
        <w:t xml:space="preserve"> </w:t>
      </w:r>
    </w:p>
    <w:p w14:paraId="607C0EAA" w14:textId="6F5E4C9B" w:rsidR="003627BD" w:rsidRPr="003627BD" w:rsidRDefault="003627BD" w:rsidP="001A703F">
      <w:pPr>
        <w:ind w:left="720"/>
      </w:pPr>
      <w:r>
        <w:rPr>
          <w:b/>
          <w:bCs/>
        </w:rPr>
        <w:t xml:space="preserve">5. </w:t>
      </w:r>
      <w:r w:rsidRPr="003627BD">
        <w:rPr>
          <w:b/>
          <w:bCs/>
        </w:rPr>
        <w:t xml:space="preserve">Why do </w:t>
      </w:r>
      <w:r w:rsidR="001A703F" w:rsidRPr="001A703F">
        <w:rPr>
          <w:b/>
          <w:bCs/>
        </w:rPr>
        <w:t>firms continue to rely on misleading claims rather than real structural change?</w:t>
      </w:r>
      <w:r w:rsidRPr="003627BD">
        <w:br/>
      </w:r>
      <w:r w:rsidR="001A703F" w:rsidRPr="001A703F">
        <w:t>Because short-term financial incentives and brand positioning outweigh long-term environmental investment. Additionally, regulatory frameworks remain weak or under-resourced</w:t>
      </w:r>
      <w:r w:rsidR="001A703F">
        <w:t xml:space="preserve"> </w:t>
      </w:r>
      <w:r w:rsidR="001A703F" w:rsidRPr="001A703F">
        <w:t>making greenwashing a lower-risk strategy.</w:t>
      </w:r>
    </w:p>
    <w:p w14:paraId="3725A3F0" w14:textId="77777777" w:rsidR="003627BD" w:rsidRPr="003627BD" w:rsidRDefault="003627BD" w:rsidP="003627BD"/>
    <w:p w14:paraId="133649E9" w14:textId="24BE1855" w:rsidR="003627BD" w:rsidRDefault="005B7DBC" w:rsidP="003627BD">
      <w:pPr>
        <w:pStyle w:val="Heading1"/>
      </w:pPr>
      <w:bookmarkStart w:id="3" w:name="_Toc213916934"/>
      <w:r w:rsidRPr="005B7DBC">
        <w:t>Conclusion</w:t>
      </w:r>
      <w:bookmarkEnd w:id="3"/>
    </w:p>
    <w:p w14:paraId="1AC0E98F" w14:textId="2E6CECA9" w:rsidR="001A703F" w:rsidRPr="001A703F" w:rsidRDefault="001A703F" w:rsidP="001A703F">
      <w:r w:rsidRPr="001A703F">
        <w:t xml:space="preserve">Greenwashing in the automobile sector persists largely because of a convergence of market pressures, structural inertia, and regulatory deficiencies. While green messaging may help firms maintain market share or improve image in the short term, it undermines genuine progress toward decarbonisation. The root-cause analysis shows that companies often prioritise superficial branding over substantial change, influenced by financial constraints and weak enforcement. If the industry is to move beyond greenwashing, regulators must strengthen oversight, and manufacturers should align </w:t>
      </w:r>
      <w:r w:rsidRPr="001A703F">
        <w:lastRenderedPageBreak/>
        <w:t>marketing with authentic life-cycle transparency</w:t>
      </w:r>
      <w:r>
        <w:t xml:space="preserve"> </w:t>
      </w:r>
      <w:r w:rsidRPr="001A703F">
        <w:t>ensuring that environmental commitments reflect real emissions reductions, not just polished rhetoric.</w:t>
      </w:r>
    </w:p>
    <w:p w14:paraId="27C339C3" w14:textId="77777777" w:rsidR="001A703F" w:rsidRPr="001A703F" w:rsidRDefault="001A703F" w:rsidP="001A703F"/>
    <w:p w14:paraId="4A0A49C0" w14:textId="561E2DBA" w:rsidR="005B7DBC" w:rsidRDefault="005B7DBC" w:rsidP="005B7DBC">
      <w:pPr>
        <w:pStyle w:val="Heading1"/>
      </w:pPr>
      <w:bookmarkStart w:id="4" w:name="_Toc213916935"/>
      <w:r>
        <w:t>References</w:t>
      </w:r>
      <w:bookmarkEnd w:id="4"/>
    </w:p>
    <w:p w14:paraId="77C701EE" w14:textId="0013888D" w:rsidR="00FF2F7A" w:rsidRDefault="001A703F" w:rsidP="00FF2F7A">
      <w:r w:rsidRPr="00FF2F7A">
        <w:t>Spillett</w:t>
      </w:r>
      <w:r w:rsidR="00FF2F7A" w:rsidRPr="00FF2F7A">
        <w:t>, R., Do, H. and Di Domenico, A., 2022. Greenwashing: What It Is and Why It Matters. </w:t>
      </w:r>
      <w:r w:rsidR="00FF2F7A" w:rsidRPr="00FF2F7A">
        <w:rPr>
          <w:i/>
          <w:iCs/>
        </w:rPr>
        <w:t>Can. Competition L. Rev.</w:t>
      </w:r>
      <w:r w:rsidR="00FF2F7A" w:rsidRPr="00FF2F7A">
        <w:t>, </w:t>
      </w:r>
      <w:r w:rsidR="00FF2F7A" w:rsidRPr="00FF2F7A">
        <w:rPr>
          <w:i/>
          <w:iCs/>
        </w:rPr>
        <w:t>35</w:t>
      </w:r>
      <w:r w:rsidR="00FF2F7A" w:rsidRPr="00FF2F7A">
        <w:t>, p.83.</w:t>
      </w:r>
    </w:p>
    <w:p w14:paraId="2BDB802A" w14:textId="77777777" w:rsidR="001A703F" w:rsidRPr="001A703F" w:rsidRDefault="001A703F" w:rsidP="001A703F">
      <w:r w:rsidRPr="001A703F">
        <w:t xml:space="preserve">Environmental Defenders Office (2023) </w:t>
      </w:r>
      <w:r w:rsidRPr="001A703F">
        <w:rPr>
          <w:i/>
          <w:iCs/>
        </w:rPr>
        <w:t>Driving Change or Just Filling the Tank? Unpacking the Greenwashing Tactics of the Automobile Industry</w:t>
      </w:r>
      <w:r w:rsidRPr="001A703F">
        <w:t>. Environmental Defenders Office, Australia.</w:t>
      </w:r>
    </w:p>
    <w:p w14:paraId="1ED08734" w14:textId="77777777" w:rsidR="001A703F" w:rsidRPr="001A703F" w:rsidRDefault="001A703F" w:rsidP="001A703F">
      <w:r w:rsidRPr="001A703F">
        <w:t xml:space="preserve">Gregory, R.P. (2024) ‘How greenwashing affects firm risk: an international perspective’, </w:t>
      </w:r>
      <w:r w:rsidRPr="001A703F">
        <w:rPr>
          <w:i/>
          <w:iCs/>
        </w:rPr>
        <w:t>Journal of Risk and Financial Management</w:t>
      </w:r>
      <w:r w:rsidRPr="001A703F">
        <w:t>, 17(11), p. 526.</w:t>
      </w:r>
    </w:p>
    <w:p w14:paraId="40DF955B" w14:textId="77777777" w:rsidR="001A703F" w:rsidRPr="001A703F" w:rsidRDefault="001A703F" w:rsidP="001A703F">
      <w:r w:rsidRPr="001A703F">
        <w:t xml:space="preserve">Lin, W.L. (2025) ‘The impact of greenwashing: risks and implications for the automotive industry’, </w:t>
      </w:r>
      <w:r w:rsidRPr="001A703F">
        <w:rPr>
          <w:i/>
          <w:iCs/>
        </w:rPr>
        <w:t>Atlantis Press</w:t>
      </w:r>
      <w:r w:rsidRPr="001A703F">
        <w:t>, [online] Available at: (accessed).</w:t>
      </w:r>
    </w:p>
    <w:p w14:paraId="5C719820" w14:textId="77777777" w:rsidR="001A703F" w:rsidRPr="001A703F" w:rsidRDefault="001A703F" w:rsidP="001A703F">
      <w:r w:rsidRPr="001A703F">
        <w:t xml:space="preserve">KPMG (2024) </w:t>
      </w:r>
      <w:r w:rsidRPr="001A703F">
        <w:rPr>
          <w:i/>
          <w:iCs/>
        </w:rPr>
        <w:t>The Challenge of Greenwashing: An International Overview</w:t>
      </w:r>
      <w:r w:rsidRPr="001A703F">
        <w:t>. KPMG International.</w:t>
      </w:r>
    </w:p>
    <w:p w14:paraId="0CE5FC30" w14:textId="77777777" w:rsidR="001A703F" w:rsidRPr="001A703F" w:rsidRDefault="001A703F" w:rsidP="001A703F">
      <w:r w:rsidRPr="001A703F">
        <w:t xml:space="preserve">Greenpeace (2023) </w:t>
      </w:r>
      <w:r w:rsidRPr="001A703F">
        <w:rPr>
          <w:i/>
          <w:iCs/>
        </w:rPr>
        <w:t xml:space="preserve">Toyota net-zero and hybrid </w:t>
      </w:r>
      <w:proofErr w:type="gramStart"/>
      <w:r w:rsidRPr="001A703F">
        <w:rPr>
          <w:i/>
          <w:iCs/>
        </w:rPr>
        <w:t>claims</w:t>
      </w:r>
      <w:proofErr w:type="gramEnd"/>
      <w:r w:rsidRPr="001A703F">
        <w:rPr>
          <w:i/>
          <w:iCs/>
        </w:rPr>
        <w:t xml:space="preserve"> complaint</w:t>
      </w:r>
      <w:r w:rsidRPr="001A703F">
        <w:t>.</w:t>
      </w:r>
    </w:p>
    <w:p w14:paraId="12442CEA" w14:textId="77777777" w:rsidR="001A703F" w:rsidRDefault="001A703F" w:rsidP="00FF2F7A"/>
    <w:p w14:paraId="61F181C4" w14:textId="77777777" w:rsidR="003627BD" w:rsidRPr="00FF2F7A" w:rsidRDefault="003627BD" w:rsidP="00FF2F7A"/>
    <w:sectPr w:rsidR="003627BD" w:rsidRPr="00FF2F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B08B5"/>
    <w:multiLevelType w:val="multilevel"/>
    <w:tmpl w:val="5498C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4592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7EC"/>
    <w:rsid w:val="000F1F82"/>
    <w:rsid w:val="00126F8D"/>
    <w:rsid w:val="001A703F"/>
    <w:rsid w:val="001D5B04"/>
    <w:rsid w:val="00326127"/>
    <w:rsid w:val="003627BD"/>
    <w:rsid w:val="00380DFE"/>
    <w:rsid w:val="003F48E2"/>
    <w:rsid w:val="005B7DBC"/>
    <w:rsid w:val="00855EFF"/>
    <w:rsid w:val="00892B19"/>
    <w:rsid w:val="00BF25E4"/>
    <w:rsid w:val="00CE508A"/>
    <w:rsid w:val="00D851A6"/>
    <w:rsid w:val="00E657EC"/>
    <w:rsid w:val="00FF2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A63CF"/>
  <w15:chartTrackingRefBased/>
  <w15:docId w15:val="{B75B1087-B0D6-45BC-812A-62D54B3DD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7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7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7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7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7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7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7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7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7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7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7EC"/>
    <w:rPr>
      <w:rFonts w:eastAsiaTheme="majorEastAsia" w:cstheme="majorBidi"/>
      <w:color w:val="272727" w:themeColor="text1" w:themeTint="D8"/>
    </w:rPr>
  </w:style>
  <w:style w:type="paragraph" w:styleId="Title">
    <w:name w:val="Title"/>
    <w:basedOn w:val="Normal"/>
    <w:next w:val="Normal"/>
    <w:link w:val="TitleChar"/>
    <w:uiPriority w:val="10"/>
    <w:qFormat/>
    <w:rsid w:val="00E65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7EC"/>
    <w:pPr>
      <w:spacing w:before="160"/>
      <w:jc w:val="center"/>
    </w:pPr>
    <w:rPr>
      <w:i/>
      <w:iCs/>
      <w:color w:val="404040" w:themeColor="text1" w:themeTint="BF"/>
    </w:rPr>
  </w:style>
  <w:style w:type="character" w:customStyle="1" w:styleId="QuoteChar">
    <w:name w:val="Quote Char"/>
    <w:basedOn w:val="DefaultParagraphFont"/>
    <w:link w:val="Quote"/>
    <w:uiPriority w:val="29"/>
    <w:rsid w:val="00E657EC"/>
    <w:rPr>
      <w:i/>
      <w:iCs/>
      <w:color w:val="404040" w:themeColor="text1" w:themeTint="BF"/>
    </w:rPr>
  </w:style>
  <w:style w:type="paragraph" w:styleId="ListParagraph">
    <w:name w:val="List Paragraph"/>
    <w:basedOn w:val="Normal"/>
    <w:uiPriority w:val="34"/>
    <w:qFormat/>
    <w:rsid w:val="00E657EC"/>
    <w:pPr>
      <w:ind w:left="720"/>
      <w:contextualSpacing/>
    </w:pPr>
  </w:style>
  <w:style w:type="character" w:styleId="IntenseEmphasis">
    <w:name w:val="Intense Emphasis"/>
    <w:basedOn w:val="DefaultParagraphFont"/>
    <w:uiPriority w:val="21"/>
    <w:qFormat/>
    <w:rsid w:val="00E657EC"/>
    <w:rPr>
      <w:i/>
      <w:iCs/>
      <w:color w:val="0F4761" w:themeColor="accent1" w:themeShade="BF"/>
    </w:rPr>
  </w:style>
  <w:style w:type="paragraph" w:styleId="IntenseQuote">
    <w:name w:val="Intense Quote"/>
    <w:basedOn w:val="Normal"/>
    <w:next w:val="Normal"/>
    <w:link w:val="IntenseQuoteChar"/>
    <w:uiPriority w:val="30"/>
    <w:qFormat/>
    <w:rsid w:val="00E657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7EC"/>
    <w:rPr>
      <w:i/>
      <w:iCs/>
      <w:color w:val="0F4761" w:themeColor="accent1" w:themeShade="BF"/>
    </w:rPr>
  </w:style>
  <w:style w:type="character" w:styleId="IntenseReference">
    <w:name w:val="Intense Reference"/>
    <w:basedOn w:val="DefaultParagraphFont"/>
    <w:uiPriority w:val="32"/>
    <w:qFormat/>
    <w:rsid w:val="00E657EC"/>
    <w:rPr>
      <w:b/>
      <w:bCs/>
      <w:smallCaps/>
      <w:color w:val="0F4761" w:themeColor="accent1" w:themeShade="BF"/>
      <w:spacing w:val="5"/>
    </w:rPr>
  </w:style>
  <w:style w:type="paragraph" w:styleId="TOCHeading">
    <w:name w:val="TOC Heading"/>
    <w:basedOn w:val="Heading1"/>
    <w:next w:val="Normal"/>
    <w:uiPriority w:val="39"/>
    <w:unhideWhenUsed/>
    <w:qFormat/>
    <w:rsid w:val="005B7DB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B7DBC"/>
    <w:pPr>
      <w:spacing w:after="100"/>
    </w:pPr>
  </w:style>
  <w:style w:type="character" w:styleId="Hyperlink">
    <w:name w:val="Hyperlink"/>
    <w:basedOn w:val="DefaultParagraphFont"/>
    <w:uiPriority w:val="99"/>
    <w:unhideWhenUsed/>
    <w:rsid w:val="005B7DBC"/>
    <w:rPr>
      <w:color w:val="467886" w:themeColor="hyperlink"/>
      <w:u w:val="single"/>
    </w:rPr>
  </w:style>
  <w:style w:type="character" w:styleId="FollowedHyperlink">
    <w:name w:val="FollowedHyperlink"/>
    <w:basedOn w:val="DefaultParagraphFont"/>
    <w:uiPriority w:val="99"/>
    <w:semiHidden/>
    <w:unhideWhenUsed/>
    <w:rsid w:val="005B7DBC"/>
    <w:rPr>
      <w:color w:val="96607D" w:themeColor="followedHyperlink"/>
      <w:u w:val="single"/>
    </w:rPr>
  </w:style>
  <w:style w:type="character" w:styleId="UnresolvedMention">
    <w:name w:val="Unresolved Mention"/>
    <w:basedOn w:val="DefaultParagraphFont"/>
    <w:uiPriority w:val="99"/>
    <w:semiHidden/>
    <w:unhideWhenUsed/>
    <w:rsid w:val="005B7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udentcrowd.com/university-of-wales-trinity-saint-david/mechanical-engineering-beng-hons-c599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B90BA-5A98-4A13-8150-15D5BCCA4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4</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Vladeanu (2432415)</dc:creator>
  <cp:keywords/>
  <dc:description/>
  <cp:lastModifiedBy>Andrei Vladeanu (2432415)</cp:lastModifiedBy>
  <cp:revision>4</cp:revision>
  <dcterms:created xsi:type="dcterms:W3CDTF">2025-11-13T08:51:00Z</dcterms:created>
  <dcterms:modified xsi:type="dcterms:W3CDTF">2025-11-14T08:00:00Z</dcterms:modified>
</cp:coreProperties>
</file>