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XSpec="center" w:tblpY="4101"/>
        <w:tblW w:w="73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4970"/>
      </w:tblGrid>
      <w:tr w:rsidR="00C358DE" w:rsidRPr="002F76CD" w14:paraId="419F98E0" w14:textId="77777777" w:rsidTr="00C358DE">
        <w:tc>
          <w:tcPr>
            <w:tcW w:w="2400" w:type="dxa"/>
            <w:tcBorders>
              <w:top w:val="single" w:sz="1" w:space="0" w:color="CCCCCC"/>
              <w:left w:val="single" w:sz="1" w:space="0" w:color="CCCCCC"/>
              <w:bottom w:val="single" w:sz="1" w:space="0" w:color="CCCCCC"/>
              <w:right w:val="single" w:sz="1" w:space="0" w:color="CCCCCC"/>
            </w:tcBorders>
            <w:shd w:val="clear" w:color="auto" w:fill="D6EEF4"/>
            <w:tcMar>
              <w:top w:w="60" w:type="dxa"/>
              <w:left w:w="100" w:type="dxa"/>
              <w:bottom w:w="60" w:type="dxa"/>
              <w:right w:w="100" w:type="dxa"/>
            </w:tcMar>
          </w:tcPr>
          <w:p w14:paraId="6B25C6FC" w14:textId="200C9E7E" w:rsidR="00C358DE" w:rsidRPr="00BB4FBC" w:rsidRDefault="00000000" w:rsidP="00C358DE">
            <w:pPr>
              <w:spacing w:line="360" w:lineRule="auto"/>
              <w:rPr>
                <w:rFonts w:ascii="Arial" w:hAnsi="Arial" w:cs="Arial"/>
                <w:sz w:val="22"/>
                <w:szCs w:val="22"/>
              </w:rPr>
            </w:pPr>
            <w:r w:rsidRPr="00BB4FBC">
              <w:rPr>
                <w:rFonts w:ascii="Arial" w:hAnsi="Arial" w:cs="Arial"/>
                <w:sz w:val="22"/>
                <w:szCs w:val="22"/>
              </w:rPr>
              <w:br w:type="page"/>
            </w:r>
            <w:r w:rsidR="00C358DE" w:rsidRPr="00BB4FBC">
              <w:rPr>
                <w:rFonts w:ascii="Arial" w:hAnsi="Arial" w:cs="Arial"/>
                <w:b/>
                <w:bCs/>
                <w:color w:val="006989"/>
                <w:sz w:val="22"/>
                <w:szCs w:val="22"/>
              </w:rPr>
              <w:t>Name</w:t>
            </w:r>
          </w:p>
        </w:tc>
        <w:tc>
          <w:tcPr>
            <w:tcW w:w="497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34FA5FD" w14:textId="77777777" w:rsidR="00C358DE" w:rsidRPr="00BB4FBC" w:rsidRDefault="00C358DE" w:rsidP="00C358DE">
            <w:pPr>
              <w:spacing w:line="360" w:lineRule="auto"/>
              <w:rPr>
                <w:rFonts w:ascii="Arial" w:hAnsi="Arial" w:cs="Arial"/>
                <w:sz w:val="22"/>
                <w:szCs w:val="22"/>
              </w:rPr>
            </w:pPr>
            <w:r w:rsidRPr="00BB4FBC">
              <w:rPr>
                <w:rFonts w:ascii="Arial" w:hAnsi="Arial" w:cs="Arial"/>
                <w:color w:val="222222"/>
                <w:sz w:val="22"/>
                <w:szCs w:val="22"/>
              </w:rPr>
              <w:t xml:space="preserve">Farah Chaudry </w:t>
            </w:r>
          </w:p>
        </w:tc>
      </w:tr>
      <w:tr w:rsidR="00C358DE" w:rsidRPr="002F76CD" w14:paraId="12DD37ED" w14:textId="77777777" w:rsidTr="00C358DE">
        <w:tc>
          <w:tcPr>
            <w:tcW w:w="2400" w:type="dxa"/>
            <w:tcBorders>
              <w:top w:val="single" w:sz="1" w:space="0" w:color="CCCCCC"/>
              <w:left w:val="single" w:sz="1" w:space="0" w:color="CCCCCC"/>
              <w:bottom w:val="single" w:sz="1" w:space="0" w:color="CCCCCC"/>
              <w:right w:val="single" w:sz="1" w:space="0" w:color="CCCCCC"/>
            </w:tcBorders>
            <w:shd w:val="clear" w:color="auto" w:fill="D6EEF4"/>
            <w:tcMar>
              <w:top w:w="60" w:type="dxa"/>
              <w:left w:w="100" w:type="dxa"/>
              <w:bottom w:w="60" w:type="dxa"/>
              <w:right w:w="100" w:type="dxa"/>
            </w:tcMar>
          </w:tcPr>
          <w:p w14:paraId="22B8AB88" w14:textId="77777777" w:rsidR="00C358DE" w:rsidRPr="00BB4FBC" w:rsidRDefault="00C358DE" w:rsidP="00C358DE">
            <w:pPr>
              <w:spacing w:line="360" w:lineRule="auto"/>
              <w:rPr>
                <w:rFonts w:ascii="Arial" w:hAnsi="Arial" w:cs="Arial"/>
                <w:sz w:val="22"/>
                <w:szCs w:val="22"/>
              </w:rPr>
            </w:pPr>
            <w:r w:rsidRPr="00BB4FBC">
              <w:rPr>
                <w:rFonts w:ascii="Arial" w:hAnsi="Arial" w:cs="Arial"/>
                <w:b/>
                <w:bCs/>
                <w:color w:val="006989"/>
                <w:sz w:val="22"/>
                <w:szCs w:val="22"/>
              </w:rPr>
              <w:t>Student Number</w:t>
            </w:r>
          </w:p>
        </w:tc>
        <w:tc>
          <w:tcPr>
            <w:tcW w:w="497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199584D" w14:textId="77777777" w:rsidR="00C358DE" w:rsidRPr="00BB4FBC" w:rsidRDefault="00C358DE" w:rsidP="00C358DE">
            <w:pPr>
              <w:spacing w:line="360" w:lineRule="auto"/>
              <w:rPr>
                <w:rFonts w:ascii="Arial" w:hAnsi="Arial" w:cs="Arial"/>
                <w:sz w:val="22"/>
                <w:szCs w:val="22"/>
              </w:rPr>
            </w:pPr>
            <w:r w:rsidRPr="00BB4FBC">
              <w:rPr>
                <w:rFonts w:ascii="Arial" w:hAnsi="Arial" w:cs="Arial"/>
                <w:sz w:val="22"/>
                <w:szCs w:val="22"/>
              </w:rPr>
              <w:t>2524561</w:t>
            </w:r>
          </w:p>
        </w:tc>
      </w:tr>
      <w:tr w:rsidR="00C358DE" w:rsidRPr="002F76CD" w14:paraId="64E07589" w14:textId="77777777" w:rsidTr="00C358DE">
        <w:tc>
          <w:tcPr>
            <w:tcW w:w="2400" w:type="dxa"/>
            <w:tcBorders>
              <w:top w:val="single" w:sz="1" w:space="0" w:color="CCCCCC"/>
              <w:left w:val="single" w:sz="1" w:space="0" w:color="CCCCCC"/>
              <w:bottom w:val="single" w:sz="1" w:space="0" w:color="CCCCCC"/>
              <w:right w:val="single" w:sz="1" w:space="0" w:color="CCCCCC"/>
            </w:tcBorders>
            <w:shd w:val="clear" w:color="auto" w:fill="D6EEF4"/>
            <w:tcMar>
              <w:top w:w="60" w:type="dxa"/>
              <w:left w:w="100" w:type="dxa"/>
              <w:bottom w:w="60" w:type="dxa"/>
              <w:right w:w="100" w:type="dxa"/>
            </w:tcMar>
          </w:tcPr>
          <w:p w14:paraId="4BB72A2E" w14:textId="77777777" w:rsidR="00C358DE" w:rsidRPr="00BB4FBC" w:rsidRDefault="00C358DE" w:rsidP="00C358DE">
            <w:pPr>
              <w:spacing w:line="360" w:lineRule="auto"/>
              <w:rPr>
                <w:rFonts w:ascii="Arial" w:hAnsi="Arial" w:cs="Arial"/>
                <w:sz w:val="22"/>
                <w:szCs w:val="22"/>
              </w:rPr>
            </w:pPr>
            <w:r w:rsidRPr="00BB4FBC">
              <w:rPr>
                <w:rFonts w:ascii="Arial" w:hAnsi="Arial" w:cs="Arial"/>
                <w:b/>
                <w:bCs/>
                <w:color w:val="006989"/>
                <w:sz w:val="22"/>
                <w:szCs w:val="22"/>
              </w:rPr>
              <w:t>Module Code</w:t>
            </w:r>
          </w:p>
        </w:tc>
        <w:tc>
          <w:tcPr>
            <w:tcW w:w="497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CDA118F" w14:textId="4DBAFC50" w:rsidR="00C358DE" w:rsidRPr="00BB4FBC" w:rsidRDefault="00C358DE" w:rsidP="00C358DE">
            <w:pPr>
              <w:spacing w:line="360" w:lineRule="auto"/>
              <w:rPr>
                <w:rFonts w:ascii="Arial" w:hAnsi="Arial" w:cs="Arial"/>
                <w:sz w:val="22"/>
                <w:szCs w:val="22"/>
              </w:rPr>
            </w:pPr>
            <w:r w:rsidRPr="00BB4FBC">
              <w:rPr>
                <w:rFonts w:ascii="Arial" w:hAnsi="Arial" w:cs="Arial"/>
                <w:color w:val="222222"/>
                <w:sz w:val="22"/>
                <w:szCs w:val="22"/>
              </w:rPr>
              <w:t>LCHS4003</w:t>
            </w:r>
          </w:p>
        </w:tc>
      </w:tr>
      <w:tr w:rsidR="00C358DE" w:rsidRPr="002F76CD" w14:paraId="05467594" w14:textId="77777777" w:rsidTr="00C358DE">
        <w:tc>
          <w:tcPr>
            <w:tcW w:w="2400" w:type="dxa"/>
            <w:tcBorders>
              <w:top w:val="single" w:sz="1" w:space="0" w:color="CCCCCC"/>
              <w:left w:val="single" w:sz="1" w:space="0" w:color="CCCCCC"/>
              <w:bottom w:val="single" w:sz="1" w:space="0" w:color="CCCCCC"/>
              <w:right w:val="single" w:sz="1" w:space="0" w:color="CCCCCC"/>
            </w:tcBorders>
            <w:shd w:val="clear" w:color="auto" w:fill="D6EEF4"/>
            <w:tcMar>
              <w:top w:w="60" w:type="dxa"/>
              <w:left w:w="100" w:type="dxa"/>
              <w:bottom w:w="60" w:type="dxa"/>
              <w:right w:w="100" w:type="dxa"/>
            </w:tcMar>
          </w:tcPr>
          <w:p w14:paraId="1209F9C4" w14:textId="77777777" w:rsidR="00C358DE" w:rsidRPr="00BB4FBC" w:rsidRDefault="00C358DE" w:rsidP="00C358DE">
            <w:pPr>
              <w:spacing w:line="360" w:lineRule="auto"/>
              <w:rPr>
                <w:rFonts w:ascii="Arial" w:hAnsi="Arial" w:cs="Arial"/>
                <w:sz w:val="22"/>
                <w:szCs w:val="22"/>
              </w:rPr>
            </w:pPr>
            <w:r w:rsidRPr="00BB4FBC">
              <w:rPr>
                <w:rFonts w:ascii="Arial" w:hAnsi="Arial" w:cs="Arial"/>
                <w:b/>
                <w:bCs/>
                <w:color w:val="006989"/>
                <w:sz w:val="22"/>
                <w:szCs w:val="22"/>
              </w:rPr>
              <w:t>Module Title</w:t>
            </w:r>
          </w:p>
        </w:tc>
        <w:tc>
          <w:tcPr>
            <w:tcW w:w="497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3BF8462" w14:textId="25F12D35" w:rsidR="00C358DE" w:rsidRPr="00BB4FBC" w:rsidRDefault="00C358DE" w:rsidP="00C358DE">
            <w:pPr>
              <w:spacing w:line="360" w:lineRule="auto"/>
              <w:rPr>
                <w:rFonts w:ascii="Arial" w:hAnsi="Arial" w:cs="Arial"/>
                <w:bCs/>
                <w:sz w:val="22"/>
                <w:szCs w:val="22"/>
              </w:rPr>
            </w:pPr>
            <w:r w:rsidRPr="00BB4FBC">
              <w:rPr>
                <w:rFonts w:ascii="Arial" w:hAnsi="Arial" w:cs="Arial"/>
                <w:bCs/>
                <w:sz w:val="22"/>
                <w:szCs w:val="22"/>
              </w:rPr>
              <w:t>Introduction to Health and Social Care</w:t>
            </w:r>
          </w:p>
        </w:tc>
      </w:tr>
      <w:tr w:rsidR="00C358DE" w:rsidRPr="002F76CD" w14:paraId="58641184" w14:textId="77777777" w:rsidTr="00C358DE">
        <w:tc>
          <w:tcPr>
            <w:tcW w:w="2400" w:type="dxa"/>
            <w:tcBorders>
              <w:top w:val="single" w:sz="1" w:space="0" w:color="CCCCCC"/>
              <w:left w:val="single" w:sz="1" w:space="0" w:color="CCCCCC"/>
              <w:bottom w:val="single" w:sz="1" w:space="0" w:color="CCCCCC"/>
              <w:right w:val="single" w:sz="1" w:space="0" w:color="CCCCCC"/>
            </w:tcBorders>
            <w:shd w:val="clear" w:color="auto" w:fill="D6EEF4"/>
            <w:tcMar>
              <w:top w:w="60" w:type="dxa"/>
              <w:left w:w="100" w:type="dxa"/>
              <w:bottom w:w="60" w:type="dxa"/>
              <w:right w:w="100" w:type="dxa"/>
            </w:tcMar>
          </w:tcPr>
          <w:p w14:paraId="7B19574C" w14:textId="77777777" w:rsidR="00C358DE" w:rsidRPr="00BB4FBC" w:rsidRDefault="00C358DE" w:rsidP="00C358DE">
            <w:pPr>
              <w:spacing w:line="360" w:lineRule="auto"/>
              <w:rPr>
                <w:rFonts w:ascii="Arial" w:hAnsi="Arial" w:cs="Arial"/>
                <w:sz w:val="22"/>
                <w:szCs w:val="22"/>
              </w:rPr>
            </w:pPr>
            <w:r w:rsidRPr="00BB4FBC">
              <w:rPr>
                <w:rFonts w:ascii="Arial" w:hAnsi="Arial" w:cs="Arial"/>
                <w:b/>
                <w:bCs/>
                <w:color w:val="006989"/>
                <w:sz w:val="22"/>
                <w:szCs w:val="22"/>
              </w:rPr>
              <w:t>Lecturer</w:t>
            </w:r>
          </w:p>
        </w:tc>
        <w:tc>
          <w:tcPr>
            <w:tcW w:w="497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6370914" w14:textId="07223D54" w:rsidR="00C358DE" w:rsidRPr="00BB4FBC" w:rsidRDefault="00C358DE" w:rsidP="00C358DE">
            <w:pPr>
              <w:spacing w:line="360" w:lineRule="auto"/>
              <w:rPr>
                <w:rFonts w:ascii="Arial" w:hAnsi="Arial" w:cs="Arial"/>
                <w:sz w:val="22"/>
                <w:szCs w:val="22"/>
              </w:rPr>
            </w:pPr>
            <w:r w:rsidRPr="00BB4FBC">
              <w:rPr>
                <w:rFonts w:ascii="Arial" w:hAnsi="Arial" w:cs="Arial"/>
                <w:sz w:val="22"/>
                <w:szCs w:val="22"/>
              </w:rPr>
              <w:t>Bernice Ejiogu</w:t>
            </w:r>
          </w:p>
        </w:tc>
      </w:tr>
      <w:tr w:rsidR="00C358DE" w:rsidRPr="002F76CD" w14:paraId="31D34810" w14:textId="77777777" w:rsidTr="00C358DE">
        <w:tc>
          <w:tcPr>
            <w:tcW w:w="2400" w:type="dxa"/>
            <w:tcBorders>
              <w:top w:val="single" w:sz="1" w:space="0" w:color="CCCCCC"/>
              <w:left w:val="single" w:sz="1" w:space="0" w:color="CCCCCC"/>
              <w:bottom w:val="single" w:sz="1" w:space="0" w:color="CCCCCC"/>
              <w:right w:val="single" w:sz="1" w:space="0" w:color="CCCCCC"/>
            </w:tcBorders>
            <w:shd w:val="clear" w:color="auto" w:fill="D6EEF4"/>
            <w:tcMar>
              <w:top w:w="60" w:type="dxa"/>
              <w:left w:w="100" w:type="dxa"/>
              <w:bottom w:w="60" w:type="dxa"/>
              <w:right w:w="100" w:type="dxa"/>
            </w:tcMar>
          </w:tcPr>
          <w:p w14:paraId="1200D936" w14:textId="77777777" w:rsidR="00C358DE" w:rsidRPr="00BB4FBC" w:rsidRDefault="00C358DE" w:rsidP="00C358DE">
            <w:pPr>
              <w:spacing w:line="360" w:lineRule="auto"/>
              <w:rPr>
                <w:rFonts w:ascii="Arial" w:hAnsi="Arial" w:cs="Arial"/>
                <w:sz w:val="22"/>
                <w:szCs w:val="22"/>
              </w:rPr>
            </w:pPr>
            <w:r w:rsidRPr="00BB4FBC">
              <w:rPr>
                <w:rFonts w:ascii="Arial" w:hAnsi="Arial" w:cs="Arial"/>
                <w:b/>
                <w:bCs/>
                <w:color w:val="006989"/>
                <w:sz w:val="22"/>
                <w:szCs w:val="22"/>
              </w:rPr>
              <w:t>Assignment Title</w:t>
            </w:r>
          </w:p>
        </w:tc>
        <w:tc>
          <w:tcPr>
            <w:tcW w:w="497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599A171" w14:textId="3679D3C2" w:rsidR="00C358DE" w:rsidRPr="00515272" w:rsidRDefault="00BB4FBC" w:rsidP="00C358DE">
            <w:pPr>
              <w:spacing w:line="360" w:lineRule="auto"/>
              <w:rPr>
                <w:rFonts w:ascii="Arial" w:hAnsi="Arial" w:cs="Arial"/>
                <w:sz w:val="22"/>
                <w:szCs w:val="22"/>
                <w:lang w:val="en-US"/>
              </w:rPr>
            </w:pPr>
            <w:r w:rsidRPr="00515272">
              <w:rPr>
                <w:rFonts w:ascii="Arial" w:hAnsi="Arial" w:cs="Arial"/>
                <w:sz w:val="22"/>
                <w:szCs w:val="22"/>
              </w:rPr>
              <w:t>Written Assignment Mrs Thompson</w:t>
            </w:r>
          </w:p>
        </w:tc>
      </w:tr>
      <w:tr w:rsidR="00C358DE" w:rsidRPr="002F76CD" w14:paraId="0878CEF0" w14:textId="77777777" w:rsidTr="00C358DE">
        <w:tc>
          <w:tcPr>
            <w:tcW w:w="2400" w:type="dxa"/>
            <w:tcBorders>
              <w:top w:val="single" w:sz="1" w:space="0" w:color="CCCCCC"/>
              <w:left w:val="single" w:sz="1" w:space="0" w:color="CCCCCC"/>
              <w:bottom w:val="single" w:sz="1" w:space="0" w:color="CCCCCC"/>
              <w:right w:val="single" w:sz="1" w:space="0" w:color="CCCCCC"/>
            </w:tcBorders>
            <w:shd w:val="clear" w:color="auto" w:fill="D6EEF4"/>
            <w:tcMar>
              <w:top w:w="60" w:type="dxa"/>
              <w:left w:w="100" w:type="dxa"/>
              <w:bottom w:w="60" w:type="dxa"/>
              <w:right w:w="100" w:type="dxa"/>
            </w:tcMar>
          </w:tcPr>
          <w:p w14:paraId="118069C1" w14:textId="77777777" w:rsidR="00C358DE" w:rsidRPr="00BB4FBC" w:rsidRDefault="00C358DE" w:rsidP="00C358DE">
            <w:pPr>
              <w:spacing w:line="360" w:lineRule="auto"/>
              <w:rPr>
                <w:rFonts w:ascii="Arial" w:hAnsi="Arial" w:cs="Arial"/>
                <w:sz w:val="22"/>
                <w:szCs w:val="22"/>
              </w:rPr>
            </w:pPr>
            <w:r w:rsidRPr="00BB4FBC">
              <w:rPr>
                <w:rFonts w:ascii="Arial" w:hAnsi="Arial" w:cs="Arial"/>
                <w:b/>
                <w:bCs/>
                <w:color w:val="006989"/>
                <w:sz w:val="22"/>
                <w:szCs w:val="22"/>
              </w:rPr>
              <w:t>Submission Date</w:t>
            </w:r>
          </w:p>
        </w:tc>
        <w:tc>
          <w:tcPr>
            <w:tcW w:w="497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665BFB9" w14:textId="11D490BC" w:rsidR="00C358DE" w:rsidRPr="00BB4FBC" w:rsidRDefault="00083B8F" w:rsidP="00C358DE">
            <w:pPr>
              <w:spacing w:line="360" w:lineRule="auto"/>
              <w:rPr>
                <w:rFonts w:ascii="Arial" w:hAnsi="Arial" w:cs="Arial"/>
                <w:sz w:val="22"/>
                <w:szCs w:val="22"/>
              </w:rPr>
            </w:pPr>
            <w:r>
              <w:rPr>
                <w:rFonts w:ascii="Arial" w:hAnsi="Arial" w:cs="Arial"/>
                <w:color w:val="222222"/>
                <w:sz w:val="22"/>
                <w:szCs w:val="22"/>
              </w:rPr>
              <w:t>15</w:t>
            </w:r>
            <w:r w:rsidRPr="00083B8F">
              <w:rPr>
                <w:rFonts w:ascii="Arial" w:hAnsi="Arial" w:cs="Arial"/>
                <w:color w:val="222222"/>
                <w:sz w:val="22"/>
                <w:szCs w:val="22"/>
                <w:vertAlign w:val="superscript"/>
              </w:rPr>
              <w:t>th</w:t>
            </w:r>
            <w:r>
              <w:rPr>
                <w:rFonts w:ascii="Arial" w:hAnsi="Arial" w:cs="Arial"/>
                <w:color w:val="222222"/>
                <w:sz w:val="22"/>
                <w:szCs w:val="22"/>
              </w:rPr>
              <w:t xml:space="preserve"> </w:t>
            </w:r>
            <w:r w:rsidR="00C358DE" w:rsidRPr="00BB4FBC">
              <w:rPr>
                <w:rFonts w:ascii="Arial" w:hAnsi="Arial" w:cs="Arial"/>
                <w:color w:val="222222"/>
                <w:sz w:val="22"/>
                <w:szCs w:val="22"/>
              </w:rPr>
              <w:t>July 2026</w:t>
            </w:r>
          </w:p>
        </w:tc>
      </w:tr>
    </w:tbl>
    <w:p w14:paraId="53ACD08C" w14:textId="77777777" w:rsidR="00392E9E" w:rsidRDefault="00392E9E">
      <w:pPr>
        <w:sectPr w:rsidR="00392E9E">
          <w:pgSz w:w="11906" w:h="16838"/>
          <w:pgMar w:top="1440" w:right="1440" w:bottom="1440" w:left="1440" w:header="708" w:footer="708" w:gutter="0"/>
          <w:cols w:space="720"/>
          <w:docGrid w:linePitch="360"/>
        </w:sectPr>
      </w:pPr>
    </w:p>
    <w:p w14:paraId="27C96B25" w14:textId="77777777" w:rsidR="00392E9E" w:rsidRPr="00C358DE" w:rsidRDefault="00000000" w:rsidP="00515272">
      <w:pPr>
        <w:pStyle w:val="Heading1"/>
        <w:spacing w:before="300" w:after="200" w:line="360" w:lineRule="auto"/>
        <w:rPr>
          <w:rFonts w:ascii="Arial" w:hAnsi="Arial" w:cs="Arial"/>
          <w:b/>
          <w:bCs/>
          <w:color w:val="auto"/>
          <w:sz w:val="22"/>
          <w:szCs w:val="22"/>
        </w:rPr>
      </w:pPr>
      <w:r w:rsidRPr="00C358DE">
        <w:rPr>
          <w:rFonts w:ascii="Arial" w:hAnsi="Arial" w:cs="Arial"/>
          <w:b/>
          <w:bCs/>
          <w:color w:val="auto"/>
          <w:sz w:val="22"/>
          <w:szCs w:val="22"/>
        </w:rPr>
        <w:lastRenderedPageBreak/>
        <w:t>Introduction</w:t>
      </w:r>
    </w:p>
    <w:p w14:paraId="75202D93" w14:textId="77777777" w:rsidR="00392E9E" w:rsidRPr="00C358DE" w:rsidRDefault="00000000" w:rsidP="00C358DE">
      <w:pPr>
        <w:spacing w:after="200" w:line="360" w:lineRule="auto"/>
        <w:jc w:val="both"/>
        <w:rPr>
          <w:rFonts w:ascii="Arial" w:hAnsi="Arial" w:cs="Arial"/>
          <w:sz w:val="22"/>
          <w:szCs w:val="22"/>
        </w:rPr>
      </w:pPr>
      <w:r w:rsidRPr="00C358DE">
        <w:rPr>
          <w:rFonts w:ascii="Arial" w:hAnsi="Arial" w:cs="Arial"/>
          <w:sz w:val="22"/>
          <w:szCs w:val="22"/>
        </w:rPr>
        <w:t>Mrs Thompson is an 84-year-old woman recently discharged from hospital following treatment for pneumonia. She lives alone in sheltered housing and receives domiciliary care twice daily to support her with activities of daily living. She has a diagnosis of mild dementia, which affects her short-term memory and her ability to manage her medication independently. Two related incidents have recently raised concern: a missed two-day course of medication that led to increased confusion, and an occasion on which she was found outside in cold weather without adequate clothing, which is currently subject to a local authority safeguarding review. Together, these incidents suggest that her current package of care may now need to be carefully reviewed. This report uses Mrs Thompson's case to examine three areas central to safe, person-centred practice: effective communication, administrative skills and record keeping, and collaborative multi-agency working, and to reflect on how each area could be strengthened.</w:t>
      </w:r>
    </w:p>
    <w:p w14:paraId="6E815703" w14:textId="77777777" w:rsidR="00392E9E" w:rsidRPr="00C358DE" w:rsidRDefault="00000000" w:rsidP="00C358DE">
      <w:pPr>
        <w:pStyle w:val="Heading1"/>
        <w:spacing w:before="300" w:after="200" w:line="360" w:lineRule="auto"/>
        <w:rPr>
          <w:rFonts w:ascii="Arial" w:hAnsi="Arial" w:cs="Arial"/>
          <w:sz w:val="22"/>
          <w:szCs w:val="22"/>
        </w:rPr>
      </w:pPr>
      <w:r w:rsidRPr="00C358DE">
        <w:rPr>
          <w:rFonts w:ascii="Arial" w:hAnsi="Arial" w:cs="Arial"/>
          <w:b/>
          <w:bCs/>
          <w:color w:val="1F3864"/>
          <w:sz w:val="22"/>
          <w:szCs w:val="22"/>
        </w:rPr>
        <w:t>Section 1: Effective Communication</w:t>
      </w:r>
    </w:p>
    <w:p w14:paraId="72F3FC9B" w14:textId="77777777" w:rsidR="00392E9E" w:rsidRPr="00C358DE" w:rsidRDefault="00000000" w:rsidP="00C358DE">
      <w:pPr>
        <w:spacing w:after="200" w:line="360" w:lineRule="auto"/>
        <w:jc w:val="both"/>
        <w:rPr>
          <w:rFonts w:ascii="Arial" w:hAnsi="Arial" w:cs="Arial"/>
          <w:sz w:val="22"/>
          <w:szCs w:val="22"/>
        </w:rPr>
      </w:pPr>
      <w:r w:rsidRPr="00C358DE">
        <w:rPr>
          <w:rFonts w:ascii="Arial" w:hAnsi="Arial" w:cs="Arial"/>
          <w:sz w:val="22"/>
          <w:szCs w:val="22"/>
        </w:rPr>
        <w:t>Communication is the foundation of safe and compassionate care. For a service user such as Mrs Thompson, who has mild dementia, communication must be carefully adapted so that information is given clearly, at an appropriate pace, and reinforced through repetition and simple language, since short-term memory difficulties can make it hard for her to retain instructions about medication or safety advice given only once. Where verbal communication alone is insufficient, care workers should combine it with non-verbal cues, such as maintaining eye contact, using open body language, and observing Mrs Thompson's facial expressions and behaviour closely for signs of confusion, distress or discomfort that she may not be able to put into words.</w:t>
      </w:r>
    </w:p>
    <w:p w14:paraId="152EC384" w14:textId="77777777" w:rsidR="00392E9E" w:rsidRPr="00C358DE" w:rsidRDefault="00000000" w:rsidP="00C358DE">
      <w:pPr>
        <w:spacing w:after="200" w:line="360" w:lineRule="auto"/>
        <w:jc w:val="both"/>
        <w:rPr>
          <w:rFonts w:ascii="Arial" w:hAnsi="Arial" w:cs="Arial"/>
          <w:sz w:val="22"/>
          <w:szCs w:val="22"/>
        </w:rPr>
      </w:pPr>
      <w:r w:rsidRPr="00C358DE">
        <w:rPr>
          <w:rFonts w:ascii="Arial" w:hAnsi="Arial" w:cs="Arial"/>
          <w:sz w:val="22"/>
          <w:szCs w:val="22"/>
        </w:rPr>
        <w:t xml:space="preserve">Cultural sensitivity and language accessibility are equally important, even where a language barrier is not immediately obvious. Although Mrs Thompson's case does not indicate a language barrier, good practice requires that care providers assess this for every service user and, where English is not a first language or a sensory impairment is present, arrange professional interpreters rather than relying informally on family members, whose presence can compromise privacy and accuracy. Cultural background can also shape how a service user expresses pain or distress, so care workers should avoid assumptions and instead ask Mrs Thompson directly how she prefers to communicate. Visual aids, such as pictorial medication charts, large-print written reminders, or a labelled </w:t>
      </w:r>
      <w:proofErr w:type="spellStart"/>
      <w:r w:rsidRPr="00C358DE">
        <w:rPr>
          <w:rFonts w:ascii="Arial" w:hAnsi="Arial" w:cs="Arial"/>
          <w:sz w:val="22"/>
          <w:szCs w:val="22"/>
        </w:rPr>
        <w:t>dosette</w:t>
      </w:r>
      <w:proofErr w:type="spellEnd"/>
      <w:r w:rsidRPr="00C358DE">
        <w:rPr>
          <w:rFonts w:ascii="Arial" w:hAnsi="Arial" w:cs="Arial"/>
          <w:sz w:val="22"/>
          <w:szCs w:val="22"/>
        </w:rPr>
        <w:t xml:space="preserve"> box, can support her </w:t>
      </w:r>
      <w:r w:rsidRPr="00C358DE">
        <w:rPr>
          <w:rFonts w:ascii="Arial" w:hAnsi="Arial" w:cs="Arial"/>
          <w:sz w:val="22"/>
          <w:szCs w:val="22"/>
        </w:rPr>
        <w:lastRenderedPageBreak/>
        <w:t>understanding and independence, and are a recognised strategy for reducing medication errors in people living with dementia.</w:t>
      </w:r>
    </w:p>
    <w:p w14:paraId="3E0F6683" w14:textId="77777777" w:rsidR="00392E9E" w:rsidRPr="00C358DE" w:rsidRDefault="00000000" w:rsidP="00C358DE">
      <w:pPr>
        <w:spacing w:after="200" w:line="360" w:lineRule="auto"/>
        <w:jc w:val="both"/>
        <w:rPr>
          <w:rFonts w:ascii="Arial" w:hAnsi="Arial" w:cs="Arial"/>
          <w:sz w:val="22"/>
          <w:szCs w:val="22"/>
        </w:rPr>
      </w:pPr>
      <w:r w:rsidRPr="00C358DE">
        <w:rPr>
          <w:rFonts w:ascii="Arial" w:hAnsi="Arial" w:cs="Arial"/>
          <w:sz w:val="22"/>
          <w:szCs w:val="22"/>
        </w:rPr>
        <w:t>The Equality Act 2010 places a legal duty on care providers to make reasonable adjustments for service users with a disability, which includes dementia, so that they are not disadvantaged in accessing information or services. In practice, this means adapting communication methods, allowing extra time, and ensuring that Mrs Thompson is always given information in a format she can understand and, where possible, involved in decisions about her own care and daily routine.</w:t>
      </w:r>
    </w:p>
    <w:p w14:paraId="6FDC74F9" w14:textId="77777777" w:rsidR="00392E9E" w:rsidRPr="00C358DE" w:rsidRDefault="00000000" w:rsidP="00C358DE">
      <w:pPr>
        <w:spacing w:after="200" w:line="360" w:lineRule="auto"/>
        <w:jc w:val="both"/>
        <w:rPr>
          <w:rFonts w:ascii="Arial" w:hAnsi="Arial" w:cs="Arial"/>
          <w:sz w:val="22"/>
          <w:szCs w:val="22"/>
        </w:rPr>
      </w:pPr>
      <w:r w:rsidRPr="00C358DE">
        <w:rPr>
          <w:rFonts w:ascii="Arial" w:hAnsi="Arial" w:cs="Arial"/>
          <w:sz w:val="22"/>
          <w:szCs w:val="22"/>
        </w:rPr>
        <w:t>Argyle's (1972) Communication Cycle offers a useful model for understanding and improving interactions with Mrs Thompson. The cycle describes communication as a continuous loop of an idea occurring, being coded into a message, sent, received, decoded, and understood, with the receiver's response confirming whether the message has landed as intended. Applied to this case, a care worker explaining a change to Mrs Thompson's medication regime should check understanding by asking her to repeat back key information, observe her non-verbal response, and be ready to repeat or rephrase the message if decoding is incomplete. This approach is particularly important for a service user with cognitive impairment, as it reduces the risk of misunderstanding that could contribute to further missed medication or unsafe behaviour, such as leaving the property inappropriately dressed.</w:t>
      </w:r>
    </w:p>
    <w:p w14:paraId="778055F0" w14:textId="77777777" w:rsidR="00392E9E" w:rsidRPr="00C358DE" w:rsidRDefault="00000000" w:rsidP="00C358DE">
      <w:pPr>
        <w:pStyle w:val="Heading1"/>
        <w:spacing w:before="300" w:after="200" w:line="360" w:lineRule="auto"/>
        <w:rPr>
          <w:rFonts w:ascii="Arial" w:hAnsi="Arial" w:cs="Arial"/>
          <w:sz w:val="22"/>
          <w:szCs w:val="22"/>
        </w:rPr>
      </w:pPr>
      <w:r w:rsidRPr="00C358DE">
        <w:rPr>
          <w:rFonts w:ascii="Arial" w:hAnsi="Arial" w:cs="Arial"/>
          <w:b/>
          <w:bCs/>
          <w:color w:val="1F3864"/>
          <w:sz w:val="22"/>
          <w:szCs w:val="22"/>
        </w:rPr>
        <w:t>Section 2: Administrative Skills and Record Keeping</w:t>
      </w:r>
    </w:p>
    <w:p w14:paraId="116DBE2B" w14:textId="77777777" w:rsidR="00392E9E" w:rsidRPr="00C358DE" w:rsidRDefault="00000000" w:rsidP="00C358DE">
      <w:pPr>
        <w:spacing w:after="200" w:line="360" w:lineRule="auto"/>
        <w:jc w:val="both"/>
        <w:rPr>
          <w:rFonts w:ascii="Arial" w:hAnsi="Arial" w:cs="Arial"/>
          <w:sz w:val="22"/>
          <w:szCs w:val="22"/>
        </w:rPr>
      </w:pPr>
      <w:r w:rsidRPr="00C358DE">
        <w:rPr>
          <w:rFonts w:ascii="Arial" w:hAnsi="Arial" w:cs="Arial"/>
          <w:sz w:val="22"/>
          <w:szCs w:val="22"/>
        </w:rPr>
        <w:t>Accurate, timely and legible record keeping is central to safe care delivery. Every contact with Mrs Thompson, including medication administration, observations of her mental state, and any concerns about her safety, should be documented clearly in her care records immediately after the event, using objective, factual language rather than opinion. Good records provide continuity between the different care staff who visit Mrs Thompson twice daily, ensure that a change in her condition, such as increased confusion following missed medication, is picked up quickly, and provide an evidential trail should her care ever be scrutinised, as is now the case following the safeguarding referral.</w:t>
      </w:r>
    </w:p>
    <w:p w14:paraId="3A253357" w14:textId="77777777" w:rsidR="00392E9E" w:rsidRPr="00C358DE" w:rsidRDefault="00000000" w:rsidP="00C358DE">
      <w:pPr>
        <w:spacing w:after="200" w:line="360" w:lineRule="auto"/>
        <w:jc w:val="both"/>
        <w:rPr>
          <w:rFonts w:ascii="Arial" w:hAnsi="Arial" w:cs="Arial"/>
          <w:sz w:val="22"/>
          <w:szCs w:val="22"/>
        </w:rPr>
      </w:pPr>
      <w:r w:rsidRPr="00C358DE">
        <w:rPr>
          <w:rFonts w:ascii="Arial" w:hAnsi="Arial" w:cs="Arial"/>
          <w:sz w:val="22"/>
          <w:szCs w:val="22"/>
        </w:rPr>
        <w:t>The risks of poor record keeping are significant and can directly affect a person's safety. If the missed medication had not been recorded and escalated through the incident process, the link between the missed doses and Mrs Thompson's increased confusion might not have been identified, delaying the medication review she now requires. Incomplete or inconsistent records can also mean that risks, such as her being found outside inadequately dressed, are not recognised as part of a wider pattern, increasing the likelihood of repeat incidents and undermining multi-agency decision-making.</w:t>
      </w:r>
    </w:p>
    <w:p w14:paraId="402F6187" w14:textId="77777777" w:rsidR="00392E9E" w:rsidRPr="00C358DE" w:rsidRDefault="00000000" w:rsidP="00C358DE">
      <w:pPr>
        <w:spacing w:after="200" w:line="360" w:lineRule="auto"/>
        <w:jc w:val="both"/>
        <w:rPr>
          <w:rFonts w:ascii="Arial" w:hAnsi="Arial" w:cs="Arial"/>
          <w:sz w:val="22"/>
          <w:szCs w:val="22"/>
        </w:rPr>
      </w:pPr>
      <w:r w:rsidRPr="00C358DE">
        <w:rPr>
          <w:rFonts w:ascii="Arial" w:hAnsi="Arial" w:cs="Arial"/>
          <w:sz w:val="22"/>
          <w:szCs w:val="22"/>
        </w:rPr>
        <w:lastRenderedPageBreak/>
        <w:t>Several legal and professional frameworks govern this area of practice. The Data Protection Act 2018, which incorporates the UK General Data Protection Regulation, requires that Mrs Thompson's personal and health information is processed lawfully, kept secure, accurate and up to date, and shared only with those who have a legitimate need to know. The Caldicott Principles (National Data Guardian, 2020), an expanded set of eight principles, provide practical guidance for handling confidential information in health and social care, including the requirements to justify the purpose of any use of confidential data, to use the minimum information necessary, to restrict access on a strict need-to-know basis, and to inform service users how their information is used; the eighth principle further emphasises the duty to share information when doing so is in the person's best interests, which is directly relevant to the multi-agency sharing needed in Mrs Thompson's case.</w:t>
      </w:r>
    </w:p>
    <w:p w14:paraId="74BD5879" w14:textId="77777777" w:rsidR="00392E9E" w:rsidRPr="00C358DE" w:rsidRDefault="00000000" w:rsidP="00C358DE">
      <w:pPr>
        <w:spacing w:after="200" w:line="360" w:lineRule="auto"/>
        <w:jc w:val="both"/>
        <w:rPr>
          <w:rFonts w:ascii="Arial" w:hAnsi="Arial" w:cs="Arial"/>
          <w:sz w:val="22"/>
          <w:szCs w:val="22"/>
        </w:rPr>
      </w:pPr>
      <w:r w:rsidRPr="00C358DE">
        <w:rPr>
          <w:rFonts w:ascii="Arial" w:hAnsi="Arial" w:cs="Arial"/>
          <w:sz w:val="22"/>
          <w:szCs w:val="22"/>
        </w:rPr>
        <w:t>For nurses involved in Mrs Thompson's care, the Nursing and Midwifery Council's (2018) Code sets out professional duties to keep clear and accurate records that are made at the time of the events or as soon as reasonably possible afterwards, and to share information appropriately to keep people safe. The Care Quality Commission's (2022) fundamental standards similarly require that providers maintain accurate, complete and contemporaneous records for each person using the service, and poor documentation is a recurrent finding in CQC inspections that identify inadequate care. Together, these frameworks make clear that meticulous administration is not a peripheral task but a core safeguarding function that directly protects service users like Mrs Thompson.</w:t>
      </w:r>
    </w:p>
    <w:p w14:paraId="1EF81165" w14:textId="77777777" w:rsidR="00392E9E" w:rsidRPr="00C358DE" w:rsidRDefault="00000000" w:rsidP="00C358DE">
      <w:pPr>
        <w:pStyle w:val="Heading1"/>
        <w:spacing w:before="300" w:after="200" w:line="360" w:lineRule="auto"/>
        <w:rPr>
          <w:rFonts w:ascii="Arial" w:hAnsi="Arial" w:cs="Arial"/>
          <w:sz w:val="22"/>
          <w:szCs w:val="22"/>
        </w:rPr>
      </w:pPr>
      <w:r w:rsidRPr="00C358DE">
        <w:rPr>
          <w:rFonts w:ascii="Arial" w:hAnsi="Arial" w:cs="Arial"/>
          <w:b/>
          <w:bCs/>
          <w:color w:val="1F3864"/>
          <w:sz w:val="22"/>
          <w:szCs w:val="22"/>
        </w:rPr>
        <w:t>Section 3: Collaborative Working</w:t>
      </w:r>
    </w:p>
    <w:p w14:paraId="2DC017D9" w14:textId="77777777" w:rsidR="00392E9E" w:rsidRPr="00C358DE" w:rsidRDefault="00000000" w:rsidP="00C358DE">
      <w:pPr>
        <w:spacing w:after="200" w:line="360" w:lineRule="auto"/>
        <w:jc w:val="both"/>
        <w:rPr>
          <w:rFonts w:ascii="Arial" w:hAnsi="Arial" w:cs="Arial"/>
          <w:sz w:val="22"/>
          <w:szCs w:val="22"/>
        </w:rPr>
      </w:pPr>
      <w:r w:rsidRPr="00C358DE">
        <w:rPr>
          <w:rFonts w:ascii="Arial" w:hAnsi="Arial" w:cs="Arial"/>
          <w:sz w:val="22"/>
          <w:szCs w:val="22"/>
        </w:rPr>
        <w:t>Mrs Thompson's case clearly illustrates why no single agency can meet her needs alone. The Care Act 2014 places a duty on local authorities and their partners to cooperate in promoting the wellbeing of adults with care needs. Her care requires input from domiciliary care staff, a GP or community nursing team to review her medication, a social worker leading the safeguarding review, and potentially an occupational therapist or dementia support service, all of whom must work together and share relevant information in a timely way.</w:t>
      </w:r>
    </w:p>
    <w:p w14:paraId="3D5FB699" w14:textId="77777777" w:rsidR="00392E9E" w:rsidRPr="00C358DE" w:rsidRDefault="00000000" w:rsidP="00C358DE">
      <w:pPr>
        <w:spacing w:after="200" w:line="360" w:lineRule="auto"/>
        <w:jc w:val="both"/>
        <w:rPr>
          <w:rFonts w:ascii="Arial" w:hAnsi="Arial" w:cs="Arial"/>
          <w:sz w:val="22"/>
          <w:szCs w:val="22"/>
        </w:rPr>
      </w:pPr>
      <w:r w:rsidRPr="00C358DE">
        <w:rPr>
          <w:rFonts w:ascii="Arial" w:hAnsi="Arial" w:cs="Arial"/>
          <w:sz w:val="22"/>
          <w:szCs w:val="22"/>
        </w:rPr>
        <w:t>A shared, person-centred care plan is a key mechanism for achieving this. Recording Mrs Thompson's needs, risks, preferences and the actions each professional is taking in a single accessible plan ensures that everyone involved in her care works from the same up-to-date picture, reducing the risk of duplicated effort or, more seriously, of important information, such as her missed medication, failing to reach professionals who need to act on it. Regular multi-disciplinary meetings or case reviews provide a further opportunity to discuss her progress and adjust the care plan as her needs change.</w:t>
      </w:r>
    </w:p>
    <w:p w14:paraId="1BECF276" w14:textId="77777777" w:rsidR="00392E9E" w:rsidRPr="00C358DE" w:rsidRDefault="00000000" w:rsidP="00C358DE">
      <w:pPr>
        <w:spacing w:after="200" w:line="360" w:lineRule="auto"/>
        <w:jc w:val="both"/>
        <w:rPr>
          <w:rFonts w:ascii="Arial" w:hAnsi="Arial" w:cs="Arial"/>
          <w:sz w:val="22"/>
          <w:szCs w:val="22"/>
        </w:rPr>
      </w:pPr>
      <w:r w:rsidRPr="00C358DE">
        <w:rPr>
          <w:rFonts w:ascii="Arial" w:hAnsi="Arial" w:cs="Arial"/>
          <w:sz w:val="22"/>
          <w:szCs w:val="22"/>
        </w:rPr>
        <w:lastRenderedPageBreak/>
        <w:t>Collaborative working is not without challenges. Differences in professional language, organisational priorities and recording systems between health and social care providers can create barriers to effective information sharing, and concerns about confidentiality can, if misunderstood, lead professionals to withhold information that should be shared to protect a vulnerable adult. Time pressures can also make this difficult. These challenges can be addressed through clear information-sharing agreements, designated key workers who coordinate communication across agencies, and a shared understanding, reinforced by the Caldicott Principles, that the duty to share relevant information for a person's safety is as important as the duty to protect their confidentiality. Building relationships between agencies would help ensure that concerns are followed up consistently rather than falling between services.</w:t>
      </w:r>
    </w:p>
    <w:p w14:paraId="6C1E5B67" w14:textId="77777777" w:rsidR="00392E9E" w:rsidRPr="00C358DE" w:rsidRDefault="00000000" w:rsidP="00C358DE">
      <w:pPr>
        <w:pStyle w:val="Heading1"/>
        <w:spacing w:before="300" w:after="200" w:line="360" w:lineRule="auto"/>
        <w:rPr>
          <w:rFonts w:ascii="Arial" w:hAnsi="Arial" w:cs="Arial"/>
          <w:sz w:val="22"/>
          <w:szCs w:val="22"/>
        </w:rPr>
      </w:pPr>
      <w:r w:rsidRPr="00C358DE">
        <w:rPr>
          <w:rFonts w:ascii="Arial" w:hAnsi="Arial" w:cs="Arial"/>
          <w:b/>
          <w:bCs/>
          <w:color w:val="1F3864"/>
          <w:sz w:val="22"/>
          <w:szCs w:val="22"/>
        </w:rPr>
        <w:t>Conclusion</w:t>
      </w:r>
    </w:p>
    <w:p w14:paraId="63A563A5" w14:textId="77777777" w:rsidR="00392E9E" w:rsidRPr="00C358DE" w:rsidRDefault="00000000" w:rsidP="00C358DE">
      <w:pPr>
        <w:spacing w:after="200" w:line="360" w:lineRule="auto"/>
        <w:jc w:val="both"/>
        <w:rPr>
          <w:rFonts w:ascii="Arial" w:hAnsi="Arial" w:cs="Arial"/>
          <w:sz w:val="22"/>
          <w:szCs w:val="22"/>
        </w:rPr>
      </w:pPr>
      <w:r w:rsidRPr="00C358DE">
        <w:rPr>
          <w:rFonts w:ascii="Arial" w:hAnsi="Arial" w:cs="Arial"/>
          <w:sz w:val="22"/>
          <w:szCs w:val="22"/>
        </w:rPr>
        <w:t>Mrs Thompson's case demonstrates how communication, administrative skills and collaborative working are interdependent elements of safe, person-centred care. Clear, adapted communication, informed by models such as Argyle's Communication Cycle and underpinned by the Equality Act 2010, reduces the risk of misunderstanding that can contribute to missed medication or unsafe behaviour. Accurate record keeping, guided by the Data Protection Act 2018, the Caldicott Principles, the NMC Code and CQC standards, ensures that changes in her condition are identified and acted upon promptly rather than overlooked. Effective multi-agency collaboration, supported by shared care plans and regular communication, brings these elements together so that risks to her health and safety are managed proactively rather than reactively. The key lesson from Mrs Thompson's case is that lapses in any one of these areas can compound the others, underlining the need for consistently high standards of communication, documentation and teamwork across the whole care team.</w:t>
      </w:r>
    </w:p>
    <w:p w14:paraId="18EEFA65" w14:textId="77777777" w:rsidR="00C358DE" w:rsidRDefault="00C358DE" w:rsidP="00C358DE">
      <w:pPr>
        <w:pStyle w:val="Heading1"/>
        <w:spacing w:before="300" w:after="200" w:line="360" w:lineRule="auto"/>
        <w:rPr>
          <w:rFonts w:ascii="Arial" w:hAnsi="Arial" w:cs="Arial"/>
          <w:b/>
          <w:bCs/>
          <w:color w:val="1F3864"/>
          <w:sz w:val="22"/>
          <w:szCs w:val="22"/>
        </w:rPr>
      </w:pPr>
    </w:p>
    <w:p w14:paraId="227539C3" w14:textId="77777777" w:rsidR="00C358DE" w:rsidRDefault="00C358DE" w:rsidP="00C358DE">
      <w:pPr>
        <w:pStyle w:val="Heading1"/>
        <w:spacing w:before="300" w:after="200" w:line="360" w:lineRule="auto"/>
        <w:rPr>
          <w:rFonts w:ascii="Arial" w:hAnsi="Arial" w:cs="Arial"/>
          <w:b/>
          <w:bCs/>
          <w:color w:val="1F3864"/>
          <w:sz w:val="22"/>
          <w:szCs w:val="22"/>
        </w:rPr>
      </w:pPr>
    </w:p>
    <w:p w14:paraId="57571A19" w14:textId="77777777" w:rsidR="00C358DE" w:rsidRDefault="00C358DE" w:rsidP="00C358DE">
      <w:pPr>
        <w:pStyle w:val="Heading1"/>
        <w:spacing w:before="300" w:after="200" w:line="360" w:lineRule="auto"/>
        <w:rPr>
          <w:rFonts w:ascii="Arial" w:hAnsi="Arial" w:cs="Arial"/>
          <w:b/>
          <w:bCs/>
          <w:color w:val="1F3864"/>
          <w:sz w:val="22"/>
          <w:szCs w:val="22"/>
        </w:rPr>
      </w:pPr>
    </w:p>
    <w:p w14:paraId="311751FB" w14:textId="77777777" w:rsidR="00C358DE" w:rsidRDefault="00C358DE" w:rsidP="00C358DE">
      <w:pPr>
        <w:pStyle w:val="Heading1"/>
        <w:spacing w:before="300" w:after="200" w:line="360" w:lineRule="auto"/>
        <w:rPr>
          <w:rFonts w:ascii="Arial" w:hAnsi="Arial" w:cs="Arial"/>
          <w:b/>
          <w:bCs/>
          <w:color w:val="1F3864"/>
          <w:sz w:val="22"/>
          <w:szCs w:val="22"/>
        </w:rPr>
      </w:pPr>
    </w:p>
    <w:p w14:paraId="2A7EF37C" w14:textId="77777777" w:rsidR="00C358DE" w:rsidRDefault="00C358DE" w:rsidP="00C358DE">
      <w:pPr>
        <w:pStyle w:val="Heading1"/>
        <w:spacing w:before="300" w:after="200" w:line="360" w:lineRule="auto"/>
        <w:rPr>
          <w:rFonts w:ascii="Arial" w:hAnsi="Arial" w:cs="Arial"/>
          <w:b/>
          <w:bCs/>
          <w:color w:val="1F3864"/>
          <w:sz w:val="22"/>
          <w:szCs w:val="22"/>
        </w:rPr>
      </w:pPr>
    </w:p>
    <w:p w14:paraId="0021E3C2" w14:textId="77777777" w:rsidR="00C358DE" w:rsidRDefault="00C358DE" w:rsidP="00C358DE">
      <w:pPr>
        <w:pStyle w:val="Heading1"/>
        <w:spacing w:before="300" w:after="200" w:line="360" w:lineRule="auto"/>
        <w:rPr>
          <w:rFonts w:ascii="Arial" w:hAnsi="Arial" w:cs="Arial"/>
          <w:b/>
          <w:bCs/>
          <w:color w:val="1F3864"/>
          <w:sz w:val="22"/>
          <w:szCs w:val="22"/>
        </w:rPr>
      </w:pPr>
    </w:p>
    <w:p w14:paraId="29160B15" w14:textId="77777777" w:rsidR="00C358DE" w:rsidRDefault="00C358DE" w:rsidP="00C358DE">
      <w:pPr>
        <w:pStyle w:val="Heading1"/>
        <w:spacing w:before="300" w:after="200" w:line="360" w:lineRule="auto"/>
        <w:rPr>
          <w:rFonts w:ascii="Arial" w:hAnsi="Arial" w:cs="Arial"/>
          <w:b/>
          <w:bCs/>
          <w:color w:val="1F3864"/>
          <w:sz w:val="22"/>
          <w:szCs w:val="22"/>
        </w:rPr>
      </w:pPr>
    </w:p>
    <w:p w14:paraId="5AEC9A11" w14:textId="2F2B3ED4" w:rsidR="00392E9E" w:rsidRPr="00C358DE" w:rsidRDefault="00000000" w:rsidP="00C358DE">
      <w:pPr>
        <w:pStyle w:val="Heading1"/>
        <w:spacing w:before="300" w:after="200" w:line="360" w:lineRule="auto"/>
        <w:rPr>
          <w:rFonts w:ascii="Arial" w:hAnsi="Arial" w:cs="Arial"/>
          <w:sz w:val="22"/>
          <w:szCs w:val="22"/>
        </w:rPr>
      </w:pPr>
      <w:r w:rsidRPr="00C358DE">
        <w:rPr>
          <w:rFonts w:ascii="Arial" w:hAnsi="Arial" w:cs="Arial"/>
          <w:b/>
          <w:bCs/>
          <w:color w:val="1F3864"/>
          <w:sz w:val="22"/>
          <w:szCs w:val="22"/>
        </w:rPr>
        <w:t>References</w:t>
      </w:r>
    </w:p>
    <w:p w14:paraId="41DF51F2" w14:textId="77777777" w:rsidR="00392E9E" w:rsidRPr="00C358DE" w:rsidRDefault="00000000" w:rsidP="00C358DE">
      <w:pPr>
        <w:spacing w:after="160" w:line="360" w:lineRule="auto"/>
        <w:ind w:left="720" w:hanging="720"/>
        <w:rPr>
          <w:rFonts w:ascii="Arial" w:hAnsi="Arial" w:cs="Arial"/>
          <w:sz w:val="22"/>
          <w:szCs w:val="22"/>
        </w:rPr>
      </w:pPr>
      <w:r w:rsidRPr="00C358DE">
        <w:rPr>
          <w:rFonts w:ascii="Arial" w:hAnsi="Arial" w:cs="Arial"/>
          <w:sz w:val="22"/>
          <w:szCs w:val="22"/>
        </w:rPr>
        <w:t>Argyle, M. (1972) The Psychology of Interpersonal Behaviour. Harmondsworth: Penguin.</w:t>
      </w:r>
    </w:p>
    <w:p w14:paraId="2F578D9A" w14:textId="77777777" w:rsidR="00392E9E" w:rsidRPr="00C358DE" w:rsidRDefault="00000000" w:rsidP="00C358DE">
      <w:pPr>
        <w:spacing w:after="160" w:line="360" w:lineRule="auto"/>
        <w:ind w:left="720" w:hanging="720"/>
        <w:rPr>
          <w:rFonts w:ascii="Arial" w:hAnsi="Arial" w:cs="Arial"/>
          <w:sz w:val="22"/>
          <w:szCs w:val="22"/>
        </w:rPr>
      </w:pPr>
      <w:r w:rsidRPr="00C358DE">
        <w:rPr>
          <w:rFonts w:ascii="Arial" w:hAnsi="Arial" w:cs="Arial"/>
          <w:sz w:val="22"/>
          <w:szCs w:val="22"/>
        </w:rPr>
        <w:t>Care Act 2014. London: The Stationery Office.</w:t>
      </w:r>
    </w:p>
    <w:p w14:paraId="4CE01ADF" w14:textId="77777777" w:rsidR="00392E9E" w:rsidRPr="00C358DE" w:rsidRDefault="00000000" w:rsidP="00C358DE">
      <w:pPr>
        <w:spacing w:after="160" w:line="360" w:lineRule="auto"/>
        <w:ind w:left="720" w:hanging="720"/>
        <w:rPr>
          <w:rFonts w:ascii="Arial" w:hAnsi="Arial" w:cs="Arial"/>
          <w:sz w:val="22"/>
          <w:szCs w:val="22"/>
        </w:rPr>
      </w:pPr>
      <w:r w:rsidRPr="00C358DE">
        <w:rPr>
          <w:rFonts w:ascii="Arial" w:hAnsi="Arial" w:cs="Arial"/>
          <w:sz w:val="22"/>
          <w:szCs w:val="22"/>
        </w:rPr>
        <w:t>Care Quality Commission (2022) Regulations for Service Providers and Managers. London: CQC. Available at: https://www.cqc.org.uk/guidance-regulation/providers/regulations-service-providers-and-managers (Accessed: 10 July 2026).</w:t>
      </w:r>
    </w:p>
    <w:p w14:paraId="4C73B341" w14:textId="77777777" w:rsidR="00392E9E" w:rsidRPr="00C358DE" w:rsidRDefault="00000000" w:rsidP="00C358DE">
      <w:pPr>
        <w:spacing w:after="160" w:line="360" w:lineRule="auto"/>
        <w:ind w:left="720" w:hanging="720"/>
        <w:rPr>
          <w:rFonts w:ascii="Arial" w:hAnsi="Arial" w:cs="Arial"/>
          <w:sz w:val="22"/>
          <w:szCs w:val="22"/>
        </w:rPr>
      </w:pPr>
      <w:r w:rsidRPr="00C358DE">
        <w:rPr>
          <w:rFonts w:ascii="Arial" w:hAnsi="Arial" w:cs="Arial"/>
          <w:sz w:val="22"/>
          <w:szCs w:val="22"/>
        </w:rPr>
        <w:t>Data Protection Act 2018. London: The Stationery Office.</w:t>
      </w:r>
    </w:p>
    <w:p w14:paraId="0DB0A114" w14:textId="77777777" w:rsidR="00392E9E" w:rsidRPr="00C358DE" w:rsidRDefault="00000000" w:rsidP="00C358DE">
      <w:pPr>
        <w:spacing w:after="160" w:line="360" w:lineRule="auto"/>
        <w:ind w:left="720" w:hanging="720"/>
        <w:rPr>
          <w:rFonts w:ascii="Arial" w:hAnsi="Arial" w:cs="Arial"/>
          <w:sz w:val="22"/>
          <w:szCs w:val="22"/>
        </w:rPr>
      </w:pPr>
      <w:r w:rsidRPr="00C358DE">
        <w:rPr>
          <w:rFonts w:ascii="Arial" w:hAnsi="Arial" w:cs="Arial"/>
          <w:sz w:val="22"/>
          <w:szCs w:val="22"/>
        </w:rPr>
        <w:t>Equality Act 2010. London: The Stationery Office.</w:t>
      </w:r>
    </w:p>
    <w:p w14:paraId="4C203549" w14:textId="77777777" w:rsidR="00392E9E" w:rsidRPr="00C358DE" w:rsidRDefault="00000000" w:rsidP="00C358DE">
      <w:pPr>
        <w:spacing w:after="160" w:line="360" w:lineRule="auto"/>
        <w:ind w:left="720" w:hanging="720"/>
        <w:rPr>
          <w:rFonts w:ascii="Arial" w:hAnsi="Arial" w:cs="Arial"/>
          <w:sz w:val="22"/>
          <w:szCs w:val="22"/>
        </w:rPr>
      </w:pPr>
      <w:r w:rsidRPr="00C358DE">
        <w:rPr>
          <w:rFonts w:ascii="Arial" w:hAnsi="Arial" w:cs="Arial"/>
          <w:sz w:val="22"/>
          <w:szCs w:val="22"/>
        </w:rPr>
        <w:t>National Data Guardian (2020) The Caldicott Principles. London: Department of Health and Social Care. Available at: https://www.gov.uk/government/publications/the-caldicott-principles (Accessed: 10 July 2026).</w:t>
      </w:r>
    </w:p>
    <w:p w14:paraId="0AA91421" w14:textId="77777777" w:rsidR="00392E9E" w:rsidRPr="00C358DE" w:rsidRDefault="00000000" w:rsidP="00C358DE">
      <w:pPr>
        <w:spacing w:after="160" w:line="360" w:lineRule="auto"/>
        <w:ind w:left="720" w:hanging="720"/>
        <w:rPr>
          <w:rFonts w:ascii="Arial" w:hAnsi="Arial" w:cs="Arial"/>
          <w:sz w:val="22"/>
          <w:szCs w:val="22"/>
        </w:rPr>
      </w:pPr>
      <w:r w:rsidRPr="00C358DE">
        <w:rPr>
          <w:rFonts w:ascii="Arial" w:hAnsi="Arial" w:cs="Arial"/>
          <w:sz w:val="22"/>
          <w:szCs w:val="22"/>
        </w:rPr>
        <w:t>Nursing and Midwifery Council (2018) The Code: Professional Standards of Practice and Behaviour for Nurses, Midwives and Nursing Associates. London: NMC.</w:t>
      </w:r>
    </w:p>
    <w:sectPr w:rsidR="00392E9E" w:rsidRPr="00C358DE">
      <w:headerReference w:type="default" r:id="rId7"/>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FEE8C0" w14:textId="77777777" w:rsidR="009B26AE" w:rsidRDefault="009B26AE">
      <w:r>
        <w:separator/>
      </w:r>
    </w:p>
  </w:endnote>
  <w:endnote w:type="continuationSeparator" w:id="0">
    <w:p w14:paraId="5401DCD7" w14:textId="77777777" w:rsidR="009B26AE" w:rsidRDefault="009B26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95BACA" w14:textId="77777777" w:rsidR="00392E9E" w:rsidRDefault="00000000">
    <w:pPr>
      <w:jc w:val="center"/>
    </w:pPr>
    <w:r>
      <w:rPr>
        <w:sz w:val="18"/>
        <w:szCs w:val="18"/>
      </w:rPr>
      <w:fldChar w:fldCharType="begin"/>
    </w:r>
    <w:r>
      <w:rPr>
        <w:sz w:val="18"/>
        <w:szCs w:val="18"/>
      </w:rPr>
      <w:instrText>PAGE</w:instrText>
    </w:r>
    <w:r>
      <w:rPr>
        <w:sz w:val="18"/>
        <w:szCs w:val="18"/>
      </w:rPr>
      <w:fldChar w:fldCharType="separate"/>
    </w:r>
    <w:r w:rsidR="00624BB1">
      <w:rPr>
        <w:noProof/>
        <w:sz w:val="18"/>
        <w:szCs w:val="18"/>
      </w:rPr>
      <w:t>2</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7505F4" w14:textId="77777777" w:rsidR="009B26AE" w:rsidRDefault="009B26AE">
      <w:r>
        <w:separator/>
      </w:r>
    </w:p>
  </w:footnote>
  <w:footnote w:type="continuationSeparator" w:id="0">
    <w:p w14:paraId="5A245212" w14:textId="77777777" w:rsidR="009B26AE" w:rsidRDefault="009B26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D8F55E" w14:textId="09D1138E" w:rsidR="00392E9E" w:rsidRPr="00C358DE" w:rsidRDefault="00392E9E" w:rsidP="00C358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CC360A"/>
    <w:multiLevelType w:val="hybridMultilevel"/>
    <w:tmpl w:val="DE12FB3E"/>
    <w:lvl w:ilvl="0" w:tplc="130AEE7E">
      <w:start w:val="1"/>
      <w:numFmt w:val="bullet"/>
      <w:lvlText w:val="●"/>
      <w:lvlJc w:val="left"/>
      <w:pPr>
        <w:ind w:left="720" w:hanging="360"/>
      </w:pPr>
    </w:lvl>
    <w:lvl w:ilvl="1" w:tplc="12DCF7B6">
      <w:start w:val="1"/>
      <w:numFmt w:val="bullet"/>
      <w:lvlText w:val="○"/>
      <w:lvlJc w:val="left"/>
      <w:pPr>
        <w:ind w:left="1440" w:hanging="360"/>
      </w:pPr>
    </w:lvl>
    <w:lvl w:ilvl="2" w:tplc="B6C8940E">
      <w:start w:val="1"/>
      <w:numFmt w:val="bullet"/>
      <w:lvlText w:val="■"/>
      <w:lvlJc w:val="left"/>
      <w:pPr>
        <w:ind w:left="2160" w:hanging="360"/>
      </w:pPr>
    </w:lvl>
    <w:lvl w:ilvl="3" w:tplc="6644D958">
      <w:start w:val="1"/>
      <w:numFmt w:val="bullet"/>
      <w:lvlText w:val="●"/>
      <w:lvlJc w:val="left"/>
      <w:pPr>
        <w:ind w:left="2880" w:hanging="360"/>
      </w:pPr>
    </w:lvl>
    <w:lvl w:ilvl="4" w:tplc="C0B2179C">
      <w:start w:val="1"/>
      <w:numFmt w:val="bullet"/>
      <w:lvlText w:val="○"/>
      <w:lvlJc w:val="left"/>
      <w:pPr>
        <w:ind w:left="3600" w:hanging="360"/>
      </w:pPr>
    </w:lvl>
    <w:lvl w:ilvl="5" w:tplc="398AC08C">
      <w:start w:val="1"/>
      <w:numFmt w:val="bullet"/>
      <w:lvlText w:val="■"/>
      <w:lvlJc w:val="left"/>
      <w:pPr>
        <w:ind w:left="4320" w:hanging="360"/>
      </w:pPr>
    </w:lvl>
    <w:lvl w:ilvl="6" w:tplc="32F8E3E8">
      <w:start w:val="1"/>
      <w:numFmt w:val="bullet"/>
      <w:lvlText w:val="●"/>
      <w:lvlJc w:val="left"/>
      <w:pPr>
        <w:ind w:left="5040" w:hanging="360"/>
      </w:pPr>
    </w:lvl>
    <w:lvl w:ilvl="7" w:tplc="E72887E6">
      <w:start w:val="1"/>
      <w:numFmt w:val="bullet"/>
      <w:lvlText w:val="●"/>
      <w:lvlJc w:val="left"/>
      <w:pPr>
        <w:ind w:left="5760" w:hanging="360"/>
      </w:pPr>
    </w:lvl>
    <w:lvl w:ilvl="8" w:tplc="2CC4AD82">
      <w:start w:val="1"/>
      <w:numFmt w:val="bullet"/>
      <w:lvlText w:val="●"/>
      <w:lvlJc w:val="left"/>
      <w:pPr>
        <w:ind w:left="6480" w:hanging="360"/>
      </w:pPr>
    </w:lvl>
  </w:abstractNum>
  <w:num w:numId="1" w16cid:durableId="54082063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2E9E"/>
    <w:rsid w:val="000571DF"/>
    <w:rsid w:val="00083B8F"/>
    <w:rsid w:val="00392E9E"/>
    <w:rsid w:val="003D603E"/>
    <w:rsid w:val="00515272"/>
    <w:rsid w:val="005302C6"/>
    <w:rsid w:val="00624BB1"/>
    <w:rsid w:val="009B26AE"/>
    <w:rsid w:val="00BB4FBC"/>
    <w:rsid w:val="00BC1931"/>
    <w:rsid w:val="00C35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27686"/>
  <w15:docId w15:val="{A3B3ADA3-CB3B-4371-8157-DCBD7440C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C358DE"/>
    <w:pPr>
      <w:tabs>
        <w:tab w:val="center" w:pos="4513"/>
        <w:tab w:val="right" w:pos="9026"/>
      </w:tabs>
    </w:pPr>
  </w:style>
  <w:style w:type="character" w:customStyle="1" w:styleId="HeaderChar">
    <w:name w:val="Header Char"/>
    <w:basedOn w:val="DefaultParagraphFont"/>
    <w:link w:val="Header"/>
    <w:uiPriority w:val="99"/>
    <w:rsid w:val="00C358DE"/>
  </w:style>
  <w:style w:type="paragraph" w:styleId="Footer">
    <w:name w:val="footer"/>
    <w:basedOn w:val="Normal"/>
    <w:link w:val="FooterChar"/>
    <w:uiPriority w:val="99"/>
    <w:unhideWhenUsed/>
    <w:rsid w:val="00C358DE"/>
    <w:pPr>
      <w:tabs>
        <w:tab w:val="center" w:pos="4513"/>
        <w:tab w:val="right" w:pos="9026"/>
      </w:tabs>
    </w:pPr>
  </w:style>
  <w:style w:type="character" w:customStyle="1" w:styleId="FooterChar">
    <w:name w:val="Footer Char"/>
    <w:basedOn w:val="DefaultParagraphFont"/>
    <w:link w:val="Footer"/>
    <w:uiPriority w:val="99"/>
    <w:rsid w:val="00C358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TotalTime>
  <Pages>6</Pages>
  <Words>1700</Words>
  <Characters>9693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abid chaudry</cp:lastModifiedBy>
  <cp:revision>4</cp:revision>
  <dcterms:created xsi:type="dcterms:W3CDTF">2026-07-10T16:20:00Z</dcterms:created>
  <dcterms:modified xsi:type="dcterms:W3CDTF">2026-07-15T21:19:00Z</dcterms:modified>
</cp:coreProperties>
</file>