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2"/>
        <w:pageBreakBefore w:val="0"/>
        <w:pBdr>
          <w:top w:space="0" w:sz="0" w:val="nil"/>
          <w:left w:space="0" w:sz="0" w:val="nil"/>
          <w:bottom w:space="0" w:sz="0" w:val="nil"/>
          <w:right w:space="0" w:sz="0" w:val="nil"/>
          <w:between w:space="0" w:sz="0" w:val="nil"/>
        </w:pBdr>
        <w:shd w:fill="auto" w:val="clear"/>
        <w:spacing w:after="0" w:before="0" w:line="288" w:lineRule="auto"/>
        <w:rPr>
          <w:rFonts w:ascii="Open Sans" w:cs="Open Sans" w:eastAsia="Open Sans" w:hAnsi="Open Sans"/>
          <w:color w:val="695d46"/>
          <w:sz w:val="24"/>
          <w:szCs w:val="24"/>
        </w:rPr>
      </w:pPr>
      <w:bookmarkStart w:colFirst="0" w:colLast="0" w:name="_z6ne0og04bp5" w:id="0"/>
      <w:bookmarkEnd w:id="0"/>
      <w:r w:rsidDel="00000000" w:rsidR="00000000" w:rsidRPr="00000000">
        <w:rPr>
          <w:rFonts w:ascii="Open Sans" w:cs="Open Sans" w:eastAsia="Open Sans" w:hAnsi="Open Sans"/>
          <w:color w:val="695d46"/>
          <w:sz w:val="24"/>
          <w:szCs w:val="24"/>
        </w:rPr>
        <w:drawing>
          <wp:inline distB="114300" distT="114300" distL="114300" distR="114300">
            <wp:extent cx="5916349" cy="104775"/>
            <wp:effectExtent b="0" l="0" r="0" t="0"/>
            <wp:docPr descr="horizontal line" id="2" name="image2.png"/>
            <a:graphic>
              <a:graphicData uri="http://schemas.openxmlformats.org/drawingml/2006/picture">
                <pic:pic>
                  <pic:nvPicPr>
                    <pic:cNvPr descr="horizontal line" id="0" name="image2.png"/>
                    <pic:cNvPicPr preferRelativeResize="0"/>
                  </pic:nvPicPr>
                  <pic:blipFill>
                    <a:blip r:embed="rId6"/>
                    <a:srcRect b="-35184" l="0" r="0" t="0"/>
                    <a:stretch>
                      <a:fillRect/>
                    </a:stretch>
                  </pic:blipFill>
                  <pic:spPr>
                    <a:xfrm>
                      <a:off x="0" y="0"/>
                      <a:ext cx="5916349" cy="104775"/>
                    </a:xfrm>
                    <a:prstGeom prst="rect"/>
                    <a:ln/>
                  </pic:spPr>
                </pic:pic>
              </a:graphicData>
            </a:graphic>
          </wp:inline>
        </w:drawing>
      </w:r>
      <w:r w:rsidDel="00000000" w:rsidR="00000000" w:rsidRPr="00000000">
        <w:rPr>
          <w:rFonts w:ascii="Open Sans" w:cs="Open Sans" w:eastAsia="Open Sans" w:hAnsi="Open Sans"/>
          <w:color w:val="695d46"/>
          <w:sz w:val="24"/>
          <w:szCs w:val="24"/>
          <w:rtl w:val="0"/>
        </w:rPr>
        <w:t xml:space="preserve"> </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rPr/>
      </w:pPr>
      <w:r w:rsidDel="00000000" w:rsidR="00000000" w:rsidRPr="00000000">
        <w:rPr/>
        <w:drawing>
          <wp:inline distB="114300" distT="114300" distL="114300" distR="114300">
            <wp:extent cx="5062538" cy="3375025"/>
            <wp:effectExtent b="0" l="0" r="0" t="0"/>
            <wp:docPr descr="Placeholder image" id="3" name="image3.jpg"/>
            <a:graphic>
              <a:graphicData uri="http://schemas.openxmlformats.org/drawingml/2006/picture">
                <pic:pic>
                  <pic:nvPicPr>
                    <pic:cNvPr descr="Placeholder image" id="0" name="image3.jpg"/>
                    <pic:cNvPicPr preferRelativeResize="0"/>
                  </pic:nvPicPr>
                  <pic:blipFill>
                    <a:blip r:embed="rId7"/>
                    <a:srcRect b="0" l="0" r="0" t="0"/>
                    <a:stretch>
                      <a:fillRect/>
                    </a:stretch>
                  </pic:blipFill>
                  <pic:spPr>
                    <a:xfrm>
                      <a:off x="0" y="0"/>
                      <a:ext cx="5062538" cy="337502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Title"/>
        <w:pageBreakBefore w:val="0"/>
        <w:pBdr>
          <w:top w:space="0" w:sz="0" w:val="nil"/>
          <w:left w:space="0" w:sz="0" w:val="nil"/>
          <w:bottom w:space="0" w:sz="0" w:val="nil"/>
          <w:right w:space="0" w:sz="0" w:val="nil"/>
          <w:between w:space="0" w:sz="0" w:val="nil"/>
        </w:pBdr>
        <w:shd w:fill="auto" w:val="clear"/>
        <w:rPr/>
      </w:pPr>
      <w:bookmarkStart w:colFirst="0" w:colLast="0" w:name="_2gazcsgmxkub" w:id="1"/>
      <w:bookmarkEnd w:id="1"/>
      <w:r w:rsidDel="00000000" w:rsidR="00000000" w:rsidRPr="00000000">
        <w:rPr>
          <w:rtl w:val="0"/>
        </w:rPr>
        <w:t xml:space="preserve">Social inclusion,victimisation and welfare.</w:t>
      </w:r>
    </w:p>
    <w:p w:rsidR="00000000" w:rsidDel="00000000" w:rsidP="00000000" w:rsidRDefault="00000000" w:rsidRPr="00000000" w14:paraId="00000004">
      <w:pPr>
        <w:pStyle w:val="Subtitle"/>
        <w:spacing w:after="240" w:before="240" w:line="256.8" w:lineRule="auto"/>
        <w:jc w:val="both"/>
        <w:rPr/>
      </w:pPr>
      <w:bookmarkStart w:colFirst="0" w:colLast="0" w:name="_dy5cnpdh46cy" w:id="2"/>
      <w:bookmarkEnd w:id="2"/>
      <w:r w:rsidDel="00000000" w:rsidR="00000000" w:rsidRPr="00000000">
        <w:rPr>
          <w:rFonts w:ascii="Arial" w:cs="Arial" w:eastAsia="Arial" w:hAnsi="Arial"/>
          <w:b w:val="1"/>
          <w:sz w:val="22"/>
          <w:szCs w:val="22"/>
          <w:rtl w:val="0"/>
        </w:rPr>
        <w:t xml:space="preserve">Choose a UK case where someone with personal factors of vulnerability have been a victim of crime. Critically evaluate how the criminal justice system supported or failed them.</w:t>
      </w: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after="1440" w:before="0" w:line="288" w:lineRule="auto"/>
        <w:rPr/>
      </w:pPr>
      <w:r w:rsidDel="00000000" w:rsidR="00000000" w:rsidRPr="00000000">
        <w:rPr>
          <w:rFonts w:ascii="Arial Unicode MS" w:cs="Arial Unicode MS" w:eastAsia="Arial Unicode MS" w:hAnsi="Arial Unicode MS"/>
          <w:b w:val="1"/>
          <w:sz w:val="36"/>
          <w:szCs w:val="36"/>
          <w:rtl w:val="0"/>
        </w:rPr>
        <w:t xml:space="preserve">─</w:t>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line="240" w:lineRule="auto"/>
        <w:rPr>
          <w:rFonts w:ascii="PT Sans Narrow" w:cs="PT Sans Narrow" w:eastAsia="PT Sans Narrow" w:hAnsi="PT Sans Narrow"/>
          <w:color w:val="008575"/>
          <w:sz w:val="32"/>
          <w:szCs w:val="32"/>
        </w:rPr>
      </w:pPr>
      <w:r w:rsidDel="00000000" w:rsidR="00000000" w:rsidRPr="00000000">
        <w:rPr>
          <w:rFonts w:ascii="PT Sans Narrow" w:cs="PT Sans Narrow" w:eastAsia="PT Sans Narrow" w:hAnsi="PT Sans Narrow"/>
          <w:color w:val="008575"/>
          <w:sz w:val="32"/>
          <w:szCs w:val="32"/>
          <w:rtl w:val="0"/>
        </w:rPr>
        <w:t xml:space="preserve">Luci Montgomery</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8"/>
          <w:szCs w:val="28"/>
          <w:rtl w:val="0"/>
        </w:rPr>
        <w:t xml:space="preserve">2214470</w:t>
      </w: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8"/>
          <w:szCs w:val="28"/>
          <w:rtl w:val="0"/>
        </w:rPr>
        <w:t xml:space="preserve">3rd May 2024</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360" w:lineRule="auto"/>
        <w:ind w:left="0" w:firstLine="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stated by the Ministry of Justice (2024),to be able to be classed as a victim,you must classify as a person who has suffered harm, physical,emotional, mental,or economical loss</w:t>
      </w:r>
      <w:r w:rsidDel="00000000" w:rsidR="00000000" w:rsidRPr="00000000">
        <w:rPr>
          <w:rFonts w:ascii="Arial" w:cs="Arial" w:eastAsia="Arial" w:hAnsi="Arial"/>
          <w:b w:val="1"/>
          <w:color w:val="000000"/>
          <w:sz w:val="24"/>
          <w:szCs w:val="24"/>
          <w:rtl w:val="0"/>
        </w:rPr>
        <w:t xml:space="preserve">, </w:t>
      </w:r>
      <w:r w:rsidDel="00000000" w:rsidR="00000000" w:rsidRPr="00000000">
        <w:rPr>
          <w:rFonts w:ascii="Arial" w:cs="Arial" w:eastAsia="Arial" w:hAnsi="Arial"/>
          <w:color w:val="000000"/>
          <w:sz w:val="24"/>
          <w:szCs w:val="24"/>
          <w:rtl w:val="0"/>
        </w:rPr>
        <w:t xml:space="preserve">which has directly been caused by a criminal offence,or a close relative whose death was caused by a criminal offence.Victim Rights are also given to parents and guardians of those under the age of 18 and the nominated spokesperson of an individual who is mentally impaired or severely injured.Victims sit at the heart of the criminal justice system,an embodiment of the drastic consequences criminal offences can bring.</w:t>
      </w:r>
      <w:r w:rsidDel="00000000" w:rsidR="00000000" w:rsidRPr="00000000">
        <w:rPr>
          <w:rFonts w:ascii="Arial" w:cs="Arial" w:eastAsia="Arial" w:hAnsi="Arial"/>
          <w:color w:val="000000"/>
          <w:sz w:val="24"/>
          <w:szCs w:val="24"/>
          <w:highlight w:val="white"/>
          <w:rtl w:val="0"/>
        </w:rPr>
        <w:t xml:space="preserve">Their struggles,experiences and needs divide the varying mechanisms of law enforcement and all that surrounds the criminal justice system.The ongoing relationship between victims and the criminal justice system is complex,shown by the progression and difficulties addressed by their support and participation.</w:t>
      </w:r>
      <w:r w:rsidDel="00000000" w:rsidR="00000000" w:rsidRPr="00000000">
        <w:rPr>
          <w:rFonts w:ascii="Arial" w:cs="Arial" w:eastAsia="Arial" w:hAnsi="Arial"/>
          <w:color w:val="000000"/>
          <w:sz w:val="24"/>
          <w:szCs w:val="24"/>
          <w:rtl w:val="0"/>
        </w:rPr>
        <w:t xml:space="preserve">There is evidence that victims put through the criminal justice system are both supported and failed,such as the case of Fiona Pilkington.</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line="360" w:lineRule="auto"/>
        <w:ind w:left="0" w:firstLine="0"/>
        <w:rPr>
          <w:rFonts w:ascii="Arial" w:cs="Arial" w:eastAsia="Arial" w:hAnsi="Arial"/>
          <w:color w:val="0b0c0c"/>
          <w:sz w:val="24"/>
          <w:szCs w:val="24"/>
        </w:rPr>
      </w:pPr>
      <w:r w:rsidDel="00000000" w:rsidR="00000000" w:rsidRPr="00000000">
        <w:rPr>
          <w:rFonts w:ascii="Arial" w:cs="Arial" w:eastAsia="Arial" w:hAnsi="Arial"/>
          <w:color w:val="0b0c0c"/>
          <w:sz w:val="24"/>
          <w:szCs w:val="24"/>
          <w:highlight w:val="white"/>
          <w:rtl w:val="0"/>
        </w:rPr>
        <w:t xml:space="preserve">Office</w:t>
      </w:r>
      <w:r w:rsidDel="00000000" w:rsidR="00000000" w:rsidRPr="00000000">
        <w:rPr>
          <w:rFonts w:ascii="Arial" w:cs="Arial" w:eastAsia="Arial" w:hAnsi="Arial"/>
          <w:color w:val="0b0c0c"/>
          <w:sz w:val="24"/>
          <w:szCs w:val="24"/>
          <w:highlight w:val="white"/>
          <w:rtl w:val="0"/>
        </w:rPr>
        <w:t xml:space="preserve"> for Health Improvement and Disparities(2021) defines  a vulnerable individual  as “ in need of special care, support, or protection because of age, disability, risk of abuse or neglect.”.Despite their being no specific definition for childhood vulnerability,a major aspect is to be vulnerable to risks and poor outcomes due to others actions or their environment.NHS(2019) defined vulnerable adults as any adult,an individual over the age of 18,who is unable to take care of themselves or protect themselves from any sort of exploitation,there are many factors that can lead to adult vulnerability, it is suggested that childhood vulnerability can negatively impact later life.There are some factors that can lead to vulnerability, especially regarding background,such as physical,emotional and mental wellbeing.</w:t>
      </w: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360" w:lineRule="auto"/>
        <w:ind w:left="0" w:firstLine="0"/>
        <w:rPr>
          <w:rFonts w:ascii="Arial" w:cs="Arial" w:eastAsia="Arial" w:hAnsi="Arial"/>
          <w:color w:val="0b0c0c"/>
          <w:sz w:val="24"/>
          <w:szCs w:val="24"/>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line="36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color w:val="0b0c0c"/>
          <w:sz w:val="24"/>
          <w:szCs w:val="24"/>
          <w:rtl w:val="0"/>
        </w:rPr>
        <w:t xml:space="preserve">In 2007,Fiona Pilkington, a mother of two from Leicestershire took the life of herself and her severely disabled daughter Francecca Hardwick</w:t>
      </w:r>
      <w:r w:rsidDel="00000000" w:rsidR="00000000" w:rsidRPr="00000000">
        <w:rPr>
          <w:rFonts w:ascii="Arial" w:cs="Arial" w:eastAsia="Arial" w:hAnsi="Arial"/>
          <w:color w:val="0d0d0d"/>
          <w:sz w:val="24"/>
          <w:szCs w:val="24"/>
          <w:highlight w:val="white"/>
          <w:rtl w:val="0"/>
        </w:rPr>
        <w:t xml:space="preserve">, after suffering years of relentless harassment and abuse from local youths, ultimately leading to a tragic outcome. Despite making numerous complaints to many authorities about the harassment over the years, Pilkingtons complaints were ignored,the abuse included verbal abuse, vandalism, and physical assaults directed at her and her disabled daughter. The abuse escalated over time, becoming increasingly severe and more frequent. Despite attempting to seek assistance, the authorities failed to provide adequate protection, leaving Pilkington and her family vulnerable and isolated. Following the years of torment and feeling let down and abandoned by the system, Pilkington tragically took her own life, along with her daughters (Gibson,2015). The Independent Police Complaints Commission carried out an investigation concluding the failures of the police following Pilkingtons 33 complaints between November 1997 and October 2007,stating that the police officers failed to identify the collective vulnerabilities of the family and the lack of support given to Pilkington,her son and daughter(Hampshire Safeguarding of adults board,2011).</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line="360" w:lineRule="auto"/>
        <w:ind w:left="0" w:firstLine="0"/>
        <w:rPr>
          <w:rFonts w:ascii="Arial" w:cs="Arial" w:eastAsia="Arial" w:hAnsi="Arial"/>
          <w:color w:val="0d0d0d"/>
          <w:sz w:val="24"/>
          <w:szCs w:val="24"/>
          <w:highlight w:val="white"/>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36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The case of Fiona Pilkington shed light on the systematic failures within social services and law enforcement agencies, highlighting the urgent need for improved support systems for vulnerable individuals facing harassment and abuse.Shakespeare,(2012) discusses the limitations regarding disability related hostility and how in certain cases this can encourage systematic changes. In addition to this, her tragic story prompted a reassessment of anti-bullying policies and procedures, both locally and nationally, prompting efforts to strengthen protections for vulnerable individuals and improve coordination between agencies responsible for safeguarding.In the aftermath of Pilkington's death, various inquiries and reviews were conducted to examine the circumstances surrounding the case and identify areas for improvement in safeguarding protocols. These investigations highlighted systematic shortcomings in communication, risk assessment, and victim support within social services and law enforcement sectors. As a result, recommendations were made to enhance training for frontline staff, improve information-sharing mechanisms, and streamline processes for responding to reports of harassment and abuse.</w:t>
      </w:r>
    </w:p>
    <w:p w:rsidR="00000000" w:rsidDel="00000000" w:rsidP="00000000" w:rsidRDefault="00000000" w:rsidRPr="00000000" w14:paraId="00000012">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The legacy of Fiona Pilkington's tragic ordeal remains a stark indication of the profound impact of bullying and harassment on individuals and communities.</w:t>
      </w:r>
    </w:p>
    <w:p w:rsidR="00000000" w:rsidDel="00000000" w:rsidP="00000000" w:rsidRDefault="00000000" w:rsidRPr="00000000" w14:paraId="00000013">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Anti social behaviour being the main problem within this case,specifically, personal anti social behaviour,as described  by College of Policing (2024) an incident that targets a group or individual,causing stress or impacting the quality of life of  those affected. Her story has catalysed efforts to strengthen protections for vulnerable individuals, improve responses to hate crimes and harassment, and foster greater awareness and empathy towards those facing similar challenges.The torment endured by Pilkington and her family,was tragically overlooked by authorities despite repeated pleas for help. The failure of the police and social services to adequately address the situation ultimately led to Pilkington's despair, culminating in her decision to take her own life and that of her disabled daughter. This case highlights systematic failures in safeguarding vulnerable individuals and emphasises the urgent need for improved support mechanisms and intervention strategies.</w:t>
      </w:r>
    </w:p>
    <w:p w:rsidR="00000000" w:rsidDel="00000000" w:rsidP="00000000" w:rsidRDefault="00000000" w:rsidRPr="00000000" w14:paraId="00000014">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There are many different job titles that sit under the definition of the criminal justice system,as stated by House of Commons (2022),it includes,Police Forces,Police and Crime Commissioners,Crown Prosecution Services, Her Majesty’s Court and Tribunals Service, Magistrate’s Courts and the Crown Court,Court of Appeal and Sentencing Council. All of these systems failed Fiona Pilkington,her and her daughters death followed years of bullying,regarding her daughter's disability,Taylor et al(2012),discuss the failings following hate crime reports,documenting the polices failings following them reporting and responding to disability hate crime,Pilkingtons being one of them.The Independent Police Complaints Commission found several alarming failings regarding the case being a hate crime instead of anti-social behaviour, some of these failings included the systems that the police officers had in place, that if they had used, could of  shown the levels of harassment that the family had endured for so many years,officers were found to have had an unstructured approach each time they were called to deal with the situation.Police did not recognise the street that the family lived on, to be a hotspot for any anti-social behaviour issues and was therefore it was not targeted for a proactive police response.Furthermore,officers did not identify the difference and the level of seriousness between what they believed was anti-social behaviour and the treatment of the Pilkington family being a hate crime,specifically when taking into consideration the vulnerability of the family. Prior to this, the Independent Police Complaints Commission had previously given the police recommendations of sharing information between officers and how they handle individuals with vulnerabilities and that it is clear that the force has learnt significant amounts on monitoring anti-social behaviour and the way that it deals with vulnerable individuals. Bland and Read (2010) discuss the police’s monitoring of anti-social behaviour,at the time as not having a direct definition for the term,with future acknowledgments being needed for cases especially regarding Pilkington.</w:t>
      </w:r>
    </w:p>
    <w:p w:rsidR="00000000" w:rsidDel="00000000" w:rsidP="00000000" w:rsidRDefault="00000000" w:rsidRPr="00000000" w14:paraId="00000015">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Prior to her death, Pilkington,her mother,her neighbour and the local MP had contacted the police to inform them of the ongoing bullying,repeating their concerns about the situation.Despite all of this,the police failed to respond to their justified concerns.Despite systems being in place for the police to catalogue the different incidents and link them together,they were not well utilised,resulting in further failure that could have been avoided.Opportunities were inadequately investigated,allegations missed and records incomplete on the Police intelligence system (Hussain,2011).</w:t>
      </w:r>
    </w:p>
    <w:p w:rsidR="00000000" w:rsidDel="00000000" w:rsidP="00000000" w:rsidRDefault="00000000" w:rsidRPr="00000000" w14:paraId="00000016">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tl w:val="0"/>
        </w:rPr>
      </w:r>
    </w:p>
    <w:p w:rsidR="00000000" w:rsidDel="00000000" w:rsidP="00000000" w:rsidRDefault="00000000" w:rsidRPr="00000000" w14:paraId="00000017">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The criminal justice system's response to Pilkington and her family's situation was subject to major scrutiny and criticism due to the many perceived failures in adequately addressing the harassment and bullying they had endured. However,some reports were investigated by police,despite the inadequacy,accuracy and thoroughness of certain details.Within the legal proceedings,there were several instances where legal action was taken against certain individuals involved in the harassment of Pilkington and her family. The  family interacted with other agencies within the criminal justice system, such as victim support services, the different services were aiming to provide assistance and to  support the victims of crime, but may for the Pilkington family have been insufficient or ineffective in addressing the complex and ongoing nature of the harassment that they were experiencing.Following their tragic death and the public outcry surrounding the case, there were inquiries and reviews conducted to examine the handling of the situation by various agencies, including the police and social services. These inquiries highlighted systematic failures and made recommendations for improvements in responding to cases of antisocial behaviour and hate crimes(Dryden,2017).</w:t>
      </w:r>
    </w:p>
    <w:p w:rsidR="00000000" w:rsidDel="00000000" w:rsidP="00000000" w:rsidRDefault="00000000" w:rsidRPr="00000000" w14:paraId="00000018">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tl w:val="0"/>
        </w:rPr>
      </w:r>
    </w:p>
    <w:p w:rsidR="00000000" w:rsidDel="00000000" w:rsidP="00000000" w:rsidRDefault="00000000" w:rsidRPr="00000000" w14:paraId="00000019">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The handling of hate crimes and bullying by the criminal justice system  has been a subject of significant scrutiny, with various instances highlighting the significant  systematic failures in effectively addressing these different issues. Despite efforts to combat hate crimes and bullying, there are persistent challenges that hinder the ability of the police to adequately respond to and prevent such offences. One key issue is underreporting, as victims may fear reprisal or lack confidence in the police's ability to address their concerns. This reluctance to report, can result in a lack of accurate data on the prevalence of hate crimes and bullying, leading to underestimations of the problem's scope and impact (Chakraborti &amp; Garland, 2004). Furthermore, even when hate crimes and bullying are reported, there are often delays or deficiencies in the investigative process. Research has shown that investigations into hate crimes may be less likely to result in arrests or prosecutions compared to other types of offences, indicating a disparity in the criminal justice system's response (Levin &amp; McDevitt, 2013). Additionally, there are concerns about the training and awareness of law enforcement officers regarding hate crimes and bullying. Studies have found that many officers lack sufficient training on identifying and addressing these offences, leading to misunderstandings or mishandling of cases (Scheepers, 2020). Moreover, the prioritisation of resources and allocation of personnel within police departments may not adequately address the complexities of hate crimes and bullying, further exacerbating the challenges in responding effectively (Perry &amp; Alvi, 2001). In light of these issues, there is a pressing need for comprehensive reforms within law enforcement agencies to improve their capacity to address hate crimes and bullying, including enhanced training, increased community engagement,communication,stronger partnerships with advocacy groups and support services.</w:t>
      </w:r>
    </w:p>
    <w:p w:rsidR="00000000" w:rsidDel="00000000" w:rsidP="00000000" w:rsidRDefault="00000000" w:rsidRPr="00000000" w14:paraId="0000001A">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Therefore to conclude,the failings of the police inadequately addressing the harassment endured by Pilkington and her family can be seen as contributing to a combination of systematic shortcomings and individual failures within the criminal justice system. Despite Fiona's many reports of harassment and anti-social behaviour, the police’s failure to respond fell short and made them unable to provide the necessary protection and intervention that the family needed. The large amount of failure was highlighted by deficiencies in the recording of the incidents and the investigation as a whole, as well as a lack of awareness and understanding of the severity of the situation. Additionally, throughout this matter, there were concerns regarding the prioritisation of different police resources and the lack of coordination in police efforts between the different agencies that should have been  involved in supporting vulnerable individuals. The tragic outcome of Fiona Pilkington's case serves as a stark reminder of the consequences of institutional failures and the need for comprehensive reforms within the police and broader criminal justice system. Moving forward, it is imperative that lessons are learned from this tragedy, and measures are implemented to improve the response to cases of harassment, bullying, and hate crimes. This includes enhancing training for all who work within the criminal justice system, being able to strengthen partnerships within community organisations, and implementing more efficient and reliable protocols when dealing with cases involving vulnerable individuals. Only through concerted efforts to address </w:t>
      </w:r>
      <w:r w:rsidDel="00000000" w:rsidR="00000000" w:rsidRPr="00000000">
        <w:rPr>
          <w:rFonts w:ascii="Arial" w:cs="Arial" w:eastAsia="Arial" w:hAnsi="Arial"/>
          <w:color w:val="0d0d0d"/>
          <w:sz w:val="24"/>
          <w:szCs w:val="24"/>
          <w:highlight w:val="white"/>
          <w:rtl w:val="0"/>
        </w:rPr>
        <w:t xml:space="preserve">systematic</w:t>
      </w:r>
      <w:r w:rsidDel="00000000" w:rsidR="00000000" w:rsidRPr="00000000">
        <w:rPr>
          <w:rFonts w:ascii="Arial" w:cs="Arial" w:eastAsia="Arial" w:hAnsi="Arial"/>
          <w:color w:val="0d0d0d"/>
          <w:sz w:val="24"/>
          <w:szCs w:val="24"/>
          <w:highlight w:val="white"/>
          <w:rtl w:val="0"/>
        </w:rPr>
        <w:t xml:space="preserve"> issues and prioritise the safety and well-being of all members of society, so that similar failures can be prevented in the future.</w:t>
      </w:r>
    </w:p>
    <w:p w:rsidR="00000000" w:rsidDel="00000000" w:rsidP="00000000" w:rsidRDefault="00000000" w:rsidRPr="00000000" w14:paraId="0000001B">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Arial" w:cs="Arial" w:eastAsia="Arial" w:hAnsi="Arial"/>
          <w:color w:val="0d0d0d"/>
          <w:sz w:val="24"/>
          <w:szCs w:val="24"/>
          <w:highlight w:val="white"/>
        </w:rPr>
      </w:pPr>
      <w:r w:rsidDel="00000000" w:rsidR="00000000" w:rsidRPr="00000000">
        <w:rPr>
          <w:rtl w:val="0"/>
        </w:rPr>
      </w:r>
    </w:p>
    <w:p w:rsidR="00000000" w:rsidDel="00000000" w:rsidP="00000000" w:rsidRDefault="00000000" w:rsidRPr="00000000" w14:paraId="0000001C">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References:</w:t>
      </w:r>
    </w:p>
    <w:p w:rsidR="00000000" w:rsidDel="00000000" w:rsidP="00000000" w:rsidRDefault="00000000" w:rsidRPr="00000000" w14:paraId="0000001D">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Aubrey-Johnson,K and Kelleher,L.,2009."The Pilkington Inquiry Report." Leicestershire County Council.</w:t>
      </w:r>
    </w:p>
    <w:p w:rsidR="00000000" w:rsidDel="00000000" w:rsidP="00000000" w:rsidRDefault="00000000" w:rsidRPr="00000000" w14:paraId="0000001E">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Bland,N and Road,T.,2010.Policing Anti-social behaviour.Policing &amp; reducing crime.Available at:</w:t>
      </w:r>
      <w:hyperlink r:id="rId8">
        <w:r w:rsidDel="00000000" w:rsidR="00000000" w:rsidRPr="00000000">
          <w:rPr>
            <w:rFonts w:ascii="Arial" w:cs="Arial" w:eastAsia="Arial" w:hAnsi="Arial"/>
            <w:color w:val="1155cc"/>
            <w:sz w:val="24"/>
            <w:szCs w:val="24"/>
            <w:highlight w:val="white"/>
            <w:u w:val="single"/>
            <w:rtl w:val="0"/>
          </w:rPr>
          <w:t xml:space="preserve">https://live-cpop.ws.asu.edu/sites/default/files/problems/panhandling/PDFs/Bland&amp;Read_2010.pdf</w:t>
        </w:r>
      </w:hyperlink>
      <w:r w:rsidDel="00000000" w:rsidR="00000000" w:rsidRPr="00000000">
        <w:rPr>
          <w:rFonts w:ascii="Arial" w:cs="Arial" w:eastAsia="Arial" w:hAnsi="Arial"/>
          <w:color w:val="0d0d0d"/>
          <w:sz w:val="24"/>
          <w:szCs w:val="24"/>
          <w:highlight w:val="white"/>
          <w:rtl w:val="0"/>
        </w:rPr>
        <w:t xml:space="preserve">(Accessed; 29 April 2024)</w:t>
      </w:r>
    </w:p>
    <w:p w:rsidR="00000000" w:rsidDel="00000000" w:rsidP="00000000" w:rsidRDefault="00000000" w:rsidRPr="00000000" w14:paraId="0000001F">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Chakraboti</w:t>
      </w:r>
      <w:r w:rsidDel="00000000" w:rsidR="00000000" w:rsidRPr="00000000">
        <w:rPr>
          <w:rFonts w:ascii="Arial" w:cs="Arial" w:eastAsia="Arial" w:hAnsi="Arial"/>
          <w:color w:val="0d0d0d"/>
          <w:sz w:val="24"/>
          <w:szCs w:val="24"/>
          <w:highlight w:val="white"/>
          <w:rtl w:val="0"/>
        </w:rPr>
        <w:t xml:space="preserve">,N and Garland,J.,2009."</w:t>
      </w:r>
      <w:r w:rsidDel="00000000" w:rsidR="00000000" w:rsidRPr="00000000">
        <w:rPr>
          <w:rFonts w:ascii="Arial" w:cs="Arial" w:eastAsia="Arial" w:hAnsi="Arial"/>
          <w:i w:val="1"/>
          <w:color w:val="0d0d0d"/>
          <w:sz w:val="24"/>
          <w:szCs w:val="24"/>
          <w:highlight w:val="white"/>
          <w:rtl w:val="0"/>
        </w:rPr>
        <w:t xml:space="preserve">Fiona Pilkington and Francecca Hardwick: A Hate Crime Homicide."</w:t>
      </w:r>
      <w:r w:rsidDel="00000000" w:rsidR="00000000" w:rsidRPr="00000000">
        <w:rPr>
          <w:rFonts w:ascii="Arial" w:cs="Arial" w:eastAsia="Arial" w:hAnsi="Arial"/>
          <w:color w:val="0d0d0d"/>
          <w:sz w:val="24"/>
          <w:szCs w:val="24"/>
          <w:highlight w:val="white"/>
          <w:rtl w:val="0"/>
        </w:rPr>
        <w:t xml:space="preserve"> In "Hate Crime: Impact, Causes and Responses," Pages:109-127. Sage Publications(Accessed:10 April 2024)</w:t>
      </w:r>
    </w:p>
    <w:p w:rsidR="00000000" w:rsidDel="00000000" w:rsidP="00000000" w:rsidRDefault="00000000" w:rsidRPr="00000000" w14:paraId="00000020">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Rule="auto"/>
        <w:ind w:left="720" w:hanging="360"/>
        <w:rPr>
          <w:rFonts w:ascii="Arial" w:cs="Arial" w:eastAsia="Arial" w:hAnsi="Arial"/>
          <w:highlight w:val="white"/>
        </w:rPr>
      </w:pPr>
      <w:r w:rsidDel="00000000" w:rsidR="00000000" w:rsidRPr="00000000">
        <w:rPr>
          <w:rtl w:val="0"/>
        </w:rPr>
      </w:r>
    </w:p>
    <w:p w:rsidR="00000000" w:rsidDel="00000000" w:rsidP="00000000" w:rsidRDefault="00000000" w:rsidRPr="00000000" w14:paraId="00000021">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College of policing (2024) </w:t>
      </w:r>
      <w:r w:rsidDel="00000000" w:rsidR="00000000" w:rsidRPr="00000000">
        <w:rPr>
          <w:rFonts w:ascii="Arial" w:cs="Arial" w:eastAsia="Arial" w:hAnsi="Arial"/>
          <w:i w:val="1"/>
          <w:color w:val="0d0d0d"/>
          <w:sz w:val="24"/>
          <w:szCs w:val="24"/>
          <w:highlight w:val="white"/>
          <w:rtl w:val="0"/>
        </w:rPr>
        <w:t xml:space="preserve">Introduction and types of critical incidents</w:t>
      </w:r>
      <w:r w:rsidDel="00000000" w:rsidR="00000000" w:rsidRPr="00000000">
        <w:rPr>
          <w:rFonts w:ascii="Arial" w:cs="Arial" w:eastAsia="Arial" w:hAnsi="Arial"/>
          <w:color w:val="0d0d0d"/>
          <w:sz w:val="24"/>
          <w:szCs w:val="24"/>
          <w:highlight w:val="white"/>
          <w:rtl w:val="0"/>
        </w:rPr>
        <w:t xml:space="preserve">, </w:t>
      </w:r>
      <w:r w:rsidDel="00000000" w:rsidR="00000000" w:rsidRPr="00000000">
        <w:rPr>
          <w:rFonts w:ascii="Arial" w:cs="Arial" w:eastAsia="Arial" w:hAnsi="Arial"/>
          <w:i w:val="1"/>
          <w:color w:val="0d0d0d"/>
          <w:sz w:val="24"/>
          <w:szCs w:val="24"/>
          <w:highlight w:val="white"/>
          <w:rtl w:val="0"/>
        </w:rPr>
        <w:t xml:space="preserve">College of Policing</w:t>
      </w:r>
      <w:r w:rsidDel="00000000" w:rsidR="00000000" w:rsidRPr="00000000">
        <w:rPr>
          <w:rFonts w:ascii="Arial" w:cs="Arial" w:eastAsia="Arial" w:hAnsi="Arial"/>
          <w:color w:val="0d0d0d"/>
          <w:sz w:val="24"/>
          <w:szCs w:val="24"/>
          <w:highlight w:val="white"/>
          <w:rtl w:val="0"/>
        </w:rPr>
        <w:t xml:space="preserve">. Available at: https://www.college.police.uk/app/critical-incident-management/introduction-and-types-critical-incidents (Accessed: 14 April 2024). </w:t>
      </w:r>
    </w:p>
    <w:p w:rsidR="00000000" w:rsidDel="00000000" w:rsidP="00000000" w:rsidRDefault="00000000" w:rsidRPr="00000000" w14:paraId="00000022">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Rule="auto"/>
        <w:ind w:left="0" w:firstLine="0"/>
        <w:rPr>
          <w:rFonts w:ascii="Arial" w:cs="Arial" w:eastAsia="Arial" w:hAnsi="Arial"/>
          <w:color w:val="000000"/>
          <w:sz w:val="24"/>
          <w:szCs w:val="24"/>
        </w:rPr>
      </w:pPr>
      <w:r w:rsidDel="00000000" w:rsidR="00000000" w:rsidRPr="00000000">
        <w:rPr>
          <w:rFonts w:ascii="Arial" w:cs="Arial" w:eastAsia="Arial" w:hAnsi="Arial"/>
          <w:color w:val="0d0d0d"/>
          <w:sz w:val="24"/>
          <w:szCs w:val="24"/>
          <w:highlight w:val="white"/>
          <w:rtl w:val="0"/>
        </w:rPr>
        <w:t xml:space="preserve">Dryden , F. (2011) </w:t>
      </w:r>
      <w:r w:rsidDel="00000000" w:rsidR="00000000" w:rsidRPr="00000000">
        <w:rPr>
          <w:rFonts w:ascii="Arial" w:cs="Arial" w:eastAsia="Arial" w:hAnsi="Arial"/>
          <w:i w:val="1"/>
          <w:color w:val="0d0d0d"/>
          <w:sz w:val="24"/>
          <w:szCs w:val="24"/>
          <w:highlight w:val="white"/>
          <w:rtl w:val="0"/>
        </w:rPr>
        <w:t xml:space="preserve">Fiona Pilkington 10 years on - how the tragedy unfolded</w:t>
      </w:r>
      <w:r w:rsidDel="00000000" w:rsidR="00000000" w:rsidRPr="00000000">
        <w:rPr>
          <w:rFonts w:ascii="Arial" w:cs="Arial" w:eastAsia="Arial" w:hAnsi="Arial"/>
          <w:color w:val="0d0d0d"/>
          <w:sz w:val="24"/>
          <w:szCs w:val="24"/>
          <w:highlight w:val="white"/>
          <w:rtl w:val="0"/>
        </w:rPr>
        <w:t xml:space="preserve">, </w:t>
      </w:r>
      <w:r w:rsidDel="00000000" w:rsidR="00000000" w:rsidRPr="00000000">
        <w:rPr>
          <w:rFonts w:ascii="Arial" w:cs="Arial" w:eastAsia="Arial" w:hAnsi="Arial"/>
          <w:i w:val="1"/>
          <w:color w:val="0d0d0d"/>
          <w:sz w:val="24"/>
          <w:szCs w:val="24"/>
          <w:highlight w:val="white"/>
          <w:rtl w:val="0"/>
        </w:rPr>
        <w:t xml:space="preserve">Leicestershire live</w:t>
      </w:r>
      <w:r w:rsidDel="00000000" w:rsidR="00000000" w:rsidRPr="00000000">
        <w:rPr>
          <w:rFonts w:ascii="Arial" w:cs="Arial" w:eastAsia="Arial" w:hAnsi="Arial"/>
          <w:color w:val="0d0d0d"/>
          <w:sz w:val="24"/>
          <w:szCs w:val="24"/>
          <w:highlight w:val="white"/>
          <w:rtl w:val="0"/>
        </w:rPr>
        <w:t xml:space="preserve">. Available at: https://www.leicestermercury.co.uk/news/local-news/fiona-pilkington-10-years-how-669746 (Accessed: 20 April 2024). </w:t>
      </w: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ind w:left="0" w:firstLine="0"/>
        <w:rPr>
          <w:rFonts w:ascii="Arial" w:cs="Arial" w:eastAsia="Arial" w:hAnsi="Arial"/>
          <w:color w:val="000000"/>
          <w:sz w:val="24"/>
          <w:szCs w:val="24"/>
        </w:rPr>
      </w:pPr>
      <w:r w:rsidDel="00000000" w:rsidR="00000000" w:rsidRPr="00000000">
        <w:rPr>
          <w:rFonts w:ascii="Arial" w:cs="Arial" w:eastAsia="Arial" w:hAnsi="Arial"/>
          <w:color w:val="0d0d0d"/>
          <w:sz w:val="24"/>
          <w:szCs w:val="24"/>
          <w:highlight w:val="white"/>
          <w:rtl w:val="0"/>
        </w:rPr>
        <w:t xml:space="preserve">Gibson,M.2015."The Pilkington Tragedy: Abuse, Vulnerability, and Social Care." Journal of Social Work. 2013. </w:t>
      </w:r>
      <w:r w:rsidDel="00000000" w:rsidR="00000000" w:rsidRPr="00000000">
        <w:rPr>
          <w:rFonts w:ascii="Arial" w:cs="Arial" w:eastAsia="Arial" w:hAnsi="Arial"/>
          <w:color w:val="0d0d0d"/>
          <w:sz w:val="24"/>
          <w:szCs w:val="24"/>
          <w:highlight w:val="white"/>
          <w:rtl w:val="0"/>
        </w:rPr>
        <w:t xml:space="preserve">https://journals.sagepub.com/doi/abs/10.1177/1468017313506284</w:t>
      </w: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ind w:left="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5">
      <w:pPr>
        <w:spacing w:after="240" w:before="240" w:lineRule="auto"/>
        <w:ind w:left="0" w:firstLine="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Hampshire safeguarding of adults board (2011) </w:t>
      </w:r>
      <w:r w:rsidDel="00000000" w:rsidR="00000000" w:rsidRPr="00000000">
        <w:rPr>
          <w:rFonts w:ascii="Arial" w:cs="Arial" w:eastAsia="Arial" w:hAnsi="Arial"/>
          <w:i w:val="1"/>
          <w:color w:val="000000"/>
          <w:sz w:val="24"/>
          <w:szCs w:val="24"/>
          <w:rtl w:val="0"/>
        </w:rPr>
        <w:t xml:space="preserve">Fiona Pilkington (Leicestershire)</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color w:val="000000"/>
          <w:sz w:val="24"/>
          <w:szCs w:val="24"/>
          <w:rtl w:val="0"/>
        </w:rPr>
        <w:t xml:space="preserve">Hampshire safeguarding adults board</w:t>
      </w:r>
      <w:r w:rsidDel="00000000" w:rsidR="00000000" w:rsidRPr="00000000">
        <w:rPr>
          <w:rFonts w:ascii="Arial" w:cs="Arial" w:eastAsia="Arial" w:hAnsi="Arial"/>
          <w:color w:val="000000"/>
          <w:sz w:val="24"/>
          <w:szCs w:val="24"/>
          <w:rtl w:val="0"/>
        </w:rPr>
        <w:t xml:space="preserve">. Available at: https://www.hampshiresab.org.uk/learning-from-experience-database/serious-case-reviews/fiona-pilkington-leicestershire/ (Accessed: 29 March 2024). </w:t>
      </w:r>
    </w:p>
    <w:p w:rsidR="00000000" w:rsidDel="00000000" w:rsidP="00000000" w:rsidRDefault="00000000" w:rsidRPr="00000000" w14:paraId="00000026">
      <w:pPr>
        <w:spacing w:after="240" w:before="240" w:lineRule="auto"/>
        <w:ind w:left="0" w:firstLine="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House of commons,(2022) </w:t>
      </w:r>
      <w:r w:rsidDel="00000000" w:rsidR="00000000" w:rsidRPr="00000000">
        <w:rPr>
          <w:rFonts w:ascii="Arial" w:cs="Arial" w:eastAsia="Arial" w:hAnsi="Arial"/>
          <w:i w:val="1"/>
          <w:color w:val="000000"/>
          <w:sz w:val="24"/>
          <w:szCs w:val="24"/>
          <w:rtl w:val="0"/>
        </w:rPr>
        <w:t xml:space="preserve">A short guide to the criminal justice system - house of commons library</w:t>
      </w:r>
      <w:r w:rsidDel="00000000" w:rsidR="00000000" w:rsidRPr="00000000">
        <w:rPr>
          <w:rFonts w:ascii="Arial" w:cs="Arial" w:eastAsia="Arial" w:hAnsi="Arial"/>
          <w:color w:val="000000"/>
          <w:sz w:val="24"/>
          <w:szCs w:val="24"/>
          <w:rtl w:val="0"/>
        </w:rPr>
        <w:t xml:space="preserve">. Available at: https://commonslibrary.parliament.uk/research-briefings/cbp-9331/ (Accessed: 19 April 2024). </w:t>
      </w:r>
    </w:p>
    <w:p w:rsidR="00000000" w:rsidDel="00000000" w:rsidP="00000000" w:rsidRDefault="00000000" w:rsidRPr="00000000" w14:paraId="00000027">
      <w:pPr>
        <w:spacing w:after="240" w:before="240" w:lineRule="auto"/>
        <w:ind w:left="0" w:firstLine="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Hussain , D. (2011) </w:t>
      </w:r>
      <w:r w:rsidDel="00000000" w:rsidR="00000000" w:rsidRPr="00000000">
        <w:rPr>
          <w:rFonts w:ascii="Arial" w:cs="Arial" w:eastAsia="Arial" w:hAnsi="Arial"/>
          <w:i w:val="1"/>
          <w:color w:val="000000"/>
          <w:sz w:val="24"/>
          <w:szCs w:val="24"/>
          <w:rtl w:val="0"/>
        </w:rPr>
        <w:t xml:space="preserve">IPCC investigation finds alarming failings in Pilkington case</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color w:val="000000"/>
          <w:sz w:val="24"/>
          <w:szCs w:val="24"/>
          <w:rtl w:val="0"/>
        </w:rPr>
        <w:t xml:space="preserve">Police Professional</w:t>
      </w:r>
      <w:r w:rsidDel="00000000" w:rsidR="00000000" w:rsidRPr="00000000">
        <w:rPr>
          <w:rFonts w:ascii="Arial" w:cs="Arial" w:eastAsia="Arial" w:hAnsi="Arial"/>
          <w:color w:val="000000"/>
          <w:sz w:val="24"/>
          <w:szCs w:val="24"/>
          <w:rtl w:val="0"/>
        </w:rPr>
        <w:t xml:space="preserve">. Available at: https://policeprofessional.com/news/ipcc-investigation-finds-%C2%91alarming-failings%C2%92-in-pilkington-case/ (Accessed: 20 April 2024). </w:t>
      </w:r>
    </w:p>
    <w:p w:rsidR="00000000" w:rsidDel="00000000" w:rsidP="00000000" w:rsidRDefault="00000000" w:rsidRPr="00000000" w14:paraId="00000028">
      <w:pPr>
        <w:pBdr>
          <w:top w:color="e3e3e3" w:space="0" w:sz="0" w:val="none"/>
          <w:left w:color="e3e3e3" w:space="0" w:sz="0" w:val="none"/>
          <w:bottom w:color="e3e3e3" w:space="0" w:sz="0" w:val="none"/>
          <w:right w:color="e3e3e3" w:space="0" w:sz="0" w:val="none"/>
          <w:between w:color="e3e3e3" w:space="0" w:sz="0" w:val="none"/>
        </w:pBdr>
        <w:shd w:fill="ffffff" w:val="clear"/>
        <w:spacing w:before="0" w:lineRule="auto"/>
        <w:ind w:left="0" w:firstLine="0"/>
        <w:rPr>
          <w:rFonts w:ascii="Arial" w:cs="Arial" w:eastAsia="Arial" w:hAnsi="Arial"/>
          <w:color w:val="000000"/>
          <w:sz w:val="24"/>
          <w:szCs w:val="24"/>
        </w:rPr>
      </w:pPr>
      <w:r w:rsidDel="00000000" w:rsidR="00000000" w:rsidRPr="00000000">
        <w:rPr>
          <w:rFonts w:ascii="Arial" w:cs="Arial" w:eastAsia="Arial" w:hAnsi="Arial"/>
          <w:color w:val="0d0d0d"/>
          <w:sz w:val="24"/>
          <w:szCs w:val="24"/>
          <w:rtl w:val="0"/>
        </w:rPr>
        <w:t xml:space="preserve">Levin, B. and  McDevitt, J. (2013). Hate crime: Causes, controls, and controversies. Sage Publications.(Accessed: 20 April 2024)</w:t>
      </w: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ind w:left="0" w:firstLine="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Ministry of Justice(2024)Code of practice for victims of crime in England and Wales(Victim’s code).Available at:</w:t>
      </w:r>
      <w:r w:rsidDel="00000000" w:rsidR="00000000" w:rsidRPr="00000000">
        <w:rPr>
          <w:rFonts w:ascii="Arial" w:cs="Arial" w:eastAsia="Arial" w:hAnsi="Arial"/>
          <w:color w:val="000000"/>
          <w:sz w:val="24"/>
          <w:szCs w:val="24"/>
          <w:rtl w:val="0"/>
        </w:rPr>
        <w:t xml:space="preserve">https://www.gov.uk/government/publications/the-code-of-practice-for-victims-of-crime/code-of-practice-for-victims-of-crime-in-england-and-wales-victims-code#introduction</w:t>
      </w:r>
      <w:r w:rsidDel="00000000" w:rsidR="00000000" w:rsidRPr="00000000">
        <w:rPr>
          <w:rFonts w:ascii="Arial" w:cs="Arial" w:eastAsia="Arial" w:hAnsi="Arial"/>
          <w:color w:val="000000"/>
          <w:sz w:val="24"/>
          <w:szCs w:val="24"/>
          <w:rtl w:val="0"/>
        </w:rPr>
        <w:t xml:space="preserve">(Accessed:29 March 2024)</w:t>
      </w:r>
    </w:p>
    <w:p w:rsidR="00000000" w:rsidDel="00000000" w:rsidP="00000000" w:rsidRDefault="00000000" w:rsidRPr="00000000" w14:paraId="0000002A">
      <w:pPr>
        <w:spacing w:after="240" w:before="240" w:lineRule="auto"/>
        <w:ind w:left="0" w:firstLine="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NHS (2019) </w:t>
      </w:r>
      <w:r w:rsidDel="00000000" w:rsidR="00000000" w:rsidRPr="00000000">
        <w:rPr>
          <w:rFonts w:ascii="Arial" w:cs="Arial" w:eastAsia="Arial" w:hAnsi="Arial"/>
          <w:i w:val="1"/>
          <w:color w:val="000000"/>
          <w:sz w:val="24"/>
          <w:szCs w:val="24"/>
          <w:rtl w:val="0"/>
        </w:rPr>
        <w:t xml:space="preserve">NHS choices</w:t>
      </w:r>
      <w:r w:rsidDel="00000000" w:rsidR="00000000" w:rsidRPr="00000000">
        <w:rPr>
          <w:rFonts w:ascii="Arial" w:cs="Arial" w:eastAsia="Arial" w:hAnsi="Arial"/>
          <w:color w:val="000000"/>
          <w:sz w:val="24"/>
          <w:szCs w:val="24"/>
          <w:rtl w:val="0"/>
        </w:rPr>
        <w:t xml:space="preserve">. Available at: https://www.england.nhs.uk/long-read/safeguarding/ (Accessed: 20 April 2024). </w:t>
      </w:r>
    </w:p>
    <w:p w:rsidR="00000000" w:rsidDel="00000000" w:rsidP="00000000" w:rsidRDefault="00000000" w:rsidRPr="00000000" w14:paraId="0000002B">
      <w:pPr>
        <w:pBdr>
          <w:top w:color="e3e3e3" w:space="0" w:sz="0" w:val="none"/>
          <w:left w:color="e3e3e3" w:space="0" w:sz="0" w:val="none"/>
          <w:bottom w:color="e3e3e3" w:space="0" w:sz="0" w:val="none"/>
          <w:right w:color="e3e3e3" w:space="0" w:sz="0" w:val="none"/>
          <w:between w:color="e3e3e3" w:space="0" w:sz="0" w:val="none"/>
        </w:pBdr>
        <w:shd w:fill="ffffff" w:val="clear"/>
        <w:spacing w:before="0" w:lineRule="auto"/>
        <w:ind w:left="0" w:firstLine="0"/>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Scheepers, D. (2020). Police officer's attitudes towards hate crimes: An international comparison. European Journal of Criminology, 17(3), 289-310.(Accessed:21 April 2024)</w:t>
      </w:r>
    </w:p>
    <w:p w:rsidR="00000000" w:rsidDel="00000000" w:rsidP="00000000" w:rsidRDefault="00000000" w:rsidRPr="00000000" w14:paraId="0000002C">
      <w:pPr>
        <w:pBdr>
          <w:top w:color="e3e3e3" w:space="0" w:sz="0" w:val="none"/>
          <w:left w:color="e3e3e3" w:space="0" w:sz="0" w:val="none"/>
          <w:bottom w:color="e3e3e3" w:space="0" w:sz="0" w:val="none"/>
          <w:right w:color="e3e3e3" w:space="0" w:sz="0" w:val="none"/>
          <w:between w:color="e3e3e3" w:space="0" w:sz="0" w:val="none"/>
        </w:pBdr>
        <w:shd w:fill="ffffff" w:val="clear"/>
        <w:spacing w:before="0" w:lineRule="auto"/>
        <w:ind w:left="0" w:firstLine="0"/>
        <w:rPr>
          <w:rFonts w:ascii="Arial" w:cs="Arial" w:eastAsia="Arial" w:hAnsi="Arial"/>
          <w:color w:val="0d0d0d"/>
          <w:sz w:val="24"/>
          <w:szCs w:val="24"/>
        </w:rPr>
      </w:pPr>
      <w:r w:rsidDel="00000000" w:rsidR="00000000" w:rsidRPr="00000000">
        <w:rPr>
          <w:rtl w:val="0"/>
        </w:rPr>
      </w:r>
    </w:p>
    <w:p w:rsidR="00000000" w:rsidDel="00000000" w:rsidP="00000000" w:rsidRDefault="00000000" w:rsidRPr="00000000" w14:paraId="0000002D">
      <w:pPr>
        <w:pBdr>
          <w:top w:color="e3e3e3" w:space="0" w:sz="0" w:val="none"/>
          <w:left w:color="e3e3e3" w:space="0" w:sz="0" w:val="none"/>
          <w:bottom w:color="e3e3e3" w:space="0" w:sz="0" w:val="none"/>
          <w:right w:color="e3e3e3" w:space="0" w:sz="0" w:val="none"/>
          <w:between w:color="e3e3e3" w:space="0" w:sz="0" w:val="none"/>
        </w:pBdr>
        <w:shd w:fill="ffffff" w:val="clear"/>
        <w:spacing w:before="0" w:lineRule="auto"/>
        <w:ind w:left="0" w:firstLine="0"/>
        <w:rPr>
          <w:rFonts w:ascii="Arial" w:cs="Arial" w:eastAsia="Arial" w:hAnsi="Arial"/>
          <w:color w:val="000000"/>
          <w:sz w:val="24"/>
          <w:szCs w:val="24"/>
          <w:highlight w:val="white"/>
        </w:rPr>
      </w:pPr>
      <w:r w:rsidDel="00000000" w:rsidR="00000000" w:rsidRPr="00000000">
        <w:rPr>
          <w:rFonts w:ascii="Arial" w:cs="Arial" w:eastAsia="Arial" w:hAnsi="Arial"/>
          <w:color w:val="0d0d0d"/>
          <w:sz w:val="24"/>
          <w:szCs w:val="24"/>
          <w:rtl w:val="0"/>
        </w:rPr>
        <w:t xml:space="preserve">Shakespeare,T.(2012).Blaming the victim:disability hate crime.The Lancet.Volume 380,Issue 9845,Page 878.Availabl</w:t>
      </w:r>
      <w:r w:rsidDel="00000000" w:rsidR="00000000" w:rsidRPr="00000000">
        <w:rPr>
          <w:rFonts w:ascii="Arial" w:cs="Arial" w:eastAsia="Arial" w:hAnsi="Arial"/>
          <w:color w:val="000000"/>
          <w:sz w:val="24"/>
          <w:szCs w:val="24"/>
          <w:highlight w:val="white"/>
          <w:rtl w:val="0"/>
        </w:rPr>
        <w:t xml:space="preserve">e at:</w:t>
      </w:r>
      <w:hyperlink r:id="rId9">
        <w:r w:rsidDel="00000000" w:rsidR="00000000" w:rsidRPr="00000000">
          <w:rPr>
            <w:rFonts w:ascii="Arial" w:cs="Arial" w:eastAsia="Arial" w:hAnsi="Arial"/>
            <w:color w:val="000000"/>
            <w:sz w:val="24"/>
            <w:szCs w:val="24"/>
            <w:highlight w:val="white"/>
            <w:rtl w:val="0"/>
          </w:rPr>
          <w:t xml:space="preserve">https://doi.org/10.1016/S0140-6736(12)61492-5</w:t>
        </w:r>
      </w:hyperlink>
      <w:r w:rsidDel="00000000" w:rsidR="00000000" w:rsidRPr="00000000">
        <w:rPr>
          <w:rFonts w:ascii="Arial" w:cs="Arial" w:eastAsia="Arial" w:hAnsi="Arial"/>
          <w:color w:val="000000"/>
          <w:sz w:val="24"/>
          <w:szCs w:val="24"/>
          <w:highlight w:val="white"/>
          <w:rtl w:val="0"/>
        </w:rPr>
        <w:t xml:space="preserve">(Accessed: 29 April 2024)</w:t>
      </w:r>
    </w:p>
    <w:p w:rsidR="00000000" w:rsidDel="00000000" w:rsidP="00000000" w:rsidRDefault="00000000" w:rsidRPr="00000000" w14:paraId="0000002E">
      <w:pPr>
        <w:spacing w:after="240" w:before="240" w:lineRule="auto"/>
        <w:ind w:left="0" w:firstLine="0"/>
        <w:rPr>
          <w:rFonts w:ascii="Arial" w:cs="Arial" w:eastAsia="Arial" w:hAnsi="Arial"/>
          <w:color w:val="0d0d0d"/>
          <w:sz w:val="24"/>
          <w:szCs w:val="24"/>
        </w:rPr>
      </w:pPr>
      <w:r w:rsidDel="00000000" w:rsidR="00000000" w:rsidRPr="00000000">
        <w:rPr>
          <w:rFonts w:ascii="Arial" w:cs="Arial" w:eastAsia="Arial" w:hAnsi="Arial"/>
          <w:color w:val="000000"/>
          <w:sz w:val="24"/>
          <w:szCs w:val="24"/>
          <w:rtl w:val="0"/>
        </w:rPr>
        <w:t xml:space="preserve">Office for Health improvement and disparities. (2021) </w:t>
      </w:r>
      <w:r w:rsidDel="00000000" w:rsidR="00000000" w:rsidRPr="00000000">
        <w:rPr>
          <w:rFonts w:ascii="Arial" w:cs="Arial" w:eastAsia="Arial" w:hAnsi="Arial"/>
          <w:i w:val="1"/>
          <w:color w:val="000000"/>
          <w:sz w:val="24"/>
          <w:szCs w:val="24"/>
          <w:rtl w:val="0"/>
        </w:rPr>
        <w:t xml:space="preserve">Vulnerabilities: Applying all our health</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color w:val="000000"/>
          <w:sz w:val="24"/>
          <w:szCs w:val="24"/>
          <w:rtl w:val="0"/>
        </w:rPr>
        <w:t xml:space="preserve">GOV.UK</w:t>
      </w:r>
      <w:r w:rsidDel="00000000" w:rsidR="00000000" w:rsidRPr="00000000">
        <w:rPr>
          <w:rFonts w:ascii="Arial" w:cs="Arial" w:eastAsia="Arial" w:hAnsi="Arial"/>
          <w:color w:val="000000"/>
          <w:sz w:val="24"/>
          <w:szCs w:val="24"/>
          <w:rtl w:val="0"/>
        </w:rPr>
        <w:t xml:space="preserve">. Available at: https://www.gov.uk/government/publications/vulnerabilities-applying-all-our-health/vulnerabilities-applying-all-our-health (Accessed: 20 April 2024). </w:t>
      </w:r>
      <w:r w:rsidDel="00000000" w:rsidR="00000000" w:rsidRPr="00000000">
        <w:rPr>
          <w:rtl w:val="0"/>
        </w:rPr>
      </w:r>
    </w:p>
    <w:p w:rsidR="00000000" w:rsidDel="00000000" w:rsidP="00000000" w:rsidRDefault="00000000" w:rsidRPr="00000000" w14:paraId="0000002F">
      <w:pPr>
        <w:pBdr>
          <w:top w:color="e3e3e3" w:space="0" w:sz="0" w:val="none"/>
          <w:left w:color="e3e3e3" w:space="0" w:sz="0" w:val="none"/>
          <w:bottom w:color="e3e3e3" w:space="0" w:sz="0" w:val="none"/>
          <w:right w:color="e3e3e3" w:space="0" w:sz="0" w:val="none"/>
          <w:between w:color="e3e3e3" w:space="0" w:sz="0" w:val="none"/>
        </w:pBdr>
        <w:shd w:fill="ffffff" w:val="clear"/>
        <w:spacing w:before="0" w:lineRule="auto"/>
        <w:ind w:left="0" w:firstLine="0"/>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Perry, B. and  Alvi, S. (2001). Do community policing, problem-oriented policing, and other forms of police innovation affect police officers' attitudes toward the public? American Journal of Police, 20(1), 21-44.(Accessed:21 April 2024)</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ind w:left="0" w:firstLine="0"/>
        <w:rPr>
          <w:rFonts w:ascii="Arial" w:cs="Arial" w:eastAsia="Arial" w:hAnsi="Arial"/>
          <w:color w:val="000000"/>
          <w:sz w:val="24"/>
          <w:szCs w:val="24"/>
        </w:rPr>
      </w:pPr>
      <w:r w:rsidDel="00000000" w:rsidR="00000000" w:rsidRPr="00000000">
        <w:rPr>
          <w:rtl w:val="0"/>
        </w:rPr>
      </w:r>
    </w:p>
    <w:sectPr>
      <w:headerReference r:id="rId10" w:type="default"/>
      <w:headerReference r:id="rId11" w:type="first"/>
      <w:footerReference r:id="rId12" w:type="first"/>
      <w:pgSz w:h="15840" w:w="12240" w:orient="portrait"/>
      <w:pgMar w:bottom="1080" w:top="108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T Sans Narrow">
    <w:embedRegular w:fontKey="{00000000-0000-0000-0000-000000000000}" r:id="rId5" w:subsetted="0"/>
    <w:embedBold w:fontKey="{00000000-0000-0000-0000-000000000000}" r:id="rId6" w:subsetted="0"/>
  </w:font>
  <w:font w:name="Open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pStyle w:val="Subtitle"/>
      <w:pageBreakBefore w:val="0"/>
      <w:pBdr>
        <w:top w:space="0" w:sz="0" w:val="nil"/>
        <w:left w:space="0" w:sz="0" w:val="nil"/>
        <w:bottom w:space="0" w:sz="0" w:val="nil"/>
        <w:right w:space="0" w:sz="0" w:val="nil"/>
        <w:between w:space="0" w:sz="0" w:val="nil"/>
      </w:pBdr>
      <w:shd w:fill="auto" w:val="clear"/>
      <w:spacing w:before="600" w:lineRule="auto"/>
      <w:ind w:right="0"/>
      <w:jc w:val="right"/>
      <w:rPr/>
    </w:pPr>
    <w:bookmarkStart w:colFirst="0" w:colLast="0" w:name="_9nvcibv3gama" w:id="3"/>
    <w:bookmarkEnd w:id="3"/>
    <w:r w:rsidDel="00000000" w:rsidR="00000000" w:rsidRPr="00000000">
      <w:rPr>
        <w:color w:val="000000"/>
        <w:rtl w:val="0"/>
      </w:rPr>
      <w:t xml:space="preserve">  </w:t>
    </w: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drawing>
        <wp:inline distB="114300" distT="114300" distL="114300" distR="114300">
          <wp:extent cx="5916349" cy="104775"/>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32286" l="0" r="0" t="0"/>
                  <a:stretch>
                    <a:fillRect/>
                  </a:stretch>
                </pic:blipFill>
                <pic:spPr>
                  <a:xfrm>
                    <a:off x="0" y="0"/>
                    <a:ext cx="5916349" cy="10477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before="60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Roboto" w:cs="Roboto" w:eastAsia="Roboto" w:hAnsi="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color w:val="695d46"/>
        <w:sz w:val="22"/>
        <w:szCs w:val="22"/>
        <w:lang w:val="en_GB"/>
      </w:rPr>
    </w:rPrDefault>
    <w:pPrDefault>
      <w:pPr>
        <w:spacing w:before="12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0"/>
      <w:spacing w:before="480" w:line="312" w:lineRule="auto"/>
    </w:pPr>
    <w:rPr>
      <w:rFonts w:ascii="PT Sans Narrow" w:cs="PT Sans Narrow" w:eastAsia="PT Sans Narrow" w:hAnsi="PT Sans Narrow"/>
      <w:b w:val="1"/>
      <w:color w:val="ff5e0e"/>
      <w:sz w:val="36"/>
      <w:szCs w:val="36"/>
    </w:rPr>
  </w:style>
  <w:style w:type="paragraph" w:styleId="Heading2">
    <w:name w:val="heading 2"/>
    <w:basedOn w:val="Normal"/>
    <w:next w:val="Normal"/>
    <w:pPr>
      <w:pageBreakBefore w:val="0"/>
      <w:spacing w:before="320" w:line="240" w:lineRule="auto"/>
    </w:pPr>
    <w:rPr>
      <w:rFonts w:ascii="PT Sans Narrow" w:cs="PT Sans Narrow" w:eastAsia="PT Sans Narrow" w:hAnsi="PT Sans Narrow"/>
      <w:color w:val="008575"/>
      <w:sz w:val="32"/>
      <w:szCs w:val="32"/>
    </w:rPr>
  </w:style>
  <w:style w:type="paragraph" w:styleId="Heading3">
    <w:name w:val="heading 3"/>
    <w:basedOn w:val="Normal"/>
    <w:next w:val="Normal"/>
    <w:pPr>
      <w:pageBreakBefore w:val="0"/>
      <w:spacing w:before="200" w:line="240" w:lineRule="auto"/>
    </w:pPr>
    <w:rPr>
      <w:rFonts w:ascii="PT Sans Narrow" w:cs="PT Sans Narrow" w:eastAsia="PT Sans Narrow" w:hAnsi="PT Sans Narrow"/>
      <w:sz w:val="28"/>
      <w:szCs w:val="28"/>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320" w:line="240" w:lineRule="auto"/>
    </w:pPr>
    <w:rPr>
      <w:rFonts w:ascii="PT Sans Narrow" w:cs="PT Sans Narrow" w:eastAsia="PT Sans Narrow" w:hAnsi="PT Sans Narrow"/>
      <w:b w:val="1"/>
      <w:sz w:val="84"/>
      <w:szCs w:val="84"/>
    </w:rPr>
  </w:style>
  <w:style w:type="paragraph" w:styleId="Subtitle">
    <w:name w:val="Subtitle"/>
    <w:basedOn w:val="Normal"/>
    <w:next w:val="Normal"/>
    <w:pPr>
      <w:pageBreakBefore w:val="0"/>
      <w:spacing w:before="200" w:line="240" w:lineRule="auto"/>
    </w:pPr>
    <w:rPr>
      <w:rFonts w:ascii="PT Sans Narrow" w:cs="PT Sans Narrow" w:eastAsia="PT Sans Narrow" w:hAnsi="PT Sans Narrow"/>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yperlink" Target="https://doi.org/10.1016/S0140-6736(12)61492-5"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jpg"/><Relationship Id="rId8" Type="http://schemas.openxmlformats.org/officeDocument/2006/relationships/hyperlink" Target="https://live-cpop.ws.asu.edu/sites/default/files/problems/panhandling/PDFs/Bland&amp;Read_2010.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OpenSans-boldItalic.ttf"/><Relationship Id="rId9" Type="http://schemas.openxmlformats.org/officeDocument/2006/relationships/font" Target="fonts/OpenSans-italic.ttf"/><Relationship Id="rId5" Type="http://schemas.openxmlformats.org/officeDocument/2006/relationships/font" Target="fonts/PTSansNarrow-regular.ttf"/><Relationship Id="rId6" Type="http://schemas.openxmlformats.org/officeDocument/2006/relationships/font" Target="fonts/PTSansNarrow-bold.ttf"/><Relationship Id="rId7" Type="http://schemas.openxmlformats.org/officeDocument/2006/relationships/font" Target="fonts/OpenSans-regular.ttf"/><Relationship Id="rId8" Type="http://schemas.openxmlformats.org/officeDocument/2006/relationships/font" Target="fonts/OpenSan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