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3C9004DF" w14:textId="77777777" w:rsidR="00B4613C" w:rsidRPr="009B0272" w:rsidRDefault="00B4613C" w:rsidP="00B4613C">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Learner’s name: Sarah Freckleton</w:t>
            </w:r>
          </w:p>
          <w:p w14:paraId="7C17B6E6" w14:textId="77777777" w:rsidR="00B4613C" w:rsidRPr="009B0272" w:rsidRDefault="00B4613C" w:rsidP="00B4613C">
            <w:pPr>
              <w:overflowPunct/>
              <w:autoSpaceDE/>
              <w:autoSpaceDN/>
              <w:adjustRightInd/>
              <w:ind w:right="-957"/>
              <w:textAlignment w:val="auto"/>
              <w:rPr>
                <w:rFonts w:ascii="Times New Roman" w:hAnsi="Times New Roman" w:cs="Times New Roman"/>
                <w:b/>
                <w:color w:val="auto"/>
                <w:sz w:val="44"/>
                <w:szCs w:val="44"/>
              </w:rPr>
            </w:pPr>
          </w:p>
          <w:p w14:paraId="34D0983B" w14:textId="77777777" w:rsidR="00B4613C" w:rsidRPr="009B0272" w:rsidRDefault="00B4613C" w:rsidP="00B4613C">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 xml:space="preserve">Email address: </w:t>
            </w:r>
            <w:r w:rsidRPr="0083175D">
              <w:rPr>
                <w:rFonts w:ascii="Times New Roman" w:hAnsi="Times New Roman" w:cs="Times New Roman"/>
                <w:b/>
                <w:sz w:val="44"/>
                <w:szCs w:val="44"/>
              </w:rPr>
              <w:t>2419618@student.uwtsd.ac.uk</w:t>
            </w:r>
          </w:p>
          <w:p w14:paraId="416CE0E2" w14:textId="77777777" w:rsidR="00B4613C" w:rsidRPr="009B0272" w:rsidRDefault="00B4613C" w:rsidP="00B4613C">
            <w:pPr>
              <w:overflowPunct/>
              <w:autoSpaceDE/>
              <w:autoSpaceDN/>
              <w:adjustRightInd/>
              <w:ind w:right="-957"/>
              <w:textAlignment w:val="auto"/>
              <w:rPr>
                <w:rFonts w:ascii="Times New Roman" w:hAnsi="Times New Roman" w:cs="Times New Roman"/>
                <w:b/>
                <w:color w:val="auto"/>
                <w:sz w:val="44"/>
                <w:szCs w:val="44"/>
              </w:rPr>
            </w:pPr>
          </w:p>
          <w:p w14:paraId="08FC0297" w14:textId="77777777" w:rsidR="00B4613C" w:rsidRPr="009B0272" w:rsidRDefault="00B4613C" w:rsidP="00B4613C">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 xml:space="preserve">Learner’s University Registration Number: </w:t>
            </w:r>
            <w:r w:rsidRPr="009B0272">
              <w:rPr>
                <w:rFonts w:ascii="Times New Roman" w:hAnsi="Times New Roman" w:cs="Times New Roman"/>
                <w:b/>
                <w:sz w:val="44"/>
                <w:szCs w:val="44"/>
              </w:rPr>
              <w:t>2419618</w:t>
            </w:r>
          </w:p>
          <w:p w14:paraId="46FC0F15" w14:textId="77777777" w:rsidR="00B4613C" w:rsidRPr="009B0272" w:rsidRDefault="00B4613C" w:rsidP="00B4613C">
            <w:pPr>
              <w:overflowPunct/>
              <w:autoSpaceDE/>
              <w:autoSpaceDN/>
              <w:adjustRightInd/>
              <w:ind w:right="-957"/>
              <w:textAlignment w:val="auto"/>
              <w:rPr>
                <w:rFonts w:ascii="Times New Roman" w:hAnsi="Times New Roman" w:cs="Times New Roman"/>
                <w:b/>
                <w:color w:val="auto"/>
                <w:sz w:val="44"/>
                <w:szCs w:val="44"/>
              </w:rPr>
            </w:pPr>
          </w:p>
          <w:p w14:paraId="19FD7D3D" w14:textId="77777777" w:rsidR="0085230E" w:rsidRDefault="00B4613C" w:rsidP="00B4613C">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Cohort: 21 onwards</w:t>
            </w:r>
          </w:p>
          <w:p w14:paraId="5F84129B" w14:textId="4EDB6342" w:rsidR="00B4613C" w:rsidRPr="005D3F07" w:rsidRDefault="00B4613C" w:rsidP="00B4613C">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7F2A46E" w14:textId="77777777" w:rsidR="00E14549" w:rsidRDefault="00E14549" w:rsidP="00E14549">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57B8CF39" w14:textId="77777777" w:rsidR="00E14549" w:rsidRDefault="00E14549" w:rsidP="00FF7EBB">
            <w:pPr>
              <w:jc w:val="both"/>
              <w:rPr>
                <w:sz w:val="24"/>
                <w:szCs w:val="24"/>
              </w:rPr>
            </w:pPr>
          </w:p>
          <w:p w14:paraId="388D03C3" w14:textId="77777777" w:rsidR="007A255C" w:rsidRDefault="007A255C" w:rsidP="00FF7EBB">
            <w:pPr>
              <w:jc w:val="both"/>
              <w:rPr>
                <w:sz w:val="24"/>
                <w:szCs w:val="24"/>
              </w:rPr>
            </w:pPr>
          </w:p>
          <w:p w14:paraId="0318E819" w14:textId="77777777" w:rsidR="00FC0334" w:rsidRPr="007A255C" w:rsidRDefault="00FC0334" w:rsidP="00FF7EBB">
            <w:pPr>
              <w:jc w:val="both"/>
              <w:rPr>
                <w:sz w:val="22"/>
                <w:szCs w:val="22"/>
              </w:rPr>
            </w:pPr>
          </w:p>
          <w:p w14:paraId="06F858BD" w14:textId="77777777" w:rsidR="00CE3BF2" w:rsidRPr="00E14549" w:rsidRDefault="00CE3BF2" w:rsidP="00CE3BF2">
            <w:pPr>
              <w:spacing w:line="360" w:lineRule="auto"/>
              <w:jc w:val="both"/>
              <w:rPr>
                <w:rFonts w:ascii="Aptos" w:hAnsi="Aptos"/>
                <w:sz w:val="22"/>
                <w:szCs w:val="22"/>
              </w:rPr>
            </w:pPr>
            <w:r w:rsidRPr="00E14549">
              <w:rPr>
                <w:rFonts w:ascii="Aptos" w:hAnsi="Aptos"/>
                <w:sz w:val="22"/>
                <w:szCs w:val="22"/>
              </w:rPr>
              <w:t>The Social Services and Well-Being (Wales) Act 2014 (SSWB(W)A, Part 7, s130) places a duty on local authorities and their partners to collaborate in protecting children at risk and promoting their well-being. It introduces the concept of “people in need of care and support,” emphasising early intervention, prevention, and a person-centred approach. The Children Act 1989 Part 1 section 1, outlines the responsibilities of parents and professionals to ensure children are cared for and protected, with the child’s welfare as the court’s paramount concern. The Children Act 2004 further supports safeguarding by imposing a legal duty on key agencies to work in partnership, promoting collaboration and information sharing.</w:t>
            </w:r>
          </w:p>
          <w:p w14:paraId="007105EF" w14:textId="77777777" w:rsidR="00CE3BF2" w:rsidRPr="00E14549" w:rsidRDefault="00CE3BF2" w:rsidP="00CE3BF2">
            <w:pPr>
              <w:spacing w:line="360" w:lineRule="auto"/>
              <w:jc w:val="both"/>
              <w:rPr>
                <w:rFonts w:ascii="Aptos" w:hAnsi="Aptos"/>
                <w:sz w:val="22"/>
                <w:szCs w:val="22"/>
              </w:rPr>
            </w:pPr>
          </w:p>
          <w:p w14:paraId="0AFD48F1" w14:textId="3275CF2C" w:rsidR="00CE3BF2" w:rsidRPr="00E14549" w:rsidRDefault="00CE3BF2" w:rsidP="00CE3BF2">
            <w:pPr>
              <w:spacing w:line="360" w:lineRule="auto"/>
              <w:jc w:val="both"/>
              <w:rPr>
                <w:rFonts w:ascii="Aptos" w:hAnsi="Aptos"/>
                <w:sz w:val="22"/>
                <w:szCs w:val="22"/>
              </w:rPr>
            </w:pPr>
            <w:r w:rsidRPr="00E14549">
              <w:rPr>
                <w:rFonts w:ascii="Aptos" w:hAnsi="Aptos"/>
                <w:sz w:val="22"/>
                <w:szCs w:val="22"/>
              </w:rPr>
              <w:t>At the national level, the Government provides strategic direction through policies such as “Working Together to Safeguard People,” a statutory guidance developed under the SSWB</w:t>
            </w:r>
            <w:r w:rsidR="007A255C" w:rsidRPr="00E14549">
              <w:rPr>
                <w:rFonts w:ascii="Aptos" w:hAnsi="Aptos"/>
                <w:sz w:val="22"/>
                <w:szCs w:val="22"/>
              </w:rPr>
              <w:t>(W)</w:t>
            </w:r>
            <w:r w:rsidRPr="00E14549">
              <w:rPr>
                <w:rFonts w:ascii="Aptos" w:hAnsi="Aptos"/>
                <w:sz w:val="22"/>
                <w:szCs w:val="22"/>
              </w:rPr>
              <w:t>A 2014. In Wales, professionals also follow the Wales Safeguarding Procedures, an integrated, practice-based framework designed to provide consistent responses to children at risk across all agencies (Wales Safeguarding Procedures, 2019).</w:t>
            </w:r>
          </w:p>
          <w:p w14:paraId="31E3F1FC" w14:textId="77777777" w:rsidR="00CE3BF2" w:rsidRPr="00E14549" w:rsidRDefault="00CE3BF2" w:rsidP="00CE3BF2">
            <w:pPr>
              <w:spacing w:line="360" w:lineRule="auto"/>
              <w:jc w:val="both"/>
              <w:rPr>
                <w:rFonts w:ascii="Aptos" w:hAnsi="Aptos"/>
                <w:sz w:val="22"/>
                <w:szCs w:val="22"/>
              </w:rPr>
            </w:pPr>
          </w:p>
          <w:p w14:paraId="10C72AE0" w14:textId="77777777" w:rsidR="00CE3BF2" w:rsidRPr="00E14549" w:rsidRDefault="00CE3BF2" w:rsidP="00CE3BF2">
            <w:pPr>
              <w:spacing w:line="360" w:lineRule="auto"/>
              <w:jc w:val="both"/>
              <w:rPr>
                <w:rFonts w:ascii="Aptos" w:hAnsi="Aptos"/>
                <w:sz w:val="22"/>
                <w:szCs w:val="22"/>
              </w:rPr>
            </w:pPr>
            <w:r w:rsidRPr="00E14549">
              <w:rPr>
                <w:rFonts w:ascii="Aptos" w:hAnsi="Aptos"/>
                <w:sz w:val="22"/>
                <w:szCs w:val="22"/>
              </w:rPr>
              <w:t xml:space="preserve">Locally, Regional Safeguarding Boards coordinate safeguarding efforts, develop local procedures, deliver training, and ensure effective inter-agency cooperation (Wales Safeguarding Procedures, 2019). </w:t>
            </w:r>
            <w:r w:rsidRPr="00E14549">
              <w:rPr>
                <w:rFonts w:ascii="Aptos" w:hAnsi="Aptos"/>
                <w:sz w:val="22"/>
                <w:szCs w:val="22"/>
              </w:rPr>
              <w:lastRenderedPageBreak/>
              <w:t>Additionally, at the organisational level, all agencies working with children, including schools, health boards, youth services, and voluntary organisations, must have clear safeguarding policies and procedures. These typically include codes of conduct, whistleblowing policies, reporting protocols, and mandatory staff training. Organisations must ensure that all employees and volunteers understand their responsibilities, know how to report concerns, and are supported to act appropriately (HM Government, 2023).</w:t>
            </w:r>
          </w:p>
          <w:p w14:paraId="43C498CC" w14:textId="77777777" w:rsidR="00CE3BF2" w:rsidRPr="00E14549" w:rsidRDefault="00CE3BF2" w:rsidP="00CE3BF2">
            <w:pPr>
              <w:spacing w:line="360" w:lineRule="auto"/>
              <w:jc w:val="both"/>
              <w:rPr>
                <w:rFonts w:ascii="Aptos" w:hAnsi="Aptos"/>
                <w:sz w:val="22"/>
                <w:szCs w:val="22"/>
              </w:rPr>
            </w:pPr>
          </w:p>
          <w:p w14:paraId="2C3770D1" w14:textId="61589F3D" w:rsidR="00CE3BF2" w:rsidRPr="00E14549" w:rsidRDefault="00CE3BF2" w:rsidP="00CE3BF2">
            <w:pPr>
              <w:spacing w:line="360" w:lineRule="auto"/>
              <w:jc w:val="both"/>
              <w:rPr>
                <w:rFonts w:ascii="Aptos" w:hAnsi="Aptos"/>
                <w:sz w:val="22"/>
                <w:szCs w:val="22"/>
              </w:rPr>
            </w:pPr>
            <w:r w:rsidRPr="00E14549">
              <w:rPr>
                <w:rFonts w:ascii="Aptos" w:hAnsi="Aptos"/>
                <w:sz w:val="22"/>
                <w:szCs w:val="22"/>
              </w:rPr>
              <w:t>Safeguarding operates within a robust framework of legislation, guidance, and local procedures. It is essential that professionals understand how these layers interconnect to provide effective child protection (HM Government, 2023).</w:t>
            </w:r>
            <w:r w:rsidR="00007AE7">
              <w:rPr>
                <w:rFonts w:ascii="Aptos" w:hAnsi="Aptos"/>
                <w:sz w:val="22"/>
                <w:szCs w:val="22"/>
              </w:rPr>
              <w:t xml:space="preserve"> </w:t>
            </w:r>
            <w:r w:rsidRPr="00E14549">
              <w:rPr>
                <w:rFonts w:ascii="Aptos" w:hAnsi="Aptos"/>
                <w:sz w:val="22"/>
                <w:szCs w:val="22"/>
              </w:rPr>
              <w:t>A child at risk is defined as one who is suffering, or likely to suffer, significant harm due to abuse, neglect, or exploitation (HM Government, 2023). Safeguarding vulnerable children is a core responsibility of social workers, who work within legal, ethical, and rights-based frameworks, including the United Nations Convention on the Rights of the Child (UNCRC), which ensures children are protected from violence, abuse, and neglect and have the right to express their views (UNCRC, 1989).</w:t>
            </w:r>
          </w:p>
          <w:p w14:paraId="65EFC67C" w14:textId="77777777" w:rsidR="00CE3BF2" w:rsidRPr="00E14549" w:rsidRDefault="00CE3BF2" w:rsidP="00CE3BF2">
            <w:pPr>
              <w:spacing w:line="360" w:lineRule="auto"/>
              <w:jc w:val="both"/>
              <w:rPr>
                <w:rFonts w:ascii="Aptos" w:hAnsi="Aptos"/>
                <w:sz w:val="22"/>
                <w:szCs w:val="22"/>
              </w:rPr>
            </w:pPr>
          </w:p>
          <w:p w14:paraId="3A9E649B" w14:textId="77777777" w:rsidR="00CE3BF2" w:rsidRPr="00E14549" w:rsidRDefault="00CE3BF2" w:rsidP="00CE3BF2">
            <w:pPr>
              <w:spacing w:line="360" w:lineRule="auto"/>
              <w:jc w:val="both"/>
              <w:rPr>
                <w:rFonts w:ascii="Aptos" w:hAnsi="Aptos"/>
                <w:sz w:val="22"/>
                <w:szCs w:val="22"/>
              </w:rPr>
            </w:pPr>
            <w:r w:rsidRPr="00E14549">
              <w:rPr>
                <w:rFonts w:ascii="Aptos" w:hAnsi="Aptos"/>
                <w:sz w:val="22"/>
                <w:szCs w:val="22"/>
              </w:rPr>
              <w:t>Under Section 47 of the Children Act 1989, local authorities must investigate when there is reasonable cause to suspect significant harm (Children Act, 1989). Social workers lead these enquiries, gathering information, assessing risk, and deciding on interventions such as child protection plans or legal action. Children at risk require care and support addressing both immediate protection and long-term well-being. Social workers should ensure the child’s voice is central to decision-making and that support meets individual needs (SSWB(W)A, 2014).</w:t>
            </w:r>
          </w:p>
          <w:p w14:paraId="698654D0" w14:textId="77777777" w:rsidR="00CE3BF2" w:rsidRPr="00E14549" w:rsidRDefault="00CE3BF2" w:rsidP="00CE3BF2">
            <w:pPr>
              <w:spacing w:line="360" w:lineRule="auto"/>
              <w:jc w:val="both"/>
              <w:rPr>
                <w:rFonts w:ascii="Aptos" w:hAnsi="Aptos"/>
                <w:sz w:val="22"/>
                <w:szCs w:val="22"/>
              </w:rPr>
            </w:pPr>
          </w:p>
          <w:p w14:paraId="33942008" w14:textId="3FFB4C2B" w:rsidR="00CE3BF2" w:rsidRPr="00E14549" w:rsidRDefault="00CE3BF2" w:rsidP="00CE3BF2">
            <w:pPr>
              <w:spacing w:line="360" w:lineRule="auto"/>
              <w:jc w:val="both"/>
              <w:rPr>
                <w:rFonts w:ascii="Aptos" w:hAnsi="Aptos"/>
                <w:sz w:val="22"/>
                <w:szCs w:val="22"/>
              </w:rPr>
            </w:pPr>
            <w:r w:rsidRPr="00E14549">
              <w:rPr>
                <w:rFonts w:ascii="Aptos" w:hAnsi="Aptos"/>
                <w:sz w:val="22"/>
                <w:szCs w:val="22"/>
              </w:rPr>
              <w:t>Professionals must also be able to identify signs of abuse or neglect. Physical indicators include bruises or burns; behavioural signs may be withdrawal, aggression, or inappropriate sexual behaviour; emotional signs include anxiety or low self-esteem (NSPCC, 2023, WSP, 2019). Early recognition and timely response are crucial to effective safeguarding and preventing harm.</w:t>
            </w:r>
            <w:r w:rsidR="00007AE7">
              <w:rPr>
                <w:rFonts w:ascii="Aptos" w:hAnsi="Aptos"/>
                <w:sz w:val="22"/>
                <w:szCs w:val="22"/>
              </w:rPr>
              <w:t xml:space="preserve">  </w:t>
            </w:r>
            <w:r w:rsidRPr="00E14549">
              <w:rPr>
                <w:rFonts w:ascii="Aptos" w:hAnsi="Aptos"/>
                <w:sz w:val="22"/>
                <w:szCs w:val="22"/>
              </w:rPr>
              <w:t>Social workers play a crucial role in protecting children at risk. They operate within legal and ethical frameworks, coordinate multi-agency working, use their professional judgment, and ensure children’s rights to safety, care, and involvement are respected.</w:t>
            </w:r>
          </w:p>
          <w:p w14:paraId="6D8CB8AF" w14:textId="77777777" w:rsidR="00FC0334" w:rsidRPr="003B5C78" w:rsidRDefault="00FC0334" w:rsidP="00FF7EBB">
            <w:pPr>
              <w:jc w:val="both"/>
              <w:rPr>
                <w:rFonts w:ascii="Aptos" w:hAnsi="Aptos"/>
                <w:sz w:val="6"/>
                <w:szCs w:val="6"/>
              </w:rPr>
            </w:pPr>
          </w:p>
          <w:p w14:paraId="0571F544" w14:textId="77777777" w:rsidR="004940EE" w:rsidRPr="00E14549" w:rsidRDefault="004940EE" w:rsidP="00FF7EBB">
            <w:pPr>
              <w:jc w:val="both"/>
              <w:rPr>
                <w:rFonts w:ascii="Aptos" w:hAnsi="Aptos"/>
                <w:sz w:val="24"/>
                <w:szCs w:val="24"/>
              </w:rPr>
            </w:pPr>
          </w:p>
          <w:p w14:paraId="03BD6D93" w14:textId="19E8B691" w:rsidR="007A628F" w:rsidRPr="008B28E7" w:rsidRDefault="007A255C" w:rsidP="003B5C78">
            <w:pPr>
              <w:jc w:val="both"/>
              <w:rPr>
                <w:b/>
                <w:sz w:val="24"/>
                <w:szCs w:val="24"/>
              </w:rPr>
            </w:pPr>
            <w:r w:rsidRPr="00E14549">
              <w:rPr>
                <w:rFonts w:ascii="Aptos" w:hAnsi="Aptos"/>
                <w:i/>
                <w:iCs/>
                <w:sz w:val="22"/>
                <w:szCs w:val="22"/>
              </w:rPr>
              <w:t>Word Count 521</w:t>
            </w:r>
          </w:p>
        </w:tc>
      </w:tr>
    </w:tbl>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29CDD3A" w14:textId="77777777" w:rsidR="003B5C78" w:rsidRDefault="003B5C78" w:rsidP="00FC0334">
            <w:pPr>
              <w:jc w:val="both"/>
              <w:rPr>
                <w:sz w:val="24"/>
                <w:szCs w:val="24"/>
              </w:rPr>
            </w:pPr>
          </w:p>
          <w:p w14:paraId="1E3A1FAF" w14:textId="77777777" w:rsidR="003B5C78" w:rsidRDefault="003B5C78" w:rsidP="003B5C78">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36DE3898" w14:textId="77777777" w:rsidR="003B5C78" w:rsidRDefault="003B5C78" w:rsidP="003B5C78">
            <w:pPr>
              <w:jc w:val="both"/>
              <w:rPr>
                <w:i/>
                <w:sz w:val="24"/>
                <w:szCs w:val="24"/>
              </w:rPr>
            </w:pPr>
          </w:p>
          <w:p w14:paraId="581E51EF" w14:textId="77777777" w:rsidR="003B5C78" w:rsidRDefault="003B5C78" w:rsidP="00FC0334">
            <w:pPr>
              <w:jc w:val="both"/>
              <w:rPr>
                <w:sz w:val="24"/>
                <w:szCs w:val="24"/>
              </w:rPr>
            </w:pP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035013A7" w14:textId="77777777" w:rsidR="004940EE" w:rsidRPr="003B5C78" w:rsidRDefault="004940EE" w:rsidP="004940EE">
            <w:pPr>
              <w:spacing w:line="360" w:lineRule="auto"/>
              <w:jc w:val="both"/>
              <w:rPr>
                <w:rFonts w:ascii="Aptos" w:hAnsi="Aptos"/>
                <w:sz w:val="22"/>
                <w:szCs w:val="22"/>
              </w:rPr>
            </w:pPr>
            <w:r w:rsidRPr="003B5C78">
              <w:rPr>
                <w:rFonts w:ascii="Aptos" w:hAnsi="Aptos"/>
                <w:sz w:val="22"/>
                <w:szCs w:val="22"/>
              </w:rPr>
              <w:t>In Wales, safeguarding practice is underpinned by the Social Services and Well-being (Wales) Act 2014, which provides a unified legal framework for both adults and children. However, there is a clear distinction between the safeguarding of children and that of adults. Safeguarding children is centred on protecting them from abuse, neglect, and harm, and ensuring they grow up in environments that support their development and rights. Adult safeguarding focuses on individuals who are at risk of harm or neglect and have care and support needs that limit their ability to protect themselves. While both groups are entitled to protection, the way that protection is delivered differs in line with their legal status, capacity for decision-making, and levels of dependency (Wales Safeguarding Procedures, 2019).</w:t>
            </w:r>
          </w:p>
          <w:p w14:paraId="320EA4BE" w14:textId="77777777" w:rsidR="004940EE" w:rsidRPr="003B5C78" w:rsidRDefault="004940EE" w:rsidP="004940EE">
            <w:pPr>
              <w:spacing w:line="360" w:lineRule="auto"/>
              <w:jc w:val="both"/>
              <w:rPr>
                <w:rFonts w:ascii="Aptos" w:hAnsi="Aptos"/>
                <w:sz w:val="22"/>
                <w:szCs w:val="22"/>
              </w:rPr>
            </w:pPr>
          </w:p>
          <w:p w14:paraId="76D2D3E8" w14:textId="77777777" w:rsidR="004940EE" w:rsidRPr="003B5C78" w:rsidRDefault="004940EE" w:rsidP="004940EE">
            <w:pPr>
              <w:spacing w:line="360" w:lineRule="auto"/>
              <w:jc w:val="both"/>
              <w:rPr>
                <w:rFonts w:ascii="Aptos" w:hAnsi="Aptos"/>
                <w:sz w:val="22"/>
                <w:szCs w:val="22"/>
              </w:rPr>
            </w:pPr>
            <w:r w:rsidRPr="003B5C78">
              <w:rPr>
                <w:rFonts w:ascii="Aptos" w:hAnsi="Aptos"/>
                <w:sz w:val="22"/>
                <w:szCs w:val="22"/>
              </w:rPr>
              <w:t xml:space="preserve">Consent is a key area where safeguarding of children and adults differs. The Mental Capacity Act (MCA) 2005 defines an adult as anyone aged 16 or over, allowing 16- and 17-year-olds to make decisions if they have capacity. However, the Children Act (CA) 1989 defines a child as under 18, meaning safeguarding concerns can override the MCA in cases of risk. Children under 16 may be assessed for Gillick competence to determine if they can make decisions without parental consent (Gillick v West Norfolk and Wisbech AHA, 1985). For adults, individuals with capacity have the right to make their own decisions, even if these seem risky or unwise. Intervention without consent is only acceptable if the adult lacks capacity or others are at risk. This legal distinction requires professionals to adopt a more protective approach with children, while emphasising rights and autonomy when working with adults. </w:t>
            </w:r>
          </w:p>
          <w:p w14:paraId="111855AF" w14:textId="77777777" w:rsidR="004940EE" w:rsidRPr="003B5C78" w:rsidRDefault="004940EE" w:rsidP="004940EE">
            <w:pPr>
              <w:spacing w:line="360" w:lineRule="auto"/>
              <w:jc w:val="both"/>
              <w:rPr>
                <w:rFonts w:ascii="Aptos" w:hAnsi="Aptos"/>
                <w:sz w:val="22"/>
                <w:szCs w:val="22"/>
              </w:rPr>
            </w:pPr>
          </w:p>
          <w:p w14:paraId="6D9BCB5A" w14:textId="77777777" w:rsidR="004940EE" w:rsidRPr="003B5C78" w:rsidRDefault="004940EE" w:rsidP="004940EE">
            <w:pPr>
              <w:spacing w:line="360" w:lineRule="auto"/>
              <w:jc w:val="both"/>
              <w:rPr>
                <w:rFonts w:ascii="Aptos" w:hAnsi="Aptos"/>
                <w:sz w:val="22"/>
                <w:szCs w:val="22"/>
              </w:rPr>
            </w:pPr>
            <w:r w:rsidRPr="003B5C78">
              <w:rPr>
                <w:rFonts w:ascii="Aptos" w:hAnsi="Aptos"/>
                <w:sz w:val="22"/>
                <w:szCs w:val="22"/>
              </w:rPr>
              <w:t xml:space="preserve">The concepts of best interests and autonomy emphasise this contrast. In child safeguarding, actions are guided by what is safest and most beneficial for the child. In adult safeguarding, the principle of autonomy takes precedence. Adults with capacity have the right to refuse help, even if others may disagree with their decisions (HM Government, 2023). </w:t>
            </w:r>
          </w:p>
          <w:p w14:paraId="0CD51F0E" w14:textId="77777777" w:rsidR="004940EE" w:rsidRPr="003B5C78" w:rsidRDefault="004940EE" w:rsidP="004940EE">
            <w:pPr>
              <w:spacing w:line="360" w:lineRule="auto"/>
              <w:jc w:val="both"/>
              <w:rPr>
                <w:rFonts w:ascii="Aptos" w:hAnsi="Aptos"/>
                <w:sz w:val="22"/>
                <w:szCs w:val="22"/>
              </w:rPr>
            </w:pPr>
          </w:p>
          <w:p w14:paraId="67150A2A" w14:textId="77777777" w:rsidR="004940EE" w:rsidRPr="003B5C78" w:rsidRDefault="004940EE" w:rsidP="004940EE">
            <w:pPr>
              <w:spacing w:line="360" w:lineRule="auto"/>
              <w:jc w:val="both"/>
              <w:rPr>
                <w:rFonts w:ascii="Aptos" w:hAnsi="Aptos"/>
                <w:i/>
                <w:iCs/>
                <w:sz w:val="22"/>
                <w:szCs w:val="22"/>
              </w:rPr>
            </w:pPr>
            <w:r w:rsidRPr="003B5C78">
              <w:rPr>
                <w:rFonts w:ascii="Aptos" w:hAnsi="Aptos"/>
                <w:sz w:val="22"/>
                <w:szCs w:val="22"/>
              </w:rPr>
              <w:lastRenderedPageBreak/>
              <w:t>With children, the threshold is generally lower, as early intervention is required to prevent harm and promote healthy development. Professionals are expected to take timely action when concerns arise. For adults, intervention thresholds are higher. Unless there is a lack of capacity or risk to others, adults can refuse services or support, and their wishes must be respected (SCIE, 2016)</w:t>
            </w:r>
            <w:r w:rsidRPr="003B5C78">
              <w:rPr>
                <w:rFonts w:ascii="Aptos" w:hAnsi="Aptos"/>
                <w:i/>
                <w:iCs/>
                <w:sz w:val="22"/>
                <w:szCs w:val="22"/>
              </w:rPr>
              <w:t>.</w:t>
            </w:r>
          </w:p>
          <w:p w14:paraId="2D33E24C" w14:textId="77777777" w:rsidR="004940EE" w:rsidRPr="003B5C78" w:rsidRDefault="004940EE" w:rsidP="004940EE">
            <w:pPr>
              <w:spacing w:line="360" w:lineRule="auto"/>
              <w:jc w:val="both"/>
              <w:rPr>
                <w:rFonts w:ascii="Aptos" w:hAnsi="Aptos"/>
                <w:sz w:val="22"/>
                <w:szCs w:val="22"/>
              </w:rPr>
            </w:pPr>
          </w:p>
          <w:p w14:paraId="3A7D4CCF" w14:textId="77777777" w:rsidR="004940EE" w:rsidRPr="003B5C78" w:rsidRDefault="004940EE" w:rsidP="004940EE">
            <w:pPr>
              <w:spacing w:line="360" w:lineRule="auto"/>
              <w:jc w:val="both"/>
              <w:rPr>
                <w:rFonts w:ascii="Aptos" w:hAnsi="Aptos"/>
                <w:sz w:val="22"/>
                <w:szCs w:val="22"/>
              </w:rPr>
            </w:pPr>
            <w:r w:rsidRPr="003B5C78">
              <w:rPr>
                <w:rFonts w:ascii="Aptos" w:hAnsi="Aptos"/>
                <w:sz w:val="22"/>
                <w:szCs w:val="22"/>
              </w:rPr>
              <w:t>Understanding the differences between child and adult safeguarding, especially around legal status, capacity, and consent between children and adults is essential for effective safeguarding. Professionals must adapt their approach so that they can respond in ways that are both protective and respectful, recognising the unique needs and rights of each person they work with.</w:t>
            </w:r>
          </w:p>
          <w:p w14:paraId="73F87AD0" w14:textId="77777777" w:rsidR="004940EE" w:rsidRPr="003B5C78" w:rsidRDefault="004940EE" w:rsidP="004940EE">
            <w:pPr>
              <w:spacing w:line="360" w:lineRule="auto"/>
              <w:jc w:val="both"/>
              <w:rPr>
                <w:rFonts w:ascii="Aptos" w:hAnsi="Aptos"/>
              </w:rPr>
            </w:pPr>
          </w:p>
          <w:p w14:paraId="1E8C60B2" w14:textId="77777777" w:rsidR="004940EE" w:rsidRPr="003B5C78" w:rsidRDefault="004940EE" w:rsidP="004940EE">
            <w:pPr>
              <w:spacing w:line="360" w:lineRule="auto"/>
              <w:jc w:val="both"/>
              <w:rPr>
                <w:rFonts w:ascii="Aptos" w:hAnsi="Aptos"/>
              </w:rPr>
            </w:pPr>
          </w:p>
          <w:p w14:paraId="04285720" w14:textId="2E53C3D6" w:rsidR="00FC0334" w:rsidRPr="003B5C78" w:rsidRDefault="001203BE" w:rsidP="00FC0334">
            <w:pPr>
              <w:jc w:val="both"/>
              <w:rPr>
                <w:rFonts w:ascii="Aptos" w:hAnsi="Aptos"/>
                <w:i/>
                <w:iCs/>
                <w:sz w:val="22"/>
                <w:szCs w:val="22"/>
              </w:rPr>
            </w:pPr>
            <w:r w:rsidRPr="003B5C78">
              <w:rPr>
                <w:rFonts w:ascii="Aptos" w:hAnsi="Aptos"/>
                <w:i/>
                <w:iCs/>
                <w:sz w:val="22"/>
                <w:szCs w:val="22"/>
              </w:rPr>
              <w:t>Word Count 438</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216B206D" w14:textId="77777777" w:rsidR="004940EE" w:rsidRDefault="004940EE"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AE7"/>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3BE"/>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C78"/>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40EE"/>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7D86"/>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55C"/>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613C"/>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BF2"/>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4549"/>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5</Pages>
  <Words>1166</Words>
  <Characters>6828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Freckleton</cp:lastModifiedBy>
  <cp:revision>12</cp:revision>
  <cp:lastPrinted>2020-02-11T19:20:00Z</cp:lastPrinted>
  <dcterms:created xsi:type="dcterms:W3CDTF">2022-09-29T11:35:00Z</dcterms:created>
  <dcterms:modified xsi:type="dcterms:W3CDTF">2025-10-06T09:39:00Z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