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3DAF8" w14:textId="3E81DE0C" w:rsidR="00F61E2F" w:rsidRPr="00244DA2" w:rsidRDefault="00F61E2F" w:rsidP="00284780">
      <w:pPr>
        <w:tabs>
          <w:tab w:val="left" w:pos="8184"/>
        </w:tabs>
        <w:spacing w:line="360" w:lineRule="auto"/>
        <w:rPr>
          <w:rFonts w:ascii="Times New Roman" w:eastAsia="Times New Roman" w:hAnsi="Times New Roman" w:cs="Times New Roman"/>
          <w:b/>
          <w:sz w:val="24"/>
          <w:szCs w:val="24"/>
        </w:rPr>
      </w:pPr>
    </w:p>
    <w:p w14:paraId="16E42FF1" w14:textId="77777777" w:rsidR="00F61E2F" w:rsidRPr="00244DA2" w:rsidRDefault="00F61E2F">
      <w:pPr>
        <w:spacing w:line="360" w:lineRule="auto"/>
        <w:jc w:val="center"/>
        <w:rPr>
          <w:rFonts w:ascii="Times New Roman" w:eastAsia="Times New Roman" w:hAnsi="Times New Roman" w:cs="Times New Roman"/>
          <w:b/>
          <w:sz w:val="24"/>
          <w:szCs w:val="24"/>
        </w:rPr>
      </w:pPr>
    </w:p>
    <w:p w14:paraId="4B0FEDD7" w14:textId="77777777" w:rsidR="00F61E2F" w:rsidRPr="00244DA2" w:rsidRDefault="00F61E2F">
      <w:pPr>
        <w:spacing w:line="360" w:lineRule="auto"/>
        <w:jc w:val="center"/>
        <w:rPr>
          <w:rFonts w:ascii="Times New Roman" w:eastAsia="Times New Roman" w:hAnsi="Times New Roman" w:cs="Times New Roman"/>
          <w:b/>
          <w:sz w:val="24"/>
          <w:szCs w:val="24"/>
        </w:rPr>
      </w:pPr>
    </w:p>
    <w:p w14:paraId="2D98A0EF" w14:textId="77777777" w:rsidR="00284780" w:rsidRDefault="00015489">
      <w:pPr>
        <w:spacing w:line="360" w:lineRule="auto"/>
        <w:jc w:val="center"/>
        <w:rPr>
          <w:rFonts w:ascii="Times New Roman" w:eastAsia="Times New Roman" w:hAnsi="Times New Roman" w:cs="Times New Roman"/>
          <w:b/>
          <w:sz w:val="32"/>
          <w:szCs w:val="32"/>
        </w:rPr>
      </w:pPr>
      <w:r w:rsidRPr="00244DA2">
        <w:rPr>
          <w:rFonts w:ascii="Times New Roman" w:eastAsia="Times New Roman" w:hAnsi="Times New Roman" w:cs="Times New Roman"/>
          <w:b/>
          <w:sz w:val="32"/>
          <w:szCs w:val="32"/>
        </w:rPr>
        <w:t xml:space="preserve">FINANCIAL MANAGEMENT FOR THE HOTEL INDUSTRY </w:t>
      </w:r>
    </w:p>
    <w:p w14:paraId="0C8A9586" w14:textId="77777777" w:rsidR="00284780" w:rsidRDefault="00284780">
      <w:pPr>
        <w:spacing w:line="360" w:lineRule="auto"/>
        <w:jc w:val="center"/>
        <w:rPr>
          <w:rFonts w:ascii="Times New Roman" w:eastAsia="Times New Roman" w:hAnsi="Times New Roman" w:cs="Times New Roman"/>
          <w:b/>
          <w:sz w:val="32"/>
          <w:szCs w:val="32"/>
        </w:rPr>
      </w:pPr>
    </w:p>
    <w:p w14:paraId="2924E211" w14:textId="7091D6EC" w:rsidR="00284780" w:rsidRDefault="00284780" w:rsidP="00284780">
      <w:pPr>
        <w:spacing w:line="360" w:lineRule="auto"/>
        <w:rPr>
          <w:rFonts w:ascii="Times New Roman" w:eastAsia="Times New Roman" w:hAnsi="Times New Roman" w:cs="Times New Roman"/>
          <w:b/>
          <w:sz w:val="32"/>
          <w:szCs w:val="32"/>
        </w:rPr>
      </w:pPr>
    </w:p>
    <w:p w14:paraId="7CD8F4A4" w14:textId="07015D1A" w:rsidR="00284780" w:rsidRDefault="0028478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015489" w:rsidRPr="00244DA2">
        <w:rPr>
          <w:rFonts w:ascii="Times New Roman" w:eastAsia="Times New Roman" w:hAnsi="Times New Roman" w:cs="Times New Roman"/>
          <w:b/>
          <w:sz w:val="32"/>
          <w:szCs w:val="32"/>
        </w:rPr>
        <w:t>BMIH5007</w:t>
      </w:r>
    </w:p>
    <w:p w14:paraId="66E7E21B" w14:textId="77777777" w:rsidR="00284780" w:rsidRDefault="0028478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Ionela Madalina Cananau</w:t>
      </w:r>
    </w:p>
    <w:p w14:paraId="3806552D" w14:textId="77777777" w:rsidR="00284780" w:rsidRDefault="00284780" w:rsidP="0028478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2243593</w:t>
      </w:r>
    </w:p>
    <w:p w14:paraId="58477E65" w14:textId="77777777" w:rsidR="00D65E2B" w:rsidRDefault="00284780" w:rsidP="0028478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Lead</w:t>
      </w:r>
      <w:r w:rsidR="00C0084D">
        <w:rPr>
          <w:rFonts w:ascii="Times New Roman" w:eastAsia="Times New Roman" w:hAnsi="Times New Roman" w:cs="Times New Roman"/>
          <w:b/>
          <w:sz w:val="32"/>
          <w:szCs w:val="32"/>
        </w:rPr>
        <w:t xml:space="preserve">: Tristan Hawkins </w:t>
      </w:r>
    </w:p>
    <w:p w14:paraId="39F7BDBF" w14:textId="77777777" w:rsidR="00D65E2B" w:rsidRDefault="00D65E2B" w:rsidP="00284780">
      <w:pPr>
        <w:spacing w:line="360" w:lineRule="auto"/>
        <w:jc w:val="center"/>
        <w:rPr>
          <w:rFonts w:ascii="Times New Roman" w:eastAsia="Times New Roman" w:hAnsi="Times New Roman" w:cs="Times New Roman"/>
          <w:b/>
          <w:sz w:val="32"/>
          <w:szCs w:val="32"/>
        </w:rPr>
      </w:pPr>
    </w:p>
    <w:p w14:paraId="0C45F279" w14:textId="77777777" w:rsidR="00D65E2B" w:rsidRDefault="00D65E2B" w:rsidP="00284780">
      <w:pPr>
        <w:spacing w:line="360" w:lineRule="auto"/>
        <w:jc w:val="center"/>
        <w:rPr>
          <w:rFonts w:ascii="Times New Roman" w:eastAsia="Times New Roman" w:hAnsi="Times New Roman" w:cs="Times New Roman"/>
          <w:b/>
          <w:sz w:val="32"/>
          <w:szCs w:val="32"/>
        </w:rPr>
      </w:pPr>
    </w:p>
    <w:p w14:paraId="5DBD5468" w14:textId="77777777" w:rsidR="00D65E2B" w:rsidRDefault="00D65E2B" w:rsidP="00284780">
      <w:pPr>
        <w:spacing w:line="360" w:lineRule="auto"/>
        <w:jc w:val="center"/>
        <w:rPr>
          <w:rFonts w:ascii="Times New Roman" w:eastAsia="Times New Roman" w:hAnsi="Times New Roman" w:cs="Times New Roman"/>
          <w:b/>
          <w:sz w:val="32"/>
          <w:szCs w:val="32"/>
        </w:rPr>
      </w:pPr>
    </w:p>
    <w:p w14:paraId="3E77B491" w14:textId="77777777" w:rsidR="00D65E2B" w:rsidRDefault="00D65E2B" w:rsidP="00284780">
      <w:pPr>
        <w:spacing w:line="360" w:lineRule="auto"/>
        <w:jc w:val="center"/>
        <w:rPr>
          <w:rFonts w:ascii="Times New Roman" w:eastAsia="Times New Roman" w:hAnsi="Times New Roman" w:cs="Times New Roman"/>
          <w:b/>
          <w:sz w:val="32"/>
          <w:szCs w:val="32"/>
        </w:rPr>
      </w:pPr>
    </w:p>
    <w:p w14:paraId="4E218D4D" w14:textId="77777777" w:rsidR="00D65E2B" w:rsidRDefault="00D65E2B" w:rsidP="00284780">
      <w:pPr>
        <w:spacing w:line="360" w:lineRule="auto"/>
        <w:jc w:val="center"/>
        <w:rPr>
          <w:rFonts w:ascii="Times New Roman" w:eastAsia="Times New Roman" w:hAnsi="Times New Roman" w:cs="Times New Roman"/>
          <w:b/>
          <w:sz w:val="32"/>
          <w:szCs w:val="32"/>
        </w:rPr>
      </w:pPr>
    </w:p>
    <w:p w14:paraId="62082AC9" w14:textId="77777777" w:rsidR="00D65E2B" w:rsidRDefault="00D65E2B" w:rsidP="00284780">
      <w:pPr>
        <w:spacing w:line="360" w:lineRule="auto"/>
        <w:jc w:val="center"/>
        <w:rPr>
          <w:rFonts w:ascii="Times New Roman" w:eastAsia="Times New Roman" w:hAnsi="Times New Roman" w:cs="Times New Roman"/>
          <w:b/>
          <w:sz w:val="32"/>
          <w:szCs w:val="32"/>
        </w:rPr>
      </w:pPr>
    </w:p>
    <w:p w14:paraId="31A2C8F9" w14:textId="77777777" w:rsidR="00D65E2B" w:rsidRDefault="00D65E2B" w:rsidP="00284780">
      <w:pPr>
        <w:spacing w:line="360" w:lineRule="auto"/>
        <w:jc w:val="center"/>
        <w:rPr>
          <w:rFonts w:ascii="Times New Roman" w:eastAsia="Times New Roman" w:hAnsi="Times New Roman" w:cs="Times New Roman"/>
          <w:b/>
          <w:sz w:val="32"/>
          <w:szCs w:val="32"/>
        </w:rPr>
      </w:pPr>
    </w:p>
    <w:p w14:paraId="4A471ED6" w14:textId="77777777" w:rsidR="00D65E2B" w:rsidRDefault="00D65E2B" w:rsidP="00284780">
      <w:pPr>
        <w:spacing w:line="360" w:lineRule="auto"/>
        <w:jc w:val="center"/>
        <w:rPr>
          <w:rFonts w:ascii="Times New Roman" w:eastAsia="Times New Roman" w:hAnsi="Times New Roman" w:cs="Times New Roman"/>
          <w:b/>
          <w:sz w:val="32"/>
          <w:szCs w:val="32"/>
        </w:rPr>
      </w:pPr>
    </w:p>
    <w:p w14:paraId="5B78459C" w14:textId="77777777" w:rsidR="00D65E2B" w:rsidRDefault="00D65E2B" w:rsidP="00284780">
      <w:pPr>
        <w:spacing w:line="360" w:lineRule="auto"/>
        <w:jc w:val="center"/>
        <w:rPr>
          <w:rFonts w:ascii="Times New Roman" w:eastAsia="Times New Roman" w:hAnsi="Times New Roman" w:cs="Times New Roman"/>
          <w:b/>
          <w:sz w:val="32"/>
          <w:szCs w:val="32"/>
        </w:rPr>
      </w:pPr>
    </w:p>
    <w:p w14:paraId="6F72B031" w14:textId="77777777" w:rsidR="00D65E2B" w:rsidRDefault="00D65E2B" w:rsidP="00284780">
      <w:pPr>
        <w:spacing w:line="360" w:lineRule="auto"/>
        <w:jc w:val="center"/>
        <w:rPr>
          <w:rFonts w:ascii="Times New Roman" w:eastAsia="Times New Roman" w:hAnsi="Times New Roman" w:cs="Times New Roman"/>
          <w:b/>
          <w:sz w:val="32"/>
          <w:szCs w:val="32"/>
        </w:rPr>
      </w:pPr>
    </w:p>
    <w:p w14:paraId="6F4A107A" w14:textId="77777777" w:rsidR="00D65E2B" w:rsidRDefault="00D65E2B" w:rsidP="00284780">
      <w:pPr>
        <w:spacing w:line="360" w:lineRule="auto"/>
        <w:jc w:val="center"/>
        <w:rPr>
          <w:rFonts w:ascii="Times New Roman" w:eastAsia="Times New Roman" w:hAnsi="Times New Roman" w:cs="Times New Roman"/>
          <w:b/>
          <w:sz w:val="32"/>
          <w:szCs w:val="32"/>
        </w:rPr>
      </w:pPr>
    </w:p>
    <w:p w14:paraId="3D0E6D19" w14:textId="1DDE2BFB" w:rsidR="00D65E2B" w:rsidRDefault="00D65E2B" w:rsidP="00284780">
      <w:pPr>
        <w:spacing w:line="360" w:lineRule="auto"/>
        <w:jc w:val="center"/>
        <w:rPr>
          <w:rFonts w:ascii="Times New Roman" w:eastAsia="Times New Roman" w:hAnsi="Times New Roman" w:cs="Times New Roman"/>
          <w:b/>
          <w:sz w:val="32"/>
          <w:szCs w:val="32"/>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2E8F10C" w14:textId="77777777" w:rsidR="00F61E2F" w:rsidRPr="00B222F0" w:rsidRDefault="00000000" w:rsidP="0033116A">
      <w:pPr>
        <w:spacing w:line="360" w:lineRule="auto"/>
        <w:rPr>
          <w:rFonts w:eastAsia="Times New Roman"/>
          <w:b/>
          <w:sz w:val="28"/>
          <w:szCs w:val="28"/>
        </w:rPr>
      </w:pPr>
      <w:r w:rsidRPr="00B222F0">
        <w:rPr>
          <w:rFonts w:eastAsia="Times New Roman"/>
          <w:b/>
          <w:sz w:val="28"/>
          <w:szCs w:val="28"/>
        </w:rPr>
        <w:lastRenderedPageBreak/>
        <w:t>Executive Summary</w:t>
      </w:r>
    </w:p>
    <w:p w14:paraId="053470C0" w14:textId="77777777" w:rsidR="00015489" w:rsidRPr="00B222F0" w:rsidRDefault="00015489" w:rsidP="00015489">
      <w:pPr>
        <w:spacing w:line="360" w:lineRule="auto"/>
        <w:jc w:val="both"/>
        <w:rPr>
          <w:sz w:val="24"/>
          <w:szCs w:val="24"/>
        </w:rPr>
      </w:pPr>
      <w:r w:rsidRPr="00B222F0">
        <w:rPr>
          <w:sz w:val="24"/>
          <w:szCs w:val="24"/>
        </w:rPr>
        <w:t>The sector of hospitality is an important branch of the tourist industry that satisfies various customer demands or needs through several services and types of rooms. Technique: Shangri-La Hotels is positioned as targeting the luxury segment by providing high-end products while Premier Inn targets the value-conscious segment, with most of its outlets in the United Kingdom. Combining a comparison of Shangri-La to Premier Inn shows that while Shangri-La has huge revenues from rooms booked, Premier Inn has better profitability per room due to its mass market with excellent occupancy ratios. Shangri-La currently owns a fraction of the luxury market share, only 1 per cent, compared to Premier Inn’s 22 per cent of the budget market share. Both have a favourable growth potential where although Shangri-La continues to grow cautiously in newly emerging luxury markets, Premier Inn rampantly invests in the UK and Germany. The two brands show consideration to corporate social responsibility, that meets environmental and community needs.</w:t>
      </w:r>
    </w:p>
    <w:p w14:paraId="2D74324D" w14:textId="77777777" w:rsidR="00F61E2F" w:rsidRPr="00B222F0" w:rsidRDefault="00000000">
      <w:pPr>
        <w:spacing w:line="360" w:lineRule="auto"/>
        <w:jc w:val="both"/>
        <w:rPr>
          <w:rFonts w:eastAsia="Times New Roman"/>
          <w:b/>
          <w:sz w:val="24"/>
          <w:szCs w:val="24"/>
        </w:rPr>
      </w:pPr>
      <w:r w:rsidRPr="00B222F0">
        <w:rPr>
          <w:sz w:val="24"/>
          <w:szCs w:val="24"/>
        </w:rPr>
        <w:br w:type="page"/>
      </w:r>
    </w:p>
    <w:sdt>
      <w:sdtPr>
        <w:rPr>
          <w:rFonts w:ascii="Arial" w:eastAsia="Arial" w:hAnsi="Arial" w:cs="Arial"/>
          <w:color w:val="auto"/>
          <w:sz w:val="24"/>
          <w:szCs w:val="24"/>
          <w:lang w:val="en-GB" w:eastAsia="en-IN"/>
        </w:rPr>
        <w:id w:val="-2099548547"/>
        <w:docPartObj>
          <w:docPartGallery w:val="Table of Contents"/>
          <w:docPartUnique/>
        </w:docPartObj>
      </w:sdtPr>
      <w:sdtEndPr>
        <w:rPr>
          <w:b/>
          <w:bCs/>
          <w:noProof/>
        </w:rPr>
      </w:sdtEndPr>
      <w:sdtContent>
        <w:p w14:paraId="182A174C" w14:textId="20644314" w:rsidR="00244DA2" w:rsidRPr="00B222F0" w:rsidRDefault="00244DA2" w:rsidP="00244DA2">
          <w:pPr>
            <w:pStyle w:val="Titlucuprins"/>
            <w:jc w:val="center"/>
            <w:rPr>
              <w:rFonts w:ascii="Arial" w:hAnsi="Arial" w:cs="Arial"/>
              <w:b/>
              <w:bCs/>
              <w:color w:val="000000" w:themeColor="text1"/>
              <w:sz w:val="24"/>
              <w:szCs w:val="24"/>
            </w:rPr>
          </w:pPr>
          <w:r w:rsidRPr="00B222F0">
            <w:rPr>
              <w:rFonts w:ascii="Arial" w:hAnsi="Arial" w:cs="Arial"/>
              <w:b/>
              <w:bCs/>
              <w:color w:val="000000" w:themeColor="text1"/>
              <w:sz w:val="24"/>
              <w:szCs w:val="24"/>
            </w:rPr>
            <w:t>Table of Contents</w:t>
          </w:r>
        </w:p>
        <w:p w14:paraId="636E7DB9" w14:textId="7AC6486B" w:rsidR="00244DA2" w:rsidRPr="00B222F0" w:rsidRDefault="00244DA2" w:rsidP="00244DA2">
          <w:pPr>
            <w:pStyle w:val="Cuprins1"/>
            <w:tabs>
              <w:tab w:val="right" w:leader="dot" w:pos="9350"/>
            </w:tabs>
            <w:spacing w:line="360" w:lineRule="auto"/>
            <w:jc w:val="both"/>
            <w:rPr>
              <w:noProof/>
              <w:sz w:val="24"/>
              <w:szCs w:val="24"/>
            </w:rPr>
          </w:pPr>
          <w:r w:rsidRPr="00B222F0">
            <w:rPr>
              <w:sz w:val="24"/>
              <w:szCs w:val="24"/>
            </w:rPr>
            <w:fldChar w:fldCharType="begin"/>
          </w:r>
          <w:r w:rsidRPr="00B222F0">
            <w:rPr>
              <w:sz w:val="24"/>
              <w:szCs w:val="24"/>
            </w:rPr>
            <w:instrText xml:space="preserve"> TOC \o "1-3" \h \z \u </w:instrText>
          </w:r>
          <w:r w:rsidRPr="00B222F0">
            <w:rPr>
              <w:sz w:val="24"/>
              <w:szCs w:val="24"/>
            </w:rPr>
            <w:fldChar w:fldCharType="separate"/>
          </w:r>
          <w:hyperlink w:anchor="_Toc180142706" w:history="1">
            <w:r w:rsidRPr="00B222F0">
              <w:rPr>
                <w:rStyle w:val="Hyperlink"/>
                <w:noProof/>
                <w:sz w:val="24"/>
                <w:szCs w:val="24"/>
              </w:rPr>
              <w:t>Introduction</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_Toc180142706 \h </w:instrText>
            </w:r>
            <w:r w:rsidRPr="00B222F0">
              <w:rPr>
                <w:noProof/>
                <w:webHidden/>
                <w:sz w:val="24"/>
                <w:szCs w:val="24"/>
              </w:rPr>
            </w:r>
            <w:r w:rsidRPr="00B222F0">
              <w:rPr>
                <w:noProof/>
                <w:webHidden/>
                <w:sz w:val="24"/>
                <w:szCs w:val="24"/>
              </w:rPr>
              <w:fldChar w:fldCharType="separate"/>
            </w:r>
            <w:r w:rsidRPr="00B222F0">
              <w:rPr>
                <w:noProof/>
                <w:webHidden/>
                <w:sz w:val="24"/>
                <w:szCs w:val="24"/>
              </w:rPr>
              <w:t>4</w:t>
            </w:r>
            <w:r w:rsidRPr="00B222F0">
              <w:rPr>
                <w:noProof/>
                <w:webHidden/>
                <w:sz w:val="24"/>
                <w:szCs w:val="24"/>
              </w:rPr>
              <w:fldChar w:fldCharType="end"/>
            </w:r>
          </w:hyperlink>
        </w:p>
        <w:p w14:paraId="20DA105B" w14:textId="0AA49E8C" w:rsidR="00244DA2" w:rsidRPr="00B222F0" w:rsidRDefault="00244DA2" w:rsidP="00244DA2">
          <w:pPr>
            <w:pStyle w:val="Cuprins1"/>
            <w:tabs>
              <w:tab w:val="right" w:leader="dot" w:pos="9350"/>
            </w:tabs>
            <w:spacing w:line="360" w:lineRule="auto"/>
            <w:jc w:val="both"/>
            <w:rPr>
              <w:noProof/>
              <w:sz w:val="24"/>
              <w:szCs w:val="24"/>
            </w:rPr>
          </w:pPr>
          <w:hyperlink w:anchor="_Toc180142707" w:history="1">
            <w:r w:rsidRPr="00B222F0">
              <w:rPr>
                <w:rStyle w:val="Hyperlink"/>
                <w:noProof/>
                <w:sz w:val="24"/>
                <w:szCs w:val="24"/>
              </w:rPr>
              <w:t>Total Revenue Comparison</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_Toc180142707 \h </w:instrText>
            </w:r>
            <w:r w:rsidRPr="00B222F0">
              <w:rPr>
                <w:noProof/>
                <w:webHidden/>
                <w:sz w:val="24"/>
                <w:szCs w:val="24"/>
              </w:rPr>
            </w:r>
            <w:r w:rsidRPr="00B222F0">
              <w:rPr>
                <w:noProof/>
                <w:webHidden/>
                <w:sz w:val="24"/>
                <w:szCs w:val="24"/>
              </w:rPr>
              <w:fldChar w:fldCharType="separate"/>
            </w:r>
            <w:r w:rsidRPr="00B222F0">
              <w:rPr>
                <w:noProof/>
                <w:webHidden/>
                <w:sz w:val="24"/>
                <w:szCs w:val="24"/>
              </w:rPr>
              <w:t>4</w:t>
            </w:r>
            <w:r w:rsidRPr="00B222F0">
              <w:rPr>
                <w:noProof/>
                <w:webHidden/>
                <w:sz w:val="24"/>
                <w:szCs w:val="24"/>
              </w:rPr>
              <w:fldChar w:fldCharType="end"/>
            </w:r>
          </w:hyperlink>
        </w:p>
        <w:p w14:paraId="68B226FB" w14:textId="3E3E8BBD" w:rsidR="00244DA2" w:rsidRPr="00B222F0" w:rsidRDefault="00244DA2" w:rsidP="00244DA2">
          <w:pPr>
            <w:pStyle w:val="Cuprins1"/>
            <w:tabs>
              <w:tab w:val="right" w:leader="dot" w:pos="9350"/>
            </w:tabs>
            <w:spacing w:line="360" w:lineRule="auto"/>
            <w:jc w:val="both"/>
            <w:rPr>
              <w:noProof/>
              <w:sz w:val="24"/>
              <w:szCs w:val="24"/>
            </w:rPr>
          </w:pPr>
          <w:hyperlink w:anchor="_Toc180142708" w:history="1">
            <w:r w:rsidRPr="00B222F0">
              <w:rPr>
                <w:rStyle w:val="Hyperlink"/>
                <w:noProof/>
                <w:sz w:val="24"/>
                <w:szCs w:val="24"/>
              </w:rPr>
              <w:t>Market Position</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_Toc180142708 \h </w:instrText>
            </w:r>
            <w:r w:rsidRPr="00B222F0">
              <w:rPr>
                <w:noProof/>
                <w:webHidden/>
                <w:sz w:val="24"/>
                <w:szCs w:val="24"/>
              </w:rPr>
            </w:r>
            <w:r w:rsidRPr="00B222F0">
              <w:rPr>
                <w:noProof/>
                <w:webHidden/>
                <w:sz w:val="24"/>
                <w:szCs w:val="24"/>
              </w:rPr>
              <w:fldChar w:fldCharType="separate"/>
            </w:r>
            <w:r w:rsidRPr="00B222F0">
              <w:rPr>
                <w:noProof/>
                <w:webHidden/>
                <w:sz w:val="24"/>
                <w:szCs w:val="24"/>
              </w:rPr>
              <w:t>5</w:t>
            </w:r>
            <w:r w:rsidRPr="00B222F0">
              <w:rPr>
                <w:noProof/>
                <w:webHidden/>
                <w:sz w:val="24"/>
                <w:szCs w:val="24"/>
              </w:rPr>
              <w:fldChar w:fldCharType="end"/>
            </w:r>
          </w:hyperlink>
        </w:p>
        <w:p w14:paraId="158E66AB" w14:textId="6BBD0E09" w:rsidR="00244DA2" w:rsidRPr="00B222F0" w:rsidRDefault="00244DA2" w:rsidP="00244DA2">
          <w:pPr>
            <w:pStyle w:val="Cuprins1"/>
            <w:tabs>
              <w:tab w:val="right" w:leader="dot" w:pos="9350"/>
            </w:tabs>
            <w:spacing w:line="360" w:lineRule="auto"/>
            <w:jc w:val="both"/>
            <w:rPr>
              <w:noProof/>
              <w:sz w:val="24"/>
              <w:szCs w:val="24"/>
            </w:rPr>
          </w:pPr>
          <w:hyperlink w:anchor="_Toc180142709" w:history="1">
            <w:r w:rsidRPr="00B222F0">
              <w:rPr>
                <w:rStyle w:val="Hyperlink"/>
                <w:noProof/>
                <w:sz w:val="24"/>
                <w:szCs w:val="24"/>
              </w:rPr>
              <w:t>Growth Potential</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_Toc180142709 \h </w:instrText>
            </w:r>
            <w:r w:rsidRPr="00B222F0">
              <w:rPr>
                <w:noProof/>
                <w:webHidden/>
                <w:sz w:val="24"/>
                <w:szCs w:val="24"/>
              </w:rPr>
            </w:r>
            <w:r w:rsidRPr="00B222F0">
              <w:rPr>
                <w:noProof/>
                <w:webHidden/>
                <w:sz w:val="24"/>
                <w:szCs w:val="24"/>
              </w:rPr>
              <w:fldChar w:fldCharType="separate"/>
            </w:r>
            <w:r w:rsidRPr="00B222F0">
              <w:rPr>
                <w:noProof/>
                <w:webHidden/>
                <w:sz w:val="24"/>
                <w:szCs w:val="24"/>
              </w:rPr>
              <w:t>7</w:t>
            </w:r>
            <w:r w:rsidRPr="00B222F0">
              <w:rPr>
                <w:noProof/>
                <w:webHidden/>
                <w:sz w:val="24"/>
                <w:szCs w:val="24"/>
              </w:rPr>
              <w:fldChar w:fldCharType="end"/>
            </w:r>
          </w:hyperlink>
        </w:p>
        <w:p w14:paraId="13056ECA" w14:textId="7538E472" w:rsidR="00244DA2" w:rsidRPr="00B222F0" w:rsidRDefault="00244DA2" w:rsidP="00244DA2">
          <w:pPr>
            <w:pStyle w:val="Cuprins1"/>
            <w:tabs>
              <w:tab w:val="right" w:leader="dot" w:pos="9350"/>
            </w:tabs>
            <w:spacing w:line="360" w:lineRule="auto"/>
            <w:jc w:val="both"/>
            <w:rPr>
              <w:noProof/>
              <w:sz w:val="24"/>
              <w:szCs w:val="24"/>
            </w:rPr>
          </w:pPr>
          <w:hyperlink w:anchor="_Toc180142710" w:history="1">
            <w:r w:rsidRPr="00B222F0">
              <w:rPr>
                <w:rStyle w:val="Hyperlink"/>
                <w:noProof/>
                <w:sz w:val="24"/>
                <w:szCs w:val="24"/>
              </w:rPr>
              <w:t>Financial Commitment to CSR</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_Toc180142710 \h </w:instrText>
            </w:r>
            <w:r w:rsidRPr="00B222F0">
              <w:rPr>
                <w:noProof/>
                <w:webHidden/>
                <w:sz w:val="24"/>
                <w:szCs w:val="24"/>
              </w:rPr>
            </w:r>
            <w:r w:rsidRPr="00B222F0">
              <w:rPr>
                <w:noProof/>
                <w:webHidden/>
                <w:sz w:val="24"/>
                <w:szCs w:val="24"/>
              </w:rPr>
              <w:fldChar w:fldCharType="separate"/>
            </w:r>
            <w:r w:rsidRPr="00B222F0">
              <w:rPr>
                <w:noProof/>
                <w:webHidden/>
                <w:sz w:val="24"/>
                <w:szCs w:val="24"/>
              </w:rPr>
              <w:t>8</w:t>
            </w:r>
            <w:r w:rsidRPr="00B222F0">
              <w:rPr>
                <w:noProof/>
                <w:webHidden/>
                <w:sz w:val="24"/>
                <w:szCs w:val="24"/>
              </w:rPr>
              <w:fldChar w:fldCharType="end"/>
            </w:r>
          </w:hyperlink>
        </w:p>
        <w:p w14:paraId="5277E57E" w14:textId="2A5F61A2" w:rsidR="00244DA2" w:rsidRPr="00B222F0" w:rsidRDefault="00244DA2" w:rsidP="00244DA2">
          <w:pPr>
            <w:pStyle w:val="Cuprins1"/>
            <w:tabs>
              <w:tab w:val="right" w:leader="dot" w:pos="9350"/>
            </w:tabs>
            <w:spacing w:line="360" w:lineRule="auto"/>
            <w:jc w:val="both"/>
            <w:rPr>
              <w:noProof/>
              <w:sz w:val="24"/>
              <w:szCs w:val="24"/>
            </w:rPr>
          </w:pPr>
          <w:hyperlink w:anchor="_Toc180142711" w:history="1">
            <w:r w:rsidRPr="00B222F0">
              <w:rPr>
                <w:rStyle w:val="Hyperlink"/>
                <w:noProof/>
                <w:sz w:val="24"/>
                <w:szCs w:val="24"/>
              </w:rPr>
              <w:t>Recommendations</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_Toc180142711 \h </w:instrText>
            </w:r>
            <w:r w:rsidRPr="00B222F0">
              <w:rPr>
                <w:noProof/>
                <w:webHidden/>
                <w:sz w:val="24"/>
                <w:szCs w:val="24"/>
              </w:rPr>
            </w:r>
            <w:r w:rsidRPr="00B222F0">
              <w:rPr>
                <w:noProof/>
                <w:webHidden/>
                <w:sz w:val="24"/>
                <w:szCs w:val="24"/>
              </w:rPr>
              <w:fldChar w:fldCharType="separate"/>
            </w:r>
            <w:r w:rsidRPr="00B222F0">
              <w:rPr>
                <w:noProof/>
                <w:webHidden/>
                <w:sz w:val="24"/>
                <w:szCs w:val="24"/>
              </w:rPr>
              <w:t>10</w:t>
            </w:r>
            <w:r w:rsidRPr="00B222F0">
              <w:rPr>
                <w:noProof/>
                <w:webHidden/>
                <w:sz w:val="24"/>
                <w:szCs w:val="24"/>
              </w:rPr>
              <w:fldChar w:fldCharType="end"/>
            </w:r>
          </w:hyperlink>
        </w:p>
        <w:p w14:paraId="5CABEFC2" w14:textId="2BB2AE05" w:rsidR="00244DA2" w:rsidRPr="00B222F0" w:rsidRDefault="00244DA2" w:rsidP="00244DA2">
          <w:pPr>
            <w:pStyle w:val="Cuprins1"/>
            <w:tabs>
              <w:tab w:val="right" w:leader="dot" w:pos="9350"/>
            </w:tabs>
            <w:spacing w:line="360" w:lineRule="auto"/>
            <w:jc w:val="both"/>
            <w:rPr>
              <w:noProof/>
              <w:sz w:val="24"/>
              <w:szCs w:val="24"/>
            </w:rPr>
          </w:pPr>
          <w:hyperlink w:anchor="_Toc180142712" w:history="1">
            <w:r w:rsidRPr="00B222F0">
              <w:rPr>
                <w:rStyle w:val="Hyperlink"/>
                <w:noProof/>
                <w:sz w:val="24"/>
                <w:szCs w:val="24"/>
              </w:rPr>
              <w:t>Conclusion</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_Toc180142712 \h </w:instrText>
            </w:r>
            <w:r w:rsidRPr="00B222F0">
              <w:rPr>
                <w:noProof/>
                <w:webHidden/>
                <w:sz w:val="24"/>
                <w:szCs w:val="24"/>
              </w:rPr>
            </w:r>
            <w:r w:rsidRPr="00B222F0">
              <w:rPr>
                <w:noProof/>
                <w:webHidden/>
                <w:sz w:val="24"/>
                <w:szCs w:val="24"/>
              </w:rPr>
              <w:fldChar w:fldCharType="separate"/>
            </w:r>
            <w:r w:rsidRPr="00B222F0">
              <w:rPr>
                <w:noProof/>
                <w:webHidden/>
                <w:sz w:val="24"/>
                <w:szCs w:val="24"/>
              </w:rPr>
              <w:t>10</w:t>
            </w:r>
            <w:r w:rsidRPr="00B222F0">
              <w:rPr>
                <w:noProof/>
                <w:webHidden/>
                <w:sz w:val="24"/>
                <w:szCs w:val="24"/>
              </w:rPr>
              <w:fldChar w:fldCharType="end"/>
            </w:r>
          </w:hyperlink>
        </w:p>
        <w:p w14:paraId="4B19CF46" w14:textId="31CA17AB" w:rsidR="00244DA2" w:rsidRPr="00B222F0" w:rsidRDefault="00244DA2" w:rsidP="00244DA2">
          <w:pPr>
            <w:pStyle w:val="Cuprins1"/>
            <w:tabs>
              <w:tab w:val="right" w:leader="dot" w:pos="9350"/>
            </w:tabs>
            <w:spacing w:line="360" w:lineRule="auto"/>
            <w:jc w:val="both"/>
            <w:rPr>
              <w:noProof/>
              <w:sz w:val="24"/>
              <w:szCs w:val="24"/>
            </w:rPr>
          </w:pPr>
          <w:hyperlink w:anchor="_Toc180142713" w:history="1">
            <w:r w:rsidRPr="00B222F0">
              <w:rPr>
                <w:rStyle w:val="Hyperlink"/>
                <w:noProof/>
                <w:sz w:val="24"/>
                <w:szCs w:val="24"/>
              </w:rPr>
              <w:t>References</w:t>
            </w:r>
            <w:r w:rsidRPr="00B222F0">
              <w:rPr>
                <w:noProof/>
                <w:webHidden/>
                <w:sz w:val="24"/>
                <w:szCs w:val="24"/>
              </w:rPr>
              <w:tab/>
            </w:r>
            <w:r w:rsidRPr="00B222F0">
              <w:rPr>
                <w:noProof/>
                <w:webHidden/>
                <w:sz w:val="24"/>
                <w:szCs w:val="24"/>
              </w:rPr>
              <w:fldChar w:fldCharType="begin"/>
            </w:r>
            <w:r w:rsidRPr="00B222F0">
              <w:rPr>
                <w:noProof/>
                <w:webHidden/>
                <w:sz w:val="24"/>
                <w:szCs w:val="24"/>
              </w:rPr>
              <w:instrText xml:space="preserve"> PAGEREF _Toc180142713 \h </w:instrText>
            </w:r>
            <w:r w:rsidRPr="00B222F0">
              <w:rPr>
                <w:noProof/>
                <w:webHidden/>
                <w:sz w:val="24"/>
                <w:szCs w:val="24"/>
              </w:rPr>
            </w:r>
            <w:r w:rsidRPr="00B222F0">
              <w:rPr>
                <w:noProof/>
                <w:webHidden/>
                <w:sz w:val="24"/>
                <w:szCs w:val="24"/>
              </w:rPr>
              <w:fldChar w:fldCharType="separate"/>
            </w:r>
            <w:r w:rsidRPr="00B222F0">
              <w:rPr>
                <w:noProof/>
                <w:webHidden/>
                <w:sz w:val="24"/>
                <w:szCs w:val="24"/>
              </w:rPr>
              <w:t>11</w:t>
            </w:r>
            <w:r w:rsidRPr="00B222F0">
              <w:rPr>
                <w:noProof/>
                <w:webHidden/>
                <w:sz w:val="24"/>
                <w:szCs w:val="24"/>
              </w:rPr>
              <w:fldChar w:fldCharType="end"/>
            </w:r>
          </w:hyperlink>
        </w:p>
        <w:p w14:paraId="21CC778F" w14:textId="30FACBAC" w:rsidR="00244DA2" w:rsidRPr="00B222F0" w:rsidRDefault="00244DA2">
          <w:pPr>
            <w:rPr>
              <w:sz w:val="24"/>
              <w:szCs w:val="24"/>
            </w:rPr>
          </w:pPr>
          <w:r w:rsidRPr="00B222F0">
            <w:rPr>
              <w:b/>
              <w:bCs/>
              <w:noProof/>
              <w:sz w:val="24"/>
              <w:szCs w:val="24"/>
            </w:rPr>
            <w:fldChar w:fldCharType="end"/>
          </w:r>
        </w:p>
      </w:sdtContent>
    </w:sdt>
    <w:p w14:paraId="61054CBF" w14:textId="77777777" w:rsidR="00244DA2" w:rsidRPr="00B222F0" w:rsidRDefault="00244DA2">
      <w:pPr>
        <w:rPr>
          <w:b/>
          <w:sz w:val="24"/>
          <w:szCs w:val="24"/>
        </w:rPr>
      </w:pPr>
      <w:r w:rsidRPr="00B222F0">
        <w:rPr>
          <w:sz w:val="24"/>
          <w:szCs w:val="24"/>
        </w:rPr>
        <w:br w:type="page"/>
      </w:r>
    </w:p>
    <w:p w14:paraId="5DBA7EC0" w14:textId="10E94B95" w:rsidR="00F61E2F" w:rsidRPr="00B222F0" w:rsidRDefault="00000000" w:rsidP="00244DA2">
      <w:pPr>
        <w:pStyle w:val="Titlu1"/>
        <w:rPr>
          <w:rFonts w:ascii="Arial" w:hAnsi="Arial"/>
          <w:sz w:val="24"/>
          <w:szCs w:val="24"/>
        </w:rPr>
      </w:pPr>
      <w:bookmarkStart w:id="0" w:name="_Toc180142706"/>
      <w:r w:rsidRPr="00B222F0">
        <w:rPr>
          <w:rFonts w:ascii="Arial" w:hAnsi="Arial"/>
          <w:sz w:val="24"/>
          <w:szCs w:val="24"/>
        </w:rPr>
        <w:lastRenderedPageBreak/>
        <w:t>Introduction</w:t>
      </w:r>
      <w:bookmarkEnd w:id="0"/>
      <w:r w:rsidRPr="00B222F0">
        <w:rPr>
          <w:rFonts w:ascii="Arial" w:hAnsi="Arial"/>
          <w:sz w:val="24"/>
          <w:szCs w:val="24"/>
        </w:rPr>
        <w:t xml:space="preserve"> </w:t>
      </w:r>
    </w:p>
    <w:p w14:paraId="569D703A"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The hospitality industry has an important function in the tourism sector to satisfy the needs of the customers by providing a range of products such as different degrees of accommodation facilities, eating places and services. Two of the market giants in this line of production are Shangri-La Hotels for the higher-end market and Premier Inn Hotels for the lower-end market. in the context of luxury, Shangri-La Hotels. It is a luxury hotelier that has been providing services that are mainly high-end and located in prime locations as opposed to Premier Inn which offers customers an affordable, quality lodging solution with its main markets in the United Kingdom. The following report is a critical analysis and comparative evaluation of the two hotel groups regarding total management, covering such aspects as total income, market position, growth potential, and the degree of financial commitment to CSR. </w:t>
      </w:r>
    </w:p>
    <w:p w14:paraId="70E75129" w14:textId="77777777" w:rsidR="00F61E2F" w:rsidRPr="00B222F0" w:rsidRDefault="00000000" w:rsidP="00244DA2">
      <w:pPr>
        <w:pStyle w:val="Titlu1"/>
        <w:rPr>
          <w:rFonts w:ascii="Arial" w:hAnsi="Arial"/>
          <w:sz w:val="24"/>
          <w:szCs w:val="24"/>
        </w:rPr>
      </w:pPr>
      <w:bookmarkStart w:id="1" w:name="_Toc180142707"/>
      <w:r w:rsidRPr="00B222F0">
        <w:rPr>
          <w:rFonts w:ascii="Arial" w:hAnsi="Arial"/>
          <w:sz w:val="24"/>
          <w:szCs w:val="24"/>
        </w:rPr>
        <w:t>Total Revenue Comparison</w:t>
      </w:r>
      <w:bookmarkEnd w:id="1"/>
    </w:p>
    <w:p w14:paraId="752187E7"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Total revenue is another central financial figure for both Shangri-La Hotels and Premier Inn Hotels because it explains the organisation’s ability to deliver revenues from multiple types of operations, such as accommodation, eating places, and other services (Pereira-Moliner et al., 2021). Unfortunately, because of the market segmentation, where Shangri-La is a luxury hotel and Premier Inn is an economy hotel, the two companies have different structural revenue and performance (Pereira-Moliner et al., 2021).</w:t>
      </w:r>
    </w:p>
    <w:p w14:paraId="2267AC6B"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Shangri-La Hotels</w:t>
      </w:r>
    </w:p>
    <w:p w14:paraId="7E4E5651"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Shangri-La is in the strategic business segment of luxury, which means it delivers services at higher prices. By the operation of February 2022, Shangri-La ranging from £200 to £350 consequent to the type of locale and property regarding its ADR while its RevPAR influencing by the property was approximately £170 (IHG, 2023). B, how the revenue is distributed in the group: about 60% of the total revenue is attributed to room booking; 30% to food consumption in the hotel and restaurant business; the remaining 10% for the other services provided including SPA and event hosting.</w:t>
      </w:r>
    </w:p>
    <w:p w14:paraId="1E524C47"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The total UK revenue recovered from the COVID-19 pandemic dip for Shangri-La stood at £180 million in 2022 (Nevett, 2023). The global annual revenue of Shangri-La in the pre-COVID world was over £2.3 billion, however, the revenue in the year 2020 had </w:t>
      </w:r>
      <w:r w:rsidRPr="00B222F0">
        <w:rPr>
          <w:rFonts w:eastAsia="Times New Roman"/>
          <w:sz w:val="24"/>
          <w:szCs w:val="24"/>
        </w:rPr>
        <w:lastRenderedPageBreak/>
        <w:t>reduced by over 45% mainly due to a decrease in customer travel and tourism industry due to COVID restrictions, job losses and reduction in customer’s disposable income leading to reduced expenditure on luxury goods which has badly impacted the luxury hotel business of Shangri-La (Nevett, 2023). Despite its subsequent rebound, Shangri-La is still highly sensitive to changes in the international tourist market and the world economy because its primary target market is international high-end tourists.</w:t>
      </w:r>
    </w:p>
    <w:p w14:paraId="5644F42B"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Premier Inn Hotels</w:t>
      </w:r>
    </w:p>
    <w:p w14:paraId="2E57EE30"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Marriot has its competitors in the low-end segment in the home country, including the largest hotel chain in the UK, Premier Inn. In 2022, Premier Inn’s ADR was about £60-£85 based on location but has a steady occupancy of roughly 80% (Statista, 2024). The source of revenue for Premier Inn is based on the turnover model ensuring that they have large markets in the United Kingdom and Germany. The RevPAR was around £50 in 2022 for the company.</w:t>
      </w:r>
    </w:p>
    <w:p w14:paraId="7E5975BC"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If we discuss the overall sales figure, the operating sales in the United Kingdom during 2022 amounted to £ 1.4 billion, out of which 75 % is the income from selling rooms and the rest of the 20 % is the total sales from food and beverages selling from the restaurants that are there in the premises of Premier Inn (Statista, 2024). The remaining 5% of the firm’s revenue was collected from other related services like parking and meeting room facilities. Domestic hotel business also outperformed international business in the course of the pandemic, and the focus on the domestic market gave Premier Inn an advantage over many of its competitors in the luxury category. The following year, the company registered a recovery of its revenues to 18% after having a contraction of 33% in 2020 (Statista, 2024).</w:t>
      </w:r>
    </w:p>
    <w:p w14:paraId="4906A661" w14:textId="77777777" w:rsidR="00F61E2F" w:rsidRPr="00B222F0" w:rsidRDefault="00000000" w:rsidP="00244DA2">
      <w:pPr>
        <w:pStyle w:val="Titlu1"/>
        <w:rPr>
          <w:rFonts w:ascii="Arial" w:hAnsi="Arial"/>
          <w:sz w:val="24"/>
          <w:szCs w:val="24"/>
        </w:rPr>
      </w:pPr>
      <w:bookmarkStart w:id="2" w:name="_Toc180142708"/>
      <w:r w:rsidRPr="00B222F0">
        <w:rPr>
          <w:rFonts w:ascii="Arial" w:hAnsi="Arial"/>
          <w:sz w:val="24"/>
          <w:szCs w:val="24"/>
        </w:rPr>
        <w:t>Market Position</w:t>
      </w:r>
      <w:bookmarkEnd w:id="2"/>
    </w:p>
    <w:p w14:paraId="1F29C576"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Shangri-La is a luxury hotel player serving global markets with a particular focus on the Asia Pacific region, the Middle East and a few European cities such as London (Shangri-la Group, 2020). As it has been seen, the current market positioning of Shangri-La is principally focused on upgraded-class customers, business persons, and global tourist service seekers. In the UK The company’s brand image is represented by the Shangri-La at The Shard, London which is a landmark of the country (Shangri-la Group, 2020). </w:t>
      </w:r>
    </w:p>
    <w:p w14:paraId="2088FAC3" w14:textId="77777777" w:rsidR="00F61E2F" w:rsidRPr="00B222F0" w:rsidRDefault="00000000">
      <w:pPr>
        <w:spacing w:line="360" w:lineRule="auto"/>
        <w:jc w:val="both"/>
        <w:rPr>
          <w:rFonts w:eastAsia="Times New Roman"/>
          <w:b/>
          <w:sz w:val="24"/>
          <w:szCs w:val="24"/>
        </w:rPr>
      </w:pPr>
      <w:r w:rsidRPr="00B222F0">
        <w:rPr>
          <w:rFonts w:eastAsia="Times New Roman"/>
          <w:b/>
          <w:noProof/>
          <w:sz w:val="24"/>
          <w:szCs w:val="24"/>
        </w:rPr>
        <w:lastRenderedPageBreak/>
        <w:drawing>
          <wp:inline distT="114300" distB="114300" distL="114300" distR="114300" wp14:anchorId="69341C48" wp14:editId="0F2DDD09">
            <wp:extent cx="5943600" cy="42164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4216400"/>
                    </a:xfrm>
                    <a:prstGeom prst="rect">
                      <a:avLst/>
                    </a:prstGeom>
                    <a:ln w="25400">
                      <a:solidFill>
                        <a:srgbClr val="000000"/>
                      </a:solidFill>
                      <a:prstDash val="solid"/>
                    </a:ln>
                  </pic:spPr>
                </pic:pic>
              </a:graphicData>
            </a:graphic>
          </wp:inline>
        </w:drawing>
      </w:r>
    </w:p>
    <w:p w14:paraId="4208DBD6" w14:textId="77777777" w:rsidR="00F61E2F" w:rsidRPr="00B222F0" w:rsidRDefault="00000000">
      <w:pPr>
        <w:spacing w:line="360" w:lineRule="auto"/>
        <w:jc w:val="center"/>
        <w:rPr>
          <w:rFonts w:eastAsia="Times New Roman"/>
          <w:b/>
          <w:sz w:val="24"/>
          <w:szCs w:val="24"/>
        </w:rPr>
      </w:pPr>
      <w:r w:rsidRPr="00B222F0">
        <w:rPr>
          <w:rFonts w:eastAsia="Times New Roman"/>
          <w:b/>
          <w:sz w:val="24"/>
          <w:szCs w:val="24"/>
        </w:rPr>
        <w:t xml:space="preserve">Figure 1: Market position of luxury hotel brands </w:t>
      </w:r>
    </w:p>
    <w:p w14:paraId="68E68824" w14:textId="77777777" w:rsidR="00F61E2F" w:rsidRPr="00B222F0" w:rsidRDefault="00000000">
      <w:pPr>
        <w:spacing w:line="360" w:lineRule="auto"/>
        <w:jc w:val="center"/>
        <w:rPr>
          <w:rFonts w:eastAsia="Times New Roman"/>
          <w:sz w:val="24"/>
          <w:szCs w:val="24"/>
        </w:rPr>
      </w:pPr>
      <w:r w:rsidRPr="00B222F0">
        <w:rPr>
          <w:rFonts w:eastAsia="Times New Roman"/>
          <w:sz w:val="24"/>
          <w:szCs w:val="24"/>
        </w:rPr>
        <w:t>(Source: Statista, 2022)</w:t>
      </w:r>
    </w:p>
    <w:p w14:paraId="6F01C064"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Up to the year 2022, Shangri-La operated with a market share of about 1% among the luxury hotel chain systems (IHG, 2023). The Shangri-La accounts for a low market share in the UK and they are generally established in the higher end and limited to key destinations in cities like London. Its brand image is associated with classy, professional and selective services, which are reflective of its high-profile customers. In regards to customers, many of Shangri-La’s consumers are global visitors, most especially Asian, European, and North American patrons. </w:t>
      </w:r>
    </w:p>
    <w:p w14:paraId="313EAB13"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While Accor owns a chain of hotels such as Formula 1, TPRE owns a sub-brand like Premier Inn which highly competes with Formula 1 in the UK budget hotel market. Premier Inn was enjoying 7% of the market share in the UK hotel industry and dominating 22% in the budget hotel segment in 2022 (Financial Times, 2018). Premier Inn is the UK’s largest hotel brand in terms of the number of hotels currently flying over 800 hotels and more than 82, 000 rooms.</w:t>
      </w:r>
    </w:p>
    <w:p w14:paraId="4C35BD5C" w14:textId="3F2F729C" w:rsidR="00F61E2F" w:rsidRPr="00B222F0" w:rsidRDefault="00000000">
      <w:pPr>
        <w:spacing w:line="360" w:lineRule="auto"/>
        <w:jc w:val="both"/>
        <w:rPr>
          <w:rFonts w:eastAsia="Times New Roman"/>
          <w:sz w:val="24"/>
          <w:szCs w:val="24"/>
        </w:rPr>
      </w:pPr>
      <w:r w:rsidRPr="00B222F0">
        <w:rPr>
          <w:rFonts w:eastAsia="Times New Roman"/>
          <w:sz w:val="24"/>
          <w:szCs w:val="24"/>
        </w:rPr>
        <w:lastRenderedPageBreak/>
        <w:t xml:space="preserve">Also, reading about this company, one can conclude that it focuses on British customers, families, business people using cheap offers, and tourists. The strength is in the fact that it provides a similar service at all outlets: comfortable and conveniently adapted spaces and at reasonable prices. This market has been seized by Whitbread PLC, the parent company of Premier Inn, which has grown rapidly not only in the UK but also in Germany where Premier Inn currently has 51 hotels and intends to open 68 more by 2024 in what is expected to be a burgeoning German market for budget hotels (Financial Times, 2018). </w:t>
      </w:r>
    </w:p>
    <w:p w14:paraId="44AE5ADF" w14:textId="77777777" w:rsidR="00F61E2F" w:rsidRPr="00B222F0" w:rsidRDefault="00000000">
      <w:pPr>
        <w:spacing w:line="360" w:lineRule="auto"/>
        <w:jc w:val="both"/>
        <w:rPr>
          <w:rFonts w:eastAsia="Times New Roman"/>
          <w:b/>
          <w:i/>
          <w:sz w:val="24"/>
          <w:szCs w:val="24"/>
        </w:rPr>
      </w:pPr>
      <w:r w:rsidRPr="00B222F0">
        <w:rPr>
          <w:rFonts w:eastAsia="Times New Roman"/>
          <w:b/>
          <w:i/>
          <w:sz w:val="24"/>
          <w:szCs w:val="24"/>
        </w:rPr>
        <w:t>Market Position Comparison</w:t>
      </w:r>
    </w:p>
    <w:p w14:paraId="6FE0FECA"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Market Share: Shangri-La has only 1% of the market share in the luxury segment globally, on the other hand, Premier Inn has 22% of the market share in the UK in the economy segment (Cognitive Market Research, 2023).</w:t>
      </w:r>
    </w:p>
    <w:p w14:paraId="259B8D29"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Geographic Presence: Shangri-La is a global brand with a focus on the luxury segment, the key hotel is located in London. On the other hand, Premier Inn is relatively widespread across the United Kingdom with over 800 hotels and aims at expansion in Germany because it operates in the low-cost market segment (Cognitive Market Research, 2023).</w:t>
      </w:r>
    </w:p>
    <w:p w14:paraId="5B832872"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Customer Demographics: Shangri-La mainly targets global wealthy guests, while Premier Inn targets only national, cost-sensitive customers (Roll, 2019). Due to this Premier Inn is less vulnerable to global travel bans while Shangri-La, which heavily relies on international luxury tourists, is most likely to be affected more by market risks, especially during economic downturns or travel restrictions.</w:t>
      </w:r>
    </w:p>
    <w:p w14:paraId="51B3935A"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Brand Perception: Shangri-La maintains the image of the hotel as luxurious and belonging to the elite, thus the Hotel has a limited market reach but commands high travelling customers (Roll, 2019). On the other hand, Premier Inn is regarded as a no-frills brand for the majority, has very loyal customers, and a brand familiarity among the population.</w:t>
      </w:r>
    </w:p>
    <w:p w14:paraId="7128B9C9" w14:textId="77777777" w:rsidR="00F61E2F" w:rsidRPr="00B222F0" w:rsidRDefault="00000000" w:rsidP="00244DA2">
      <w:pPr>
        <w:pStyle w:val="Titlu1"/>
        <w:rPr>
          <w:rFonts w:ascii="Arial" w:hAnsi="Arial"/>
          <w:sz w:val="24"/>
          <w:szCs w:val="24"/>
        </w:rPr>
      </w:pPr>
      <w:bookmarkStart w:id="3" w:name="_Toc180142709"/>
      <w:r w:rsidRPr="00B222F0">
        <w:rPr>
          <w:rFonts w:ascii="Arial" w:hAnsi="Arial"/>
          <w:sz w:val="24"/>
          <w:szCs w:val="24"/>
        </w:rPr>
        <w:t>Growth Potential</w:t>
      </w:r>
      <w:bookmarkEnd w:id="3"/>
      <w:r w:rsidRPr="00B222F0">
        <w:rPr>
          <w:rFonts w:ascii="Arial" w:hAnsi="Arial"/>
          <w:sz w:val="24"/>
          <w:szCs w:val="24"/>
        </w:rPr>
        <w:t xml:space="preserve"> </w:t>
      </w:r>
    </w:p>
    <w:p w14:paraId="426C48E8"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It competed in the luxury segment, which has its advantages and disadvantages associated with its development. Hence luxury hotel market is anticipated to expand continuously because of the higher spending power of tourists globally especially in the Asia-Pacific and Middle Eastern countries (Zhou, 2020). Today, Shangri-La has more than 100 hotels around the world, primarily in Asia and Arabic countries, but it has few </w:t>
      </w:r>
      <w:r w:rsidRPr="00B222F0">
        <w:rPr>
          <w:rFonts w:eastAsia="Times New Roman"/>
          <w:sz w:val="24"/>
          <w:szCs w:val="24"/>
        </w:rPr>
        <w:lastRenderedPageBreak/>
        <w:t>establishments in Europe. The luxury hotel market is expected to register a growth rate of 4.7 % through a Compound Annual Growth Rate (CAGR) from 2023 to 2030 due to high growth in travel across borders and growing discretionary income, particularly amongst the nascent economies (Zhou, 2020).</w:t>
      </w:r>
    </w:p>
    <w:p w14:paraId="4F35D3E8"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The business growth planning done by Premier Inn is predominantly organic – the chain’s expansion inside the United Kingdom and the company’s expansion of the international market into Europe especially in Germany (Gill, 2024). Further, Premier Inn is the largest chain of Bridging Hotels and it believes there remain ample opportunities in the growth sectors that remain largely untapped. It is worth explaining the company’s plans to increase more than 1,500 room capacity in the UK by 2024 as a clear sign of its strategic desire to further cement its already dominant position in the domestic market (Gill, 2024). This competitiveness can be seen in one of the significant growth strategies of Premier Inn and this is in Germany the firm has noted there is a growth opportunity (Gill, 2024). At the moment, Premier Inn has 51 hotels in Germany and is aiming to reach over 120 hotels in the country by 2025. </w:t>
      </w:r>
    </w:p>
    <w:p w14:paraId="5F0F4D23" w14:textId="77777777" w:rsidR="00F61E2F" w:rsidRPr="00B222F0" w:rsidRDefault="00000000">
      <w:pPr>
        <w:spacing w:line="360" w:lineRule="auto"/>
        <w:jc w:val="both"/>
        <w:rPr>
          <w:rFonts w:eastAsia="Times New Roman"/>
          <w:b/>
          <w:i/>
          <w:sz w:val="24"/>
          <w:szCs w:val="24"/>
        </w:rPr>
      </w:pPr>
      <w:r w:rsidRPr="00B222F0">
        <w:rPr>
          <w:rFonts w:eastAsia="Times New Roman"/>
          <w:b/>
          <w:i/>
          <w:sz w:val="24"/>
          <w:szCs w:val="24"/>
        </w:rPr>
        <w:t>Growth Potential Comparison</w:t>
      </w:r>
    </w:p>
    <w:p w14:paraId="690F1A18"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Geographic Expansion: In terms of matters of growth opportunity, the key strengths include Shangri-La’s potential to grow selectively in first-tier emerging Asia-Pacific and Middle Eastern luxury markets, and possibly second or third-tier European and North American cities that are likely to be underserved by luxury hotels (Hung et al., 2021). While Whitbread Plc of UK, the parent company of Premier Inn, has a clear plan for growing its outlets in the UK and Germany, the company’s primary objective appears to capture more share of the low-priced hotel market in Europe (Hung et al., 2021).</w:t>
      </w:r>
    </w:p>
    <w:p w14:paraId="0368F785"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Market Opportunities: The opportunity I see in Shangri-La is that there is a growing emphasis on travel experience products, including wellness tourism and adventure tourism (Liu, Zhou and Sun, 2023). The UK-based company, Premier Inn seems to be adequately placed to benefit from the ongoing domestic tourism trends and the general appetite to go for cheap vacations within Europe.</w:t>
      </w:r>
    </w:p>
    <w:p w14:paraId="6CEC52E6"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Barriers to Growth: There are many entry obstacles for Shangri-La including the fact that luxury hotels require huge investments and construction costs, downturns of high-end travel and heavy dependence on tourist traffic (Nguyen, 2021).</w:t>
      </w:r>
    </w:p>
    <w:p w14:paraId="41353A7D" w14:textId="77777777" w:rsidR="00F61E2F" w:rsidRPr="00B222F0" w:rsidRDefault="00000000" w:rsidP="00244DA2">
      <w:pPr>
        <w:pStyle w:val="Titlu1"/>
        <w:rPr>
          <w:rFonts w:ascii="Arial" w:hAnsi="Arial"/>
          <w:sz w:val="24"/>
          <w:szCs w:val="24"/>
        </w:rPr>
      </w:pPr>
      <w:bookmarkStart w:id="4" w:name="_Toc180142710"/>
      <w:r w:rsidRPr="00B222F0">
        <w:rPr>
          <w:rFonts w:ascii="Arial" w:hAnsi="Arial"/>
          <w:sz w:val="24"/>
          <w:szCs w:val="24"/>
        </w:rPr>
        <w:lastRenderedPageBreak/>
        <w:t>Financial Commitment to CSR</w:t>
      </w:r>
      <w:bookmarkEnd w:id="4"/>
    </w:p>
    <w:p w14:paraId="3211ADD8"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CSR has gained significant significance in the hospitality industry since people and spectators ensure that organizations balance the top-down economic benefits and social and environmental impacts (Cao et al., 2024). CSR programmes, Shangri-La Hotels have CSR programmes but the strategies adopted are different from those adopted by Premier Inn Hotels about their strategies depending on their market segments and corporate strategies.</w:t>
      </w:r>
    </w:p>
    <w:p w14:paraId="6B47088A" w14:textId="77777777" w:rsidR="00F61E2F" w:rsidRPr="00B222F0" w:rsidRDefault="00000000">
      <w:pPr>
        <w:spacing w:line="360" w:lineRule="auto"/>
        <w:jc w:val="center"/>
        <w:rPr>
          <w:rFonts w:eastAsia="Times New Roman"/>
          <w:sz w:val="24"/>
          <w:szCs w:val="24"/>
        </w:rPr>
      </w:pPr>
      <w:r w:rsidRPr="00B222F0">
        <w:rPr>
          <w:rFonts w:eastAsia="Times New Roman"/>
          <w:noProof/>
          <w:sz w:val="24"/>
          <w:szCs w:val="24"/>
        </w:rPr>
        <w:drawing>
          <wp:inline distT="114300" distB="114300" distL="114300" distR="114300" wp14:anchorId="6D8564CE" wp14:editId="31791811">
            <wp:extent cx="4476750" cy="27622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476750" cy="2762250"/>
                    </a:xfrm>
                    <a:prstGeom prst="rect">
                      <a:avLst/>
                    </a:prstGeom>
                    <a:ln w="25400">
                      <a:solidFill>
                        <a:srgbClr val="000000"/>
                      </a:solidFill>
                      <a:prstDash val="solid"/>
                    </a:ln>
                  </pic:spPr>
                </pic:pic>
              </a:graphicData>
            </a:graphic>
          </wp:inline>
        </w:drawing>
      </w:r>
    </w:p>
    <w:p w14:paraId="1F1F8481" w14:textId="77777777" w:rsidR="00F61E2F" w:rsidRPr="00B222F0" w:rsidRDefault="00000000">
      <w:pPr>
        <w:spacing w:line="360" w:lineRule="auto"/>
        <w:jc w:val="center"/>
        <w:rPr>
          <w:rFonts w:eastAsia="Times New Roman"/>
          <w:b/>
          <w:bCs/>
          <w:sz w:val="24"/>
          <w:szCs w:val="24"/>
        </w:rPr>
      </w:pPr>
      <w:r w:rsidRPr="00B222F0">
        <w:rPr>
          <w:rFonts w:eastAsia="Times New Roman"/>
          <w:b/>
          <w:bCs/>
          <w:sz w:val="24"/>
          <w:szCs w:val="24"/>
        </w:rPr>
        <w:t>Figure 2: Shangri-La Xian supports the Dan Yang School</w:t>
      </w:r>
    </w:p>
    <w:p w14:paraId="172B11C5" w14:textId="77777777" w:rsidR="00F61E2F" w:rsidRPr="00B222F0" w:rsidRDefault="00000000">
      <w:pPr>
        <w:spacing w:line="360" w:lineRule="auto"/>
        <w:jc w:val="center"/>
        <w:rPr>
          <w:rFonts w:eastAsia="Times New Roman"/>
          <w:sz w:val="24"/>
          <w:szCs w:val="24"/>
        </w:rPr>
      </w:pPr>
      <w:r w:rsidRPr="00B222F0">
        <w:rPr>
          <w:rFonts w:eastAsia="Times New Roman"/>
          <w:sz w:val="24"/>
          <w:szCs w:val="24"/>
        </w:rPr>
        <w:t>(Source: Shangri-la.com, 2012)</w:t>
      </w:r>
    </w:p>
    <w:p w14:paraId="6A55824A"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Shangri-La Xian runs a school called Dan Yang that caters for schooling to close to 200 children. The school is located in one of the poorest farming districts in China. Up to the year 2010 (Shangri-la.com, 2012), Dan Yang School was characterized by so many problems, among them being very aged facilities and the absence of developmental tools, including a reading room, computers, and proper lighting. The hotel upgraded school facilities targeting to create a conducive learning environment within their walls in the first year of support.</w:t>
      </w:r>
    </w:p>
    <w:p w14:paraId="6D7434E9"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Environmental responsibility and local community involvement constitute an important aspect of the company’s brand guidelines for Shangri-La Hotels (Mahmood and Bashir, 2020). Many of the CSR activities of Shangri-La are steered by the company’s ‘Sustainability, Environment, Health and Safety (SEHS)’ policy (Mahmood and Bashir, </w:t>
      </w:r>
      <w:r w:rsidRPr="00B222F0">
        <w:rPr>
          <w:rFonts w:eastAsia="Times New Roman"/>
          <w:sz w:val="24"/>
          <w:szCs w:val="24"/>
        </w:rPr>
        <w:lastRenderedPageBreak/>
        <w:t xml:space="preserve">2020). This company has made environmental conservation pledges through such causes as carbon footprints, waste, and also the support of biodiversity through the “Sanctuary” which is an endangered species protective program where the company’s operated hotels are located (Andersen, Åberg and Bujac, 2023). A also big focus on CSR can be seen with Premier Inn, a Whitbread PLC company and the main focus areas include sustainability, supporting the community and the welfare of employees. Whilst, the ambition of Premier Inn’s corporate social responsibility program “Force for Good” is to eliminate carbon emissions, send zero waste to landfill and use only renewable electricity by 2025 (Andersen, Åberg and Bujac, 2023). The firm has also extended corporate responsibility by raising money for Great Ormond Street Hospital as well as donating to local food banks and other charities for the homeless (Andersen, Åberg and Bujac, 2023). Whitbread spent £13 million on CSR in the fiscal year ending 2022, which is equal to 1 per cent of the group revenue. </w:t>
      </w:r>
    </w:p>
    <w:p w14:paraId="1E1EBB4B" w14:textId="77777777" w:rsidR="00F61E2F" w:rsidRPr="00B222F0" w:rsidRDefault="00000000" w:rsidP="00244DA2">
      <w:pPr>
        <w:pStyle w:val="Titlu1"/>
        <w:rPr>
          <w:rFonts w:ascii="Arial" w:hAnsi="Arial"/>
          <w:sz w:val="24"/>
          <w:szCs w:val="24"/>
        </w:rPr>
      </w:pPr>
      <w:bookmarkStart w:id="5" w:name="_Toc180142711"/>
      <w:r w:rsidRPr="00B222F0">
        <w:rPr>
          <w:rFonts w:ascii="Arial" w:hAnsi="Arial"/>
          <w:sz w:val="24"/>
          <w:szCs w:val="24"/>
        </w:rPr>
        <w:t>Recommendations</w:t>
      </w:r>
      <w:bookmarkEnd w:id="5"/>
    </w:p>
    <w:p w14:paraId="1C03EE69"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To improve CSR strategy, it is suggested that Shangri-La Hotels and Resorts should develop environmental sustainability in Europe, especially in cutting its carbon emissions within its city-centric luxury hotels (Yu, 2022). Moreover, the increased cooperation with international environmental organizations will also foster the brand to improve the CSR image and attract travellers concerned with the environment (Yu, 2022).</w:t>
      </w:r>
    </w:p>
    <w:p w14:paraId="5DDDF488"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Thus, to increase its Force for Good programme, Premier Inn needs to allocate higher levels of capital to renewable energy investment across the UK and German settings (Filimonau and Magklaropoulou, 2020). Also, mounting community-engaging programs in new environments like Germany will blend with cultures and would boost the brand’s corporate social responsibility.</w:t>
      </w:r>
    </w:p>
    <w:p w14:paraId="26FADCB3" w14:textId="77777777" w:rsidR="00F61E2F" w:rsidRPr="00B222F0" w:rsidRDefault="00000000" w:rsidP="00244DA2">
      <w:pPr>
        <w:pStyle w:val="Titlu1"/>
        <w:rPr>
          <w:rFonts w:ascii="Arial" w:hAnsi="Arial"/>
          <w:sz w:val="24"/>
          <w:szCs w:val="24"/>
        </w:rPr>
      </w:pPr>
      <w:bookmarkStart w:id="6" w:name="_Toc180142712"/>
      <w:r w:rsidRPr="00B222F0">
        <w:rPr>
          <w:rFonts w:ascii="Arial" w:hAnsi="Arial"/>
          <w:sz w:val="24"/>
          <w:szCs w:val="24"/>
        </w:rPr>
        <w:t>Conclusion</w:t>
      </w:r>
      <w:bookmarkEnd w:id="6"/>
      <w:r w:rsidRPr="00B222F0">
        <w:rPr>
          <w:rFonts w:ascii="Arial" w:hAnsi="Arial"/>
          <w:sz w:val="24"/>
          <w:szCs w:val="24"/>
        </w:rPr>
        <w:t xml:space="preserve"> </w:t>
      </w:r>
    </w:p>
    <w:p w14:paraId="00F189F6" w14:textId="77777777" w:rsidR="00F61E2F" w:rsidRPr="00B222F0" w:rsidRDefault="00000000">
      <w:pPr>
        <w:spacing w:line="360" w:lineRule="auto"/>
        <w:jc w:val="both"/>
        <w:rPr>
          <w:rFonts w:eastAsia="Times New Roman"/>
          <w:sz w:val="24"/>
          <w:szCs w:val="24"/>
        </w:rPr>
      </w:pPr>
      <w:r w:rsidRPr="00B222F0">
        <w:rPr>
          <w:rFonts w:eastAsia="Times New Roman"/>
          <w:sz w:val="24"/>
          <w:szCs w:val="24"/>
        </w:rPr>
        <w:t xml:space="preserve">In conclusion, there are profound differences in the strategic orientations and financial performances of Shangri-La Hotels, on the one hand, and Premier Inn Hotels on the other, being orientated in the sphere of luxury and budget hotels, accordingly. Utopia or Shangri-La has revenues per room that are higher than most of its competitors because of the </w:t>
      </w:r>
      <w:r w:rsidRPr="00B222F0">
        <w:rPr>
          <w:rFonts w:eastAsia="Times New Roman"/>
          <w:sz w:val="24"/>
          <w:szCs w:val="24"/>
        </w:rPr>
        <w:lastRenderedPageBreak/>
        <w:t>concentration on luxurious services and is however facing many problems due to the following; it mainly depends on international travelers and its operations are capital intensive. In contrast, Premier Inn has a volume, focusing on the domestic market, and has stable growth, which is amplified through expansion in Germany. Shangri-La being an environmental conservationist firm and Premier Inn addressing issues to do with sustainability and the local community it is clear both organizations have embraced CSR.</w:t>
      </w:r>
    </w:p>
    <w:p w14:paraId="4D46480E" w14:textId="77777777" w:rsidR="00F61E2F" w:rsidRPr="00B222F0" w:rsidRDefault="00000000">
      <w:pPr>
        <w:spacing w:line="360" w:lineRule="auto"/>
        <w:jc w:val="both"/>
        <w:rPr>
          <w:rFonts w:eastAsia="Times New Roman"/>
          <w:sz w:val="24"/>
          <w:szCs w:val="24"/>
        </w:rPr>
      </w:pPr>
      <w:r w:rsidRPr="00B222F0">
        <w:rPr>
          <w:sz w:val="24"/>
          <w:szCs w:val="24"/>
        </w:rPr>
        <w:br w:type="page"/>
      </w:r>
    </w:p>
    <w:p w14:paraId="1C4728F1" w14:textId="77777777" w:rsidR="00F61E2F" w:rsidRPr="00B222F0" w:rsidRDefault="00000000" w:rsidP="00244DA2">
      <w:pPr>
        <w:pStyle w:val="Titlu1"/>
        <w:rPr>
          <w:rFonts w:ascii="Arial" w:hAnsi="Arial"/>
          <w:sz w:val="24"/>
          <w:szCs w:val="24"/>
        </w:rPr>
      </w:pPr>
      <w:bookmarkStart w:id="7" w:name="_Toc180142713"/>
      <w:r w:rsidRPr="00B222F0">
        <w:rPr>
          <w:rFonts w:ascii="Arial" w:hAnsi="Arial"/>
          <w:sz w:val="24"/>
          <w:szCs w:val="24"/>
        </w:rPr>
        <w:lastRenderedPageBreak/>
        <w:t>References</w:t>
      </w:r>
      <w:bookmarkEnd w:id="7"/>
    </w:p>
    <w:p w14:paraId="70FA5B0C"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Andersen, P.H., Åberg, S. and Bujac, A. (2023). Corporate sustainable brand identity work and network embeddedness: Learnings from Better Place (2007–2013). </w:t>
      </w:r>
      <w:r w:rsidRPr="00B222F0">
        <w:rPr>
          <w:rFonts w:eastAsia="Times New Roman"/>
          <w:i/>
          <w:sz w:val="24"/>
          <w:szCs w:val="24"/>
        </w:rPr>
        <w:t>Industrial Marketing Management</w:t>
      </w:r>
      <w:r w:rsidRPr="00B222F0">
        <w:rPr>
          <w:rFonts w:eastAsia="Times New Roman"/>
          <w:sz w:val="24"/>
          <w:szCs w:val="24"/>
        </w:rPr>
        <w:t>, [online] 115, pp.526–538. doi:https://doi.org/10.1016/j.indmarman.2023.10.014.</w:t>
      </w:r>
    </w:p>
    <w:p w14:paraId="4F83CFB9"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Cao, P., Sial, M.S., Álvarez-Otero, S., Brugni, T.V. and Comite, U. (2024). Eco-engagement: Tracing CSR communication’s ripple effect on consumer hospitality loyalty. </w:t>
      </w:r>
      <w:r w:rsidRPr="00B222F0">
        <w:rPr>
          <w:rFonts w:eastAsia="Times New Roman"/>
          <w:i/>
          <w:sz w:val="24"/>
          <w:szCs w:val="24"/>
        </w:rPr>
        <w:t>Journal of Retailing and Consumer Services</w:t>
      </w:r>
      <w:r w:rsidRPr="00B222F0">
        <w:rPr>
          <w:rFonts w:eastAsia="Times New Roman"/>
          <w:sz w:val="24"/>
          <w:szCs w:val="24"/>
        </w:rPr>
        <w:t>, [online] 79, p.103879. doi:https://doi.org/10.1016/j.jretconser.2024.103879.</w:t>
      </w:r>
    </w:p>
    <w:p w14:paraId="0EC4C97F"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Cognitive Market Research (2023). </w:t>
      </w:r>
      <w:r w:rsidRPr="00B222F0">
        <w:rPr>
          <w:rFonts w:eastAsia="Times New Roman"/>
          <w:i/>
          <w:sz w:val="24"/>
          <w:szCs w:val="24"/>
        </w:rPr>
        <w:t>The global Budget Hotels market size is USD 284582.6 million in 2024.</w:t>
      </w:r>
      <w:r w:rsidRPr="00B222F0">
        <w:rPr>
          <w:rFonts w:eastAsia="Times New Roman"/>
          <w:sz w:val="24"/>
          <w:szCs w:val="24"/>
        </w:rPr>
        <w:t xml:space="preserve"> [online] Cognitive Market Research. Available at: https://www.cognitivemarketresearch.com/budget-hotels-market-report [Accessed 18 Oct. 2024].</w:t>
      </w:r>
    </w:p>
    <w:p w14:paraId="2E72C615"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Filimonau, V. and Magklaropoulou, A. (2020). Exploring the viability of a new ‘pay-as-you-use’ energy management model in budget hotels. </w:t>
      </w:r>
      <w:r w:rsidRPr="00B222F0">
        <w:rPr>
          <w:rFonts w:eastAsia="Times New Roman"/>
          <w:i/>
          <w:sz w:val="24"/>
          <w:szCs w:val="24"/>
        </w:rPr>
        <w:t>International Journal of Hospitality Management</w:t>
      </w:r>
      <w:r w:rsidRPr="00B222F0">
        <w:rPr>
          <w:rFonts w:eastAsia="Times New Roman"/>
          <w:sz w:val="24"/>
          <w:szCs w:val="24"/>
        </w:rPr>
        <w:t>, 89, p.102538. doi:https://doi.org/10.1016/j.ijhm.2020.102538.</w:t>
      </w:r>
    </w:p>
    <w:p w14:paraId="0425EF45"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Financial Times (2018). </w:t>
      </w:r>
      <w:r w:rsidRPr="00B222F0">
        <w:rPr>
          <w:rFonts w:eastAsia="Times New Roman"/>
          <w:i/>
          <w:sz w:val="24"/>
          <w:szCs w:val="24"/>
        </w:rPr>
        <w:t>Financial Times</w:t>
      </w:r>
      <w:r w:rsidRPr="00B222F0">
        <w:rPr>
          <w:rFonts w:eastAsia="Times New Roman"/>
          <w:sz w:val="24"/>
          <w:szCs w:val="24"/>
        </w:rPr>
        <w:t>. [online] @FinancialTimes. Available at: https://www.ft.com/content/a1269f87-1f17-4d22-aec9-434fba210b97 [Accessed 18 Oct. 2024].</w:t>
      </w:r>
    </w:p>
    <w:p w14:paraId="3E58E32A"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Gill, R. (2024). </w:t>
      </w:r>
      <w:r w:rsidRPr="00B222F0">
        <w:rPr>
          <w:rFonts w:eastAsia="Times New Roman"/>
          <w:i/>
          <w:sz w:val="24"/>
          <w:szCs w:val="24"/>
        </w:rPr>
        <w:t>Premier Inn targets further UK expansion</w:t>
      </w:r>
      <w:r w:rsidRPr="00B222F0">
        <w:rPr>
          <w:rFonts w:eastAsia="Times New Roman"/>
          <w:sz w:val="24"/>
          <w:szCs w:val="24"/>
        </w:rPr>
        <w:t>. [online] Businesstravelnewseurope.com. Available at: https://www.businesstravelnewseurope.com/Accommodation/Premier-Inn-targets-further-UK-expansion [Accessed 18 Oct. 2024].</w:t>
      </w:r>
    </w:p>
    <w:p w14:paraId="730F8577"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Hung, K., Qiu Zhang, H., Denizci Guillet, B. and Wang, L. (2021). China watching: luxury consumption and its implications. </w:t>
      </w:r>
      <w:r w:rsidRPr="00B222F0">
        <w:rPr>
          <w:rFonts w:eastAsia="Times New Roman"/>
          <w:i/>
          <w:sz w:val="24"/>
          <w:szCs w:val="24"/>
        </w:rPr>
        <w:t>Travel and Lifestyle</w:t>
      </w:r>
      <w:r w:rsidRPr="00B222F0">
        <w:rPr>
          <w:rFonts w:eastAsia="Times New Roman"/>
          <w:sz w:val="24"/>
          <w:szCs w:val="24"/>
        </w:rPr>
        <w:t>, pp.45–60. doi:https://doi.org/10.4324/9781003243823-5.</w:t>
      </w:r>
    </w:p>
    <w:p w14:paraId="358023D0"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lastRenderedPageBreak/>
        <w:t xml:space="preserve">IHG (2023). </w:t>
      </w:r>
      <w:r w:rsidRPr="00B222F0">
        <w:rPr>
          <w:rFonts w:eastAsia="Times New Roman"/>
          <w:i/>
          <w:sz w:val="24"/>
          <w:szCs w:val="24"/>
        </w:rPr>
        <w:t>True Hospitality for Good</w:t>
      </w:r>
      <w:r w:rsidRPr="00B222F0">
        <w:rPr>
          <w:rFonts w:eastAsia="Times New Roman"/>
          <w:sz w:val="24"/>
          <w:szCs w:val="24"/>
        </w:rPr>
        <w:t>. [online] Available at: https://www.ihgplc.com/~/media/Files/I/Ihg-Plc/investors/annual-report/2023/annual-report-2023.pdf [Accessed 18 Oct. 2024].</w:t>
      </w:r>
    </w:p>
    <w:p w14:paraId="0FEAA687"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Liu, L., Zhou, Y. and Sun, X. (2023). The Impact of the Wellness Tourism Experience on Tourist Well-Being: The Mediating Role of Tourist Satisfaction. </w:t>
      </w:r>
      <w:r w:rsidRPr="00B222F0">
        <w:rPr>
          <w:rFonts w:eastAsia="Times New Roman"/>
          <w:i/>
          <w:sz w:val="24"/>
          <w:szCs w:val="24"/>
        </w:rPr>
        <w:t>Sustainability</w:t>
      </w:r>
      <w:r w:rsidRPr="00B222F0">
        <w:rPr>
          <w:rFonts w:eastAsia="Times New Roman"/>
          <w:sz w:val="24"/>
          <w:szCs w:val="24"/>
        </w:rPr>
        <w:t>, 15(3), p.1872. doi:https://doi.org/10.3390/su15031872.</w:t>
      </w:r>
    </w:p>
    <w:p w14:paraId="380332DB"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Mahmood, A. and Bashir, J. (2020). How does corporate social responsibility transform brand reputation into brand equity? Economic and noneconomic perspectives of CSR. </w:t>
      </w:r>
      <w:r w:rsidRPr="00B222F0">
        <w:rPr>
          <w:rFonts w:eastAsia="Times New Roman"/>
          <w:i/>
          <w:sz w:val="24"/>
          <w:szCs w:val="24"/>
        </w:rPr>
        <w:t>International Journal of Engineering Business Management</w:t>
      </w:r>
      <w:r w:rsidRPr="00B222F0">
        <w:rPr>
          <w:rFonts w:eastAsia="Times New Roman"/>
          <w:sz w:val="24"/>
          <w:szCs w:val="24"/>
        </w:rPr>
        <w:t>, [online] 12(1), pp.1–13. doi:https://doi.org/10.1177/1847979020927547.</w:t>
      </w:r>
    </w:p>
    <w:p w14:paraId="6DC2BCAB"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Nevett, J. (2023). </w:t>
      </w:r>
      <w:r w:rsidRPr="00B222F0">
        <w:rPr>
          <w:rFonts w:eastAsia="Times New Roman"/>
          <w:i/>
          <w:sz w:val="24"/>
          <w:szCs w:val="24"/>
        </w:rPr>
        <w:t>Covid-19 support worth £4.5bn lost to error and fraud</w:t>
      </w:r>
      <w:r w:rsidRPr="00B222F0">
        <w:rPr>
          <w:rFonts w:eastAsia="Times New Roman"/>
          <w:sz w:val="24"/>
          <w:szCs w:val="24"/>
        </w:rPr>
        <w:t xml:space="preserve">. </w:t>
      </w:r>
      <w:r w:rsidRPr="00B222F0">
        <w:rPr>
          <w:rFonts w:eastAsia="Times New Roman"/>
          <w:i/>
          <w:sz w:val="24"/>
          <w:szCs w:val="24"/>
        </w:rPr>
        <w:t>BBC</w:t>
      </w:r>
      <w:r w:rsidRPr="00B222F0">
        <w:rPr>
          <w:rFonts w:eastAsia="Times New Roman"/>
          <w:sz w:val="24"/>
          <w:szCs w:val="24"/>
        </w:rPr>
        <w:t>. Available at: https://www.bbc.com/news/uk-politics-64304428 [Accessed 18 Oct. 2024].</w:t>
      </w:r>
    </w:p>
    <w:p w14:paraId="62CCE667"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Nguyen, Q.H. (2021). Impact of Investment in Tourism Infrastructure Development on Attracting International Visitors: A Nonlinear Panel ARDL Approach Using Vietnam’s Data. </w:t>
      </w:r>
      <w:r w:rsidRPr="00B222F0">
        <w:rPr>
          <w:rFonts w:eastAsia="Times New Roman"/>
          <w:i/>
          <w:sz w:val="24"/>
          <w:szCs w:val="24"/>
        </w:rPr>
        <w:t>Economies</w:t>
      </w:r>
      <w:r w:rsidRPr="00B222F0">
        <w:rPr>
          <w:rFonts w:eastAsia="Times New Roman"/>
          <w:sz w:val="24"/>
          <w:szCs w:val="24"/>
        </w:rPr>
        <w:t>, 9(3), p.131. doi:https://doi.org/10.3390/economies9030131.</w:t>
      </w:r>
    </w:p>
    <w:p w14:paraId="69AFE80A"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Pereira-Moliner, J., Molina-Azorín, J.F., Tarí, J.J., López-Gamero, M.D. and Pertursa-Ortega, E.M. (2021). How do dynamic capabilities explain hotel performance? </w:t>
      </w:r>
      <w:r w:rsidRPr="00B222F0">
        <w:rPr>
          <w:rFonts w:eastAsia="Times New Roman"/>
          <w:i/>
          <w:sz w:val="24"/>
          <w:szCs w:val="24"/>
        </w:rPr>
        <w:t>International Journal of Hospitality Management</w:t>
      </w:r>
      <w:r w:rsidRPr="00B222F0">
        <w:rPr>
          <w:rFonts w:eastAsia="Times New Roman"/>
          <w:sz w:val="24"/>
          <w:szCs w:val="24"/>
        </w:rPr>
        <w:t>, 98, p.103023. doi:https://doi.org/10.1016/j.ijhm.2021.103023.</w:t>
      </w:r>
    </w:p>
    <w:p w14:paraId="1C65B3AF"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Roll, M. (2019). </w:t>
      </w:r>
      <w:r w:rsidRPr="00B222F0">
        <w:rPr>
          <w:rFonts w:eastAsia="Times New Roman"/>
          <w:i/>
          <w:sz w:val="24"/>
          <w:szCs w:val="24"/>
        </w:rPr>
        <w:t>Shangri-La Hotels &amp; Resorts - Bringing Asian Hospitality To The World</w:t>
      </w:r>
      <w:r w:rsidRPr="00B222F0">
        <w:rPr>
          <w:rFonts w:eastAsia="Times New Roman"/>
          <w:sz w:val="24"/>
          <w:szCs w:val="24"/>
        </w:rPr>
        <w:t>. [online] Martin Roll. Available at: https://martinroll.com/resources/articles/asia/shangri-la-hotels-resorts-bringing-asian-hospitality-to-the-world/ [Accessed 18 Oct. 2024].</w:t>
      </w:r>
    </w:p>
    <w:p w14:paraId="04AAF135"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Shangri-la Group (2020). </w:t>
      </w:r>
      <w:r w:rsidRPr="00B222F0">
        <w:rPr>
          <w:rFonts w:eastAsia="Times New Roman"/>
          <w:i/>
          <w:sz w:val="24"/>
          <w:szCs w:val="24"/>
        </w:rPr>
        <w:t>Welcome: Shangri-La Group</w:t>
      </w:r>
      <w:r w:rsidRPr="00B222F0">
        <w:rPr>
          <w:rFonts w:eastAsia="Times New Roman"/>
          <w:sz w:val="24"/>
          <w:szCs w:val="24"/>
        </w:rPr>
        <w:t>. [online] Shangri-la.com. Available at: https://www.shangri-la.com/group/our-businesses/hotels-and-resorts [Accessed 18 Oct. 2024].</w:t>
      </w:r>
    </w:p>
    <w:p w14:paraId="2CF42D4F"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lastRenderedPageBreak/>
        <w:t xml:space="preserve">Statista (2022). </w:t>
      </w:r>
      <w:r w:rsidRPr="00B222F0">
        <w:rPr>
          <w:rFonts w:eastAsia="Times New Roman"/>
          <w:i/>
          <w:sz w:val="24"/>
          <w:szCs w:val="24"/>
        </w:rPr>
        <w:t>Most Popular Hotel Brands in the UK 2019</w:t>
      </w:r>
      <w:r w:rsidRPr="00B222F0">
        <w:rPr>
          <w:rFonts w:eastAsia="Times New Roman"/>
          <w:sz w:val="24"/>
          <w:szCs w:val="24"/>
        </w:rPr>
        <w:t>. [online] Statista. Available at: https://www.statista.com/statistics/951262/most-popular-hotel-brands-uk/ [Accessed 18 Oct. 2024].</w:t>
      </w:r>
    </w:p>
    <w:p w14:paraId="2E7B0C3D"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Statista (2024). </w:t>
      </w:r>
      <w:r w:rsidRPr="00B222F0">
        <w:rPr>
          <w:rFonts w:eastAsia="Times New Roman"/>
          <w:i/>
          <w:sz w:val="24"/>
          <w:szCs w:val="24"/>
        </w:rPr>
        <w:t>Premier Inn hotel occupancy rates 2011-2020</w:t>
      </w:r>
      <w:r w:rsidRPr="00B222F0">
        <w:rPr>
          <w:rFonts w:eastAsia="Times New Roman"/>
          <w:sz w:val="24"/>
          <w:szCs w:val="24"/>
        </w:rPr>
        <w:t>. [online] Statista. Available at: https://www.statista.com/statistics/739831/premier-inn-hotel-occupancy-rates/ [Accessed 18 Oct. 2024].</w:t>
      </w:r>
    </w:p>
    <w:p w14:paraId="41914026"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Yu, J. (2022). Exploring Recreationist-Environment Fit Hospitality Experiences of Green Hotels in China. </w:t>
      </w:r>
      <w:r w:rsidRPr="00B222F0">
        <w:rPr>
          <w:rFonts w:eastAsia="Times New Roman"/>
          <w:i/>
          <w:sz w:val="24"/>
          <w:szCs w:val="24"/>
        </w:rPr>
        <w:t>Sustainability</w:t>
      </w:r>
      <w:r w:rsidRPr="00B222F0">
        <w:rPr>
          <w:rFonts w:eastAsia="Times New Roman"/>
          <w:sz w:val="24"/>
          <w:szCs w:val="24"/>
        </w:rPr>
        <w:t>, 14(3), p.1850. doi:https://doi.org/10.3390/su14031850.</w:t>
      </w:r>
    </w:p>
    <w:p w14:paraId="7C56D049" w14:textId="77777777" w:rsidR="00F61E2F" w:rsidRPr="00B222F0" w:rsidRDefault="00000000">
      <w:pPr>
        <w:spacing w:after="240" w:line="360" w:lineRule="auto"/>
        <w:jc w:val="both"/>
        <w:rPr>
          <w:rFonts w:eastAsia="Times New Roman"/>
          <w:sz w:val="24"/>
          <w:szCs w:val="24"/>
        </w:rPr>
      </w:pPr>
      <w:r w:rsidRPr="00B222F0">
        <w:rPr>
          <w:rFonts w:eastAsia="Times New Roman"/>
          <w:sz w:val="24"/>
          <w:szCs w:val="24"/>
        </w:rPr>
        <w:t xml:space="preserve">Zhou, Z. (2020). Critical shifts in the global tourism industry: perspectives from Africa. </w:t>
      </w:r>
      <w:r w:rsidRPr="00B222F0">
        <w:rPr>
          <w:rFonts w:eastAsia="Times New Roman"/>
          <w:i/>
          <w:sz w:val="24"/>
          <w:szCs w:val="24"/>
        </w:rPr>
        <w:t>GeoJournal</w:t>
      </w:r>
      <w:r w:rsidRPr="00B222F0">
        <w:rPr>
          <w:rFonts w:eastAsia="Times New Roman"/>
          <w:sz w:val="24"/>
          <w:szCs w:val="24"/>
        </w:rPr>
        <w:t>, 87. doi:https://doi.org/10.1007/s10708-020-10297-y.</w:t>
      </w:r>
    </w:p>
    <w:p w14:paraId="29818299" w14:textId="77777777" w:rsidR="00F61E2F" w:rsidRPr="00B222F0" w:rsidRDefault="00F61E2F">
      <w:pPr>
        <w:spacing w:line="360" w:lineRule="auto"/>
        <w:jc w:val="both"/>
        <w:rPr>
          <w:rFonts w:eastAsia="Times New Roman"/>
          <w:sz w:val="24"/>
          <w:szCs w:val="24"/>
        </w:rPr>
      </w:pPr>
    </w:p>
    <w:p w14:paraId="687BE7A5" w14:textId="77777777" w:rsidR="00F61E2F" w:rsidRPr="00B222F0" w:rsidRDefault="00F61E2F">
      <w:pPr>
        <w:spacing w:line="360" w:lineRule="auto"/>
        <w:jc w:val="both"/>
        <w:rPr>
          <w:rFonts w:eastAsia="Times New Roman"/>
          <w:sz w:val="24"/>
          <w:szCs w:val="24"/>
        </w:rPr>
      </w:pPr>
    </w:p>
    <w:p w14:paraId="74728A64" w14:textId="77777777" w:rsidR="00F61E2F" w:rsidRPr="00B222F0" w:rsidRDefault="00F61E2F">
      <w:pPr>
        <w:spacing w:line="360" w:lineRule="auto"/>
        <w:jc w:val="both"/>
        <w:rPr>
          <w:rFonts w:ascii="Times New Roman" w:eastAsia="Times New Roman" w:hAnsi="Times New Roman" w:cs="Times New Roman"/>
          <w:sz w:val="24"/>
          <w:szCs w:val="24"/>
        </w:rPr>
      </w:pPr>
    </w:p>
    <w:sectPr w:rsidR="00F61E2F" w:rsidRPr="00B222F0" w:rsidSect="00015489">
      <w:footerReference w:type="default" r:id="rId9"/>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AAA913" w14:textId="77777777" w:rsidR="00311370" w:rsidRPr="00244DA2" w:rsidRDefault="00311370" w:rsidP="00015489">
      <w:pPr>
        <w:spacing w:line="240" w:lineRule="auto"/>
      </w:pPr>
      <w:r w:rsidRPr="00244DA2">
        <w:separator/>
      </w:r>
    </w:p>
  </w:endnote>
  <w:endnote w:type="continuationSeparator" w:id="0">
    <w:p w14:paraId="7EE2612F" w14:textId="77777777" w:rsidR="00311370" w:rsidRPr="00244DA2" w:rsidRDefault="00311370" w:rsidP="00015489">
      <w:pPr>
        <w:spacing w:line="240" w:lineRule="auto"/>
      </w:pPr>
      <w:r w:rsidRPr="00244D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7143492"/>
      <w:docPartObj>
        <w:docPartGallery w:val="Page Numbers (Bottom of Page)"/>
        <w:docPartUnique/>
      </w:docPartObj>
    </w:sdtPr>
    <w:sdtEndPr>
      <w:rPr>
        <w:rFonts w:ascii="Times New Roman" w:hAnsi="Times New Roman" w:cs="Times New Roman"/>
        <w:sz w:val="20"/>
        <w:szCs w:val="20"/>
      </w:rPr>
    </w:sdtEndPr>
    <w:sdtContent>
      <w:p w14:paraId="22A2D380" w14:textId="05A09270" w:rsidR="00015489" w:rsidRPr="00244DA2" w:rsidRDefault="00015489">
        <w:pPr>
          <w:pStyle w:val="Subsol"/>
          <w:jc w:val="right"/>
          <w:rPr>
            <w:rFonts w:ascii="Times New Roman" w:hAnsi="Times New Roman" w:cs="Times New Roman"/>
            <w:sz w:val="20"/>
            <w:szCs w:val="20"/>
          </w:rPr>
        </w:pPr>
        <w:r w:rsidRPr="00244DA2">
          <w:rPr>
            <w:rFonts w:ascii="Times New Roman" w:hAnsi="Times New Roman" w:cs="Times New Roman"/>
            <w:sz w:val="20"/>
            <w:szCs w:val="20"/>
          </w:rPr>
          <w:fldChar w:fldCharType="begin"/>
        </w:r>
        <w:r w:rsidRPr="00244DA2">
          <w:rPr>
            <w:rFonts w:ascii="Times New Roman" w:hAnsi="Times New Roman" w:cs="Times New Roman"/>
            <w:sz w:val="20"/>
            <w:szCs w:val="20"/>
          </w:rPr>
          <w:instrText xml:space="preserve"> PAGE   \* MERGEFORMAT </w:instrText>
        </w:r>
        <w:r w:rsidRPr="00244DA2">
          <w:rPr>
            <w:rFonts w:ascii="Times New Roman" w:hAnsi="Times New Roman" w:cs="Times New Roman"/>
            <w:sz w:val="20"/>
            <w:szCs w:val="20"/>
          </w:rPr>
          <w:fldChar w:fldCharType="separate"/>
        </w:r>
        <w:r w:rsidRPr="00244DA2">
          <w:rPr>
            <w:rFonts w:ascii="Times New Roman" w:hAnsi="Times New Roman" w:cs="Times New Roman"/>
            <w:sz w:val="20"/>
            <w:szCs w:val="20"/>
          </w:rPr>
          <w:t>2</w:t>
        </w:r>
        <w:r w:rsidRPr="00244DA2">
          <w:rPr>
            <w:rFonts w:ascii="Times New Roman" w:hAnsi="Times New Roman" w:cs="Times New Roman"/>
            <w:sz w:val="20"/>
            <w:szCs w:val="20"/>
          </w:rPr>
          <w:fldChar w:fldCharType="end"/>
        </w:r>
      </w:p>
    </w:sdtContent>
  </w:sdt>
  <w:p w14:paraId="3A94BE04" w14:textId="77777777" w:rsidR="00015489" w:rsidRPr="00244DA2" w:rsidRDefault="0001548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6C4606" w14:textId="77777777" w:rsidR="00311370" w:rsidRPr="00244DA2" w:rsidRDefault="00311370" w:rsidP="00015489">
      <w:pPr>
        <w:spacing w:line="240" w:lineRule="auto"/>
      </w:pPr>
      <w:r w:rsidRPr="00244DA2">
        <w:separator/>
      </w:r>
    </w:p>
  </w:footnote>
  <w:footnote w:type="continuationSeparator" w:id="0">
    <w:p w14:paraId="47FDB350" w14:textId="77777777" w:rsidR="00311370" w:rsidRPr="00244DA2" w:rsidRDefault="00311370" w:rsidP="00015489">
      <w:pPr>
        <w:spacing w:line="240" w:lineRule="auto"/>
      </w:pPr>
      <w:r w:rsidRPr="00244DA2">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E2F"/>
    <w:rsid w:val="00015489"/>
    <w:rsid w:val="00145C06"/>
    <w:rsid w:val="00244DA2"/>
    <w:rsid w:val="00284780"/>
    <w:rsid w:val="00311370"/>
    <w:rsid w:val="0033116A"/>
    <w:rsid w:val="003F4A5E"/>
    <w:rsid w:val="00563791"/>
    <w:rsid w:val="0056708C"/>
    <w:rsid w:val="00A26111"/>
    <w:rsid w:val="00A80045"/>
    <w:rsid w:val="00B222F0"/>
    <w:rsid w:val="00B90720"/>
    <w:rsid w:val="00C0084D"/>
    <w:rsid w:val="00D65E2B"/>
    <w:rsid w:val="00F61E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EABB1"/>
  <w15:docId w15:val="{3A28E8E2-81DD-4F89-919E-CDC5CE2C1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autoRedefine/>
    <w:uiPriority w:val="9"/>
    <w:qFormat/>
    <w:rsid w:val="00244DA2"/>
    <w:pPr>
      <w:keepNext/>
      <w:keepLines/>
      <w:spacing w:before="400" w:after="120" w:line="360" w:lineRule="auto"/>
      <w:jc w:val="both"/>
      <w:outlineLvl w:val="0"/>
    </w:pPr>
    <w:rPr>
      <w:rFonts w:ascii="Times New Roman" w:hAnsi="Times New Roman"/>
      <w:b/>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015489"/>
    <w:pPr>
      <w:tabs>
        <w:tab w:val="center" w:pos="4513"/>
        <w:tab w:val="right" w:pos="9026"/>
      </w:tabs>
      <w:spacing w:line="240" w:lineRule="auto"/>
    </w:pPr>
  </w:style>
  <w:style w:type="character" w:customStyle="1" w:styleId="AntetCaracter">
    <w:name w:val="Antet Caracter"/>
    <w:basedOn w:val="Fontdeparagrafimplicit"/>
    <w:link w:val="Antet"/>
    <w:uiPriority w:val="99"/>
    <w:rsid w:val="00015489"/>
  </w:style>
  <w:style w:type="paragraph" w:styleId="Subsol">
    <w:name w:val="footer"/>
    <w:basedOn w:val="Normal"/>
    <w:link w:val="SubsolCaracter"/>
    <w:uiPriority w:val="99"/>
    <w:unhideWhenUsed/>
    <w:rsid w:val="0001548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15489"/>
  </w:style>
  <w:style w:type="paragraph" w:styleId="Titlucuprins">
    <w:name w:val="TOC Heading"/>
    <w:basedOn w:val="Titlu1"/>
    <w:next w:val="Normal"/>
    <w:uiPriority w:val="39"/>
    <w:unhideWhenUsed/>
    <w:qFormat/>
    <w:rsid w:val="00244DA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244DA2"/>
    <w:pPr>
      <w:spacing w:after="100"/>
    </w:pPr>
  </w:style>
  <w:style w:type="character" w:styleId="Hyperlink">
    <w:name w:val="Hyperlink"/>
    <w:basedOn w:val="Fontdeparagrafimplicit"/>
    <w:uiPriority w:val="99"/>
    <w:unhideWhenUsed/>
    <w:rsid w:val="00244D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0609631">
      <w:bodyDiv w:val="1"/>
      <w:marLeft w:val="0"/>
      <w:marRight w:val="0"/>
      <w:marTop w:val="0"/>
      <w:marBottom w:val="0"/>
      <w:divBdr>
        <w:top w:val="none" w:sz="0" w:space="0" w:color="auto"/>
        <w:left w:val="none" w:sz="0" w:space="0" w:color="auto"/>
        <w:bottom w:val="none" w:sz="0" w:space="0" w:color="auto"/>
        <w:right w:val="none" w:sz="0" w:space="0" w:color="auto"/>
      </w:divBdr>
    </w:div>
    <w:div w:id="21281160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87A4E-E9F6-46A2-84D0-5A1F1EBE79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3161</Words>
  <Characters>18020</Characters>
  <Application>Microsoft Office Word</Application>
  <DocSecurity>0</DocSecurity>
  <Lines>150</Lines>
  <Paragraphs>42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dc:creator>
  <cp:lastModifiedBy>Sebastian Negrutiu</cp:lastModifiedBy>
  <cp:revision>4</cp:revision>
  <dcterms:created xsi:type="dcterms:W3CDTF">2024-10-18T20:49:00Z</dcterms:created>
  <dcterms:modified xsi:type="dcterms:W3CDTF">2024-10-18T21:04:00Z</dcterms:modified>
</cp:coreProperties>
</file>