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608F75" w14:textId="77777777" w:rsidR="00235606" w:rsidRDefault="00235606" w:rsidP="0017784F">
      <w:pPr>
        <w:jc w:val="center"/>
        <w:rPr>
          <w:u w:val="single"/>
        </w:rPr>
      </w:pPr>
    </w:p>
    <w:p w14:paraId="7083262F" w14:textId="77777777" w:rsidR="00235606" w:rsidRDefault="00235606" w:rsidP="00235606">
      <w:pPr>
        <w:jc w:val="center"/>
        <w:rPr>
          <w:u w:val="single"/>
        </w:rPr>
      </w:pPr>
    </w:p>
    <w:p w14:paraId="6BEC0E70" w14:textId="77777777" w:rsidR="00235606" w:rsidRDefault="00235606" w:rsidP="00235606">
      <w:pPr>
        <w:jc w:val="center"/>
        <w:rPr>
          <w:u w:val="single"/>
        </w:rPr>
      </w:pPr>
    </w:p>
    <w:p w14:paraId="503EDD8C" w14:textId="77777777" w:rsidR="00235606" w:rsidRDefault="00235606" w:rsidP="00235606">
      <w:pPr>
        <w:jc w:val="center"/>
        <w:rPr>
          <w:u w:val="single"/>
        </w:rPr>
      </w:pPr>
    </w:p>
    <w:p w14:paraId="4A51437B" w14:textId="77777777" w:rsidR="00235606" w:rsidRDefault="00235606" w:rsidP="00235606">
      <w:pPr>
        <w:jc w:val="center"/>
        <w:rPr>
          <w:u w:val="single"/>
        </w:rPr>
      </w:pPr>
    </w:p>
    <w:p w14:paraId="7255681D" w14:textId="77777777" w:rsidR="00235606" w:rsidRDefault="00235606" w:rsidP="00235606">
      <w:pPr>
        <w:jc w:val="center"/>
        <w:rPr>
          <w:u w:val="single"/>
        </w:rPr>
      </w:pPr>
    </w:p>
    <w:p w14:paraId="6ACD8D7A" w14:textId="77777777" w:rsidR="00235606" w:rsidRDefault="00235606" w:rsidP="00235606">
      <w:pPr>
        <w:jc w:val="center"/>
        <w:rPr>
          <w:u w:val="single"/>
        </w:rPr>
      </w:pPr>
    </w:p>
    <w:p w14:paraId="663E0AF2" w14:textId="77777777" w:rsidR="00235606" w:rsidRDefault="00235606" w:rsidP="00235606">
      <w:pPr>
        <w:jc w:val="center"/>
        <w:rPr>
          <w:u w:val="single"/>
        </w:rPr>
      </w:pPr>
    </w:p>
    <w:p w14:paraId="5110B927" w14:textId="77777777" w:rsidR="00235606" w:rsidRDefault="00235606" w:rsidP="00235606">
      <w:pPr>
        <w:jc w:val="center"/>
        <w:rPr>
          <w:u w:val="single"/>
        </w:rPr>
      </w:pPr>
    </w:p>
    <w:p w14:paraId="40BA1E34" w14:textId="77777777" w:rsidR="00235606" w:rsidRDefault="00235606" w:rsidP="00235606">
      <w:pPr>
        <w:jc w:val="center"/>
        <w:rPr>
          <w:u w:val="single"/>
        </w:rPr>
      </w:pPr>
    </w:p>
    <w:p w14:paraId="1EE8F25E" w14:textId="77777777" w:rsidR="00235606" w:rsidRDefault="00235606" w:rsidP="00235606">
      <w:pPr>
        <w:jc w:val="center"/>
        <w:rPr>
          <w:u w:val="single"/>
        </w:rPr>
      </w:pPr>
    </w:p>
    <w:p w14:paraId="3B1D949C" w14:textId="77777777" w:rsidR="00235606" w:rsidRDefault="00235606" w:rsidP="00235606">
      <w:pPr>
        <w:jc w:val="center"/>
        <w:rPr>
          <w:u w:val="single"/>
        </w:rPr>
      </w:pPr>
    </w:p>
    <w:p w14:paraId="1D6D26B6" w14:textId="77777777" w:rsidR="006877A0" w:rsidRDefault="00235606" w:rsidP="00235606">
      <w:pPr>
        <w:jc w:val="center"/>
        <w:rPr>
          <w:u w:val="single"/>
        </w:rPr>
      </w:pPr>
      <w:r>
        <w:rPr>
          <w:u w:val="single"/>
        </w:rPr>
        <w:t>Samuel Gedrych, 1600772</w:t>
      </w:r>
    </w:p>
    <w:p w14:paraId="139AAA9B" w14:textId="109D779C" w:rsidR="00235606" w:rsidRDefault="006877A0" w:rsidP="00235606">
      <w:pPr>
        <w:jc w:val="center"/>
        <w:rPr>
          <w:u w:val="single"/>
        </w:rPr>
      </w:pPr>
      <w:r>
        <w:rPr>
          <w:u w:val="single"/>
        </w:rPr>
        <w:t>Word count: 1,601</w:t>
      </w:r>
      <w:bookmarkStart w:id="0" w:name="_GoBack"/>
      <w:bookmarkEnd w:id="0"/>
      <w:r w:rsidR="00235606">
        <w:rPr>
          <w:u w:val="single"/>
        </w:rPr>
        <w:br w:type="page"/>
      </w:r>
    </w:p>
    <w:p w14:paraId="11899543" w14:textId="406C3E31" w:rsidR="00F92D5B" w:rsidRDefault="0017784F" w:rsidP="0017784F">
      <w:pPr>
        <w:jc w:val="center"/>
        <w:rPr>
          <w:u w:val="single"/>
        </w:rPr>
      </w:pPr>
      <w:r>
        <w:rPr>
          <w:u w:val="single"/>
        </w:rPr>
        <w:lastRenderedPageBreak/>
        <w:t>The name, Meaning and function of ‘the horned god’ Cernunnos.</w:t>
      </w:r>
    </w:p>
    <w:p w14:paraId="4E3D4DEE" w14:textId="20E375A9" w:rsidR="0017784F" w:rsidRDefault="0017784F" w:rsidP="0017784F">
      <w:pPr>
        <w:rPr>
          <w:u w:val="single"/>
        </w:rPr>
      </w:pPr>
    </w:p>
    <w:p w14:paraId="512591D6" w14:textId="6216285B" w:rsidR="0017784F" w:rsidRDefault="00C24209" w:rsidP="00C24209">
      <w:r>
        <w:t>‘Of all the gods they worship Mercury most of all’</w:t>
      </w:r>
      <w:r>
        <w:rPr>
          <w:rStyle w:val="FootnoteReference"/>
        </w:rPr>
        <w:footnoteReference w:id="1"/>
      </w:r>
      <w:r w:rsidR="00F955A1">
        <w:t>. Here is one of Caesar’s summations on the religious practises of the Gallic peoples he encountered. Whilst it is interesting that he made no distinction between his own pantheon of gods and the new gods his legions were discovering as they marched across Gaul, it strikes the question; which ‘Celtic’ deity is Caesar conflating Mercury with?</w:t>
      </w:r>
      <w:r w:rsidR="00093932">
        <w:t xml:space="preserve"> Surely this deity is not of the same ilk as the later Gallo-Roman syncretic gods that appear with the increase in ‘</w:t>
      </w:r>
      <w:r w:rsidR="00C17766">
        <w:t>Romanising</w:t>
      </w:r>
      <w:r w:rsidR="00093932">
        <w:t xml:space="preserve">’ factors after Caesar’s conquest, it must be an ancient, pre-Roman god. One such deity, and the one which this essay shall be exploring is ‘Cernunnos’. </w:t>
      </w:r>
      <w:r w:rsidR="00BE2DDE">
        <w:t xml:space="preserve">Throughout I shall be discussing the topics of etymology, visual representations of Cernunnos and what possible role this god played in societies and the evidence for this, followed by a short examination into the geographical and chronological spread of this god. </w:t>
      </w:r>
      <w:r w:rsidR="004E695B">
        <w:t xml:space="preserve">Before I begin to engage with the discussion I must clarify my own interpretations on a few key terms that shall be used throughout. I shall be apostrophising the term ‘Celtic’ as a way of demonstrating that </w:t>
      </w:r>
      <w:r w:rsidR="007C6404">
        <w:t>none of what is being discussed here is in any way applicable to all Celtic peoples, this culture encompassed such a large geographical area and spans through millennia thus contextualise the term ‘Celtic’ as belonging “of</w:t>
      </w:r>
      <w:r w:rsidR="007C6404" w:rsidRPr="007C6404">
        <w:t xml:space="preserve"> Gaul (modern France) and parts of the British Isles</w:t>
      </w:r>
      <w:r w:rsidR="007C6404">
        <w:t>”</w:t>
      </w:r>
      <w:r w:rsidR="007C6404">
        <w:rPr>
          <w:rStyle w:val="FootnoteReference"/>
        </w:rPr>
        <w:footnoteReference w:id="2"/>
      </w:r>
      <w:r w:rsidR="007C6404">
        <w:t xml:space="preserve"> for the sake of this essay. </w:t>
      </w:r>
      <w:r w:rsidR="00C17766">
        <w:t>Finally,</w:t>
      </w:r>
      <w:r w:rsidR="007C6404">
        <w:t xml:space="preserve"> I shall also rotate between the use of the terms ‘</w:t>
      </w:r>
      <w:r w:rsidR="00C17766">
        <w:t>Cernunnos</w:t>
      </w:r>
      <w:r w:rsidR="007C6404">
        <w:t>’ and ‘horned-god’ depending on what suits better in context, I believe I explain my opinion on why this should be the case further on in my first paragraph.</w:t>
      </w:r>
    </w:p>
    <w:p w14:paraId="7EB05EEC" w14:textId="203197F8" w:rsidR="00BE2DDE" w:rsidRDefault="00A6548F" w:rsidP="00C24209">
      <w:r>
        <w:t xml:space="preserve">The name ‘Cernunnos’ survives quite remarkably from a single inscription upon the first-century AD </w:t>
      </w:r>
      <w:r w:rsidR="000E3A5C">
        <w:t>‘</w:t>
      </w:r>
      <w:r>
        <w:t>pillar of the boatmen</w:t>
      </w:r>
      <w:r w:rsidR="000E3A5C">
        <w:t>’</w:t>
      </w:r>
      <w:r>
        <w:t>, found in Paris. The inscription rests above a bas-relief depicting an antlered man, with metal hoops resting on the protrusions, arguably sitting in a cross-legged position</w:t>
      </w:r>
      <w:r>
        <w:rPr>
          <w:rStyle w:val="FootnoteReference"/>
        </w:rPr>
        <w:footnoteReference w:id="3"/>
      </w:r>
      <w:r>
        <w:t xml:space="preserve"> and wearing a torc. This ‘horned god’ is a readily recurring image from across northern Europe as we shall discuss later. </w:t>
      </w:r>
      <w:r w:rsidR="0086552F">
        <w:t xml:space="preserve">Certainly, to me </w:t>
      </w:r>
      <w:r w:rsidR="00ED07DA">
        <w:t>of a Celtic origin</w:t>
      </w:r>
      <w:r w:rsidR="0086552F">
        <w:t xml:space="preserve">, the word ‘Cernunnos’, as argued by Maier, has no clear etymology as to him </w:t>
      </w:r>
      <w:r w:rsidR="00A945B8">
        <w:t>“</w:t>
      </w:r>
      <w:r w:rsidR="0086552F">
        <w:t>one would expect, on linguistic grounds, the first vowel to be a rather than e”</w:t>
      </w:r>
      <w:r w:rsidR="00A945B8">
        <w:rPr>
          <w:rStyle w:val="FootnoteReference"/>
        </w:rPr>
        <w:footnoteReference w:id="4"/>
      </w:r>
      <w:r w:rsidR="00A945B8">
        <w:t xml:space="preserve">. Yet this goes against the obvious rational that this being on a depiction of a horned figure, and that in the surviving p-Celtic languages </w:t>
      </w:r>
      <w:r w:rsidR="00873FCE">
        <w:t>‘</w:t>
      </w:r>
      <w:r w:rsidR="00A945B8">
        <w:t>horn</w:t>
      </w:r>
      <w:r w:rsidR="00873FCE">
        <w:t>’</w:t>
      </w:r>
      <w:r w:rsidR="00A945B8">
        <w:t xml:space="preserve"> translates to ‘</w:t>
      </w:r>
      <w:r w:rsidR="00A945B8">
        <w:rPr>
          <w:i/>
        </w:rPr>
        <w:t xml:space="preserve">corn’ </w:t>
      </w:r>
      <w:r w:rsidR="00A945B8">
        <w:t>or ‘</w:t>
      </w:r>
      <w:r w:rsidR="00A945B8">
        <w:rPr>
          <w:i/>
        </w:rPr>
        <w:t xml:space="preserve">korn’ </w:t>
      </w:r>
      <w:r w:rsidR="00873FCE">
        <w:t>and thus it is clear that either this is some mutation in the word or that quite simply the mason doing the inscription made a small mistake. This is the line of thought I believe is followed by many other historians</w:t>
      </w:r>
      <w:r w:rsidR="00794F0D">
        <w:rPr>
          <w:rStyle w:val="FootnoteReference"/>
        </w:rPr>
        <w:footnoteReference w:id="5"/>
      </w:r>
      <w:r w:rsidR="00873FCE">
        <w:t xml:space="preserve"> who attribute the word ‘Cernunnos’ to have the meaning ‘horned-one’ or ‘horned-god’</w:t>
      </w:r>
      <w:r w:rsidR="000E3A5C">
        <w:t>. One point about this discussion that is worth mentioning, Maier also includes this in his dictionary</w:t>
      </w:r>
      <w:r w:rsidR="000E3A5C">
        <w:rPr>
          <w:rStyle w:val="FootnoteReference"/>
        </w:rPr>
        <w:footnoteReference w:id="6"/>
      </w:r>
      <w:r w:rsidR="000E3A5C">
        <w:t xml:space="preserve">, is that this inscription is not found anywhere else neither is the term ‘Cernunnos’ attested in any ancient literature. </w:t>
      </w:r>
      <w:proofErr w:type="gramStart"/>
      <w:r w:rsidR="000E3A5C">
        <w:t>Thus</w:t>
      </w:r>
      <w:proofErr w:type="gramEnd"/>
      <w:r w:rsidR="000E3A5C">
        <w:t xml:space="preserve"> the obvious question to pose is whether this description from the </w:t>
      </w:r>
      <w:r w:rsidR="000E3A5C" w:rsidRPr="000E3A5C">
        <w:rPr>
          <w:i/>
        </w:rPr>
        <w:t xml:space="preserve">Civitates </w:t>
      </w:r>
      <w:proofErr w:type="spellStart"/>
      <w:r w:rsidR="000E3A5C" w:rsidRPr="000E3A5C">
        <w:rPr>
          <w:i/>
        </w:rPr>
        <w:t>Parisii</w:t>
      </w:r>
      <w:proofErr w:type="spellEnd"/>
      <w:r w:rsidR="000E3A5C">
        <w:t xml:space="preserve"> is just the name of their own ‘horned-god’ or does this justify the use of </w:t>
      </w:r>
      <w:r w:rsidR="000A715B">
        <w:t xml:space="preserve">‘Cernunnos’ to describe any similar depictions? </w:t>
      </w:r>
      <w:proofErr w:type="spellStart"/>
      <w:r w:rsidR="00E664A2">
        <w:t>Bober</w:t>
      </w:r>
      <w:proofErr w:type="spellEnd"/>
      <w:r w:rsidR="00E664A2">
        <w:t>, writing in</w:t>
      </w:r>
      <w:r w:rsidR="00025A47">
        <w:t xml:space="preserve"> the 1951 paper ‘</w:t>
      </w:r>
      <w:r w:rsidR="00025A47" w:rsidRPr="00025A47">
        <w:rPr>
          <w:i/>
        </w:rPr>
        <w:t>Cernunnos: Origin and Transformation of a Celtic Divinity’</w:t>
      </w:r>
      <w:r w:rsidR="00025A47">
        <w:rPr>
          <w:i/>
        </w:rPr>
        <w:t xml:space="preserve"> </w:t>
      </w:r>
      <w:r w:rsidR="00025A47">
        <w:t xml:space="preserve">appears to gloss over this lack of corroborative data: “In this instance, not only the </w:t>
      </w:r>
      <w:r w:rsidR="00025A47">
        <w:lastRenderedPageBreak/>
        <w:t>Celtic name of the god, but also pre-Roman representations of him are known.”</w:t>
      </w:r>
      <w:r w:rsidR="00025A47">
        <w:rPr>
          <w:rStyle w:val="FootnoteReference"/>
        </w:rPr>
        <w:footnoteReference w:id="7"/>
      </w:r>
      <w:r w:rsidR="00025A47">
        <w:t xml:space="preserve">  This approach seems to be somewhat universally utilised by historians and ‘celtologists’</w:t>
      </w:r>
      <w:r w:rsidR="006B6851">
        <w:t xml:space="preserve">; for me plainly this is a case of no better explanation so stick with what we have and quite frankly I see this as a non-issue the bottom-line remains that a horned humanoid figure is a recurring image in Celtic art across at least four centuries </w:t>
      </w:r>
      <w:r w:rsidR="004E695B">
        <w:t>and that this is no coincidence, thus the question of what did this entity represent and what was its function in society if it had any?</w:t>
      </w:r>
    </w:p>
    <w:p w14:paraId="299FCAA1" w14:textId="47CB398F" w:rsidR="007C6404" w:rsidRDefault="00C17766" w:rsidP="00C24209">
      <w:r>
        <w:t>Figure 1.</w:t>
      </w:r>
    </w:p>
    <w:p w14:paraId="5A6BF704" w14:textId="5A26A4E7" w:rsidR="00C17766" w:rsidRDefault="00C17766" w:rsidP="00C24209">
      <w:r>
        <w:rPr>
          <w:noProof/>
        </w:rPr>
        <w:drawing>
          <wp:inline distT="0" distB="0" distL="0" distR="0" wp14:anchorId="4C50DBEF" wp14:editId="56A6DAD9">
            <wp:extent cx="5731510" cy="29552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undestrup cauldron.jpg"/>
                    <pic:cNvPicPr/>
                  </pic:nvPicPr>
                  <pic:blipFill>
                    <a:blip r:embed="rId7">
                      <a:extLst>
                        <a:ext uri="{28A0092B-C50C-407E-A947-70E740481C1C}">
                          <a14:useLocalDpi xmlns:a14="http://schemas.microsoft.com/office/drawing/2010/main" val="0"/>
                        </a:ext>
                      </a:extLst>
                    </a:blip>
                    <a:stretch>
                      <a:fillRect/>
                    </a:stretch>
                  </pic:blipFill>
                  <pic:spPr>
                    <a:xfrm>
                      <a:off x="0" y="0"/>
                      <a:ext cx="5731510" cy="2955290"/>
                    </a:xfrm>
                    <a:prstGeom prst="rect">
                      <a:avLst/>
                    </a:prstGeom>
                  </pic:spPr>
                </pic:pic>
              </a:graphicData>
            </a:graphic>
          </wp:inline>
        </w:drawing>
      </w:r>
    </w:p>
    <w:p w14:paraId="1791053E" w14:textId="42564914" w:rsidR="00C17766" w:rsidRDefault="00C17766" w:rsidP="00C24209">
      <w:pPr>
        <w:rPr>
          <w:i/>
        </w:rPr>
      </w:pPr>
      <w:r>
        <w:rPr>
          <w:i/>
        </w:rPr>
        <w:t>A panel from the Gundestrup Cauldron depicting the ‘horned-god’.</w:t>
      </w:r>
    </w:p>
    <w:p w14:paraId="033E647A" w14:textId="60679661" w:rsidR="006D2FB4" w:rsidRDefault="006D2FB4" w:rsidP="00C24209">
      <w:r>
        <w:t>The Gundestrup cauldron</w:t>
      </w:r>
      <w:r w:rsidR="009B4473">
        <w:rPr>
          <w:rStyle w:val="FootnoteReference"/>
        </w:rPr>
        <w:footnoteReference w:id="8"/>
      </w:r>
      <w:r>
        <w:t>, dating from c.150BC-</w:t>
      </w:r>
      <w:r w:rsidR="006052B6">
        <w:t>400</w:t>
      </w:r>
      <w:r>
        <w:t>AD</w:t>
      </w:r>
      <w:r w:rsidR="009B4473">
        <w:rPr>
          <w:rStyle w:val="FootnoteReference"/>
        </w:rPr>
        <w:footnoteReference w:id="9"/>
      </w:r>
      <w:r>
        <w:t xml:space="preserve">, provides a fantastically clear representation of this ‘horned-god’. Here his key characteristics are highly visible: an older man with antlers sprouting from his head, positioned in a cross-legged stance, wearing a torc whilst holding another and also holding a ram headed snake. </w:t>
      </w:r>
      <w:r w:rsidR="009B4473">
        <w:t xml:space="preserve">It is easy to see why Green uses the definitive when describing this deity’s meaning: “the god is lord of animals, fertility, abundance and regeneration.” To me this appears a little on the nose, it is too simplistic of an explanation for such imagery and completely ignores the </w:t>
      </w:r>
      <w:r w:rsidR="00223498">
        <w:t>argument</w:t>
      </w:r>
      <w:r w:rsidR="009B4473">
        <w:t xml:space="preserve"> </w:t>
      </w:r>
      <w:r w:rsidR="00223498">
        <w:t xml:space="preserve">that, if as Caesar presents: “… </w:t>
      </w:r>
      <w:r w:rsidR="00223498" w:rsidRPr="00223498">
        <w:t>one of their leading tenets, that souls do not become extinct, but pass after death from one body to another</w:t>
      </w:r>
      <w:r w:rsidR="00223498">
        <w:t>, …”</w:t>
      </w:r>
      <w:r w:rsidR="00223498">
        <w:rPr>
          <w:rStyle w:val="FootnoteReference"/>
        </w:rPr>
        <w:footnoteReference w:id="10"/>
      </w:r>
      <w:r w:rsidR="00223498">
        <w:t xml:space="preserve">, the Gallic peoples had a belief system that revolved around the principle of reincarnation. That this opens the door to the possibility of a more abstracted, </w:t>
      </w:r>
      <w:r w:rsidR="00955AD9">
        <w:t>chronological interpretation of the significance of these perennially growing and shedding antlers as representing a cyclical view of time, that this process is illustrative of such an idea in nature.</w:t>
      </w:r>
      <w:r w:rsidR="008F22C8">
        <w:t xml:space="preserve">  The Gundestrup cauldron however is not the only image we </w:t>
      </w:r>
      <w:r w:rsidR="008F22C8">
        <w:lastRenderedPageBreak/>
        <w:t>have of this ‘horned-god’. The earliest definitively European example of this deity comes from the numerous rock arts at Val-</w:t>
      </w:r>
      <w:proofErr w:type="spellStart"/>
      <w:r w:rsidR="008F22C8">
        <w:t>Camonica</w:t>
      </w:r>
      <w:proofErr w:type="spellEnd"/>
      <w:r w:rsidR="008F22C8">
        <w:t xml:space="preserve"> in northern </w:t>
      </w:r>
      <w:r w:rsidR="00B95DDF">
        <w:t>Italy and</w:t>
      </w:r>
      <w:r w:rsidR="008F22C8">
        <w:t xml:space="preserve"> is dated to the 4</w:t>
      </w:r>
      <w:r w:rsidR="008F22C8" w:rsidRPr="008F22C8">
        <w:rPr>
          <w:vertAlign w:val="superscript"/>
        </w:rPr>
        <w:t>th</w:t>
      </w:r>
      <w:r w:rsidR="008F22C8">
        <w:t xml:space="preserve"> century BC</w:t>
      </w:r>
      <w:r w:rsidR="008F22C8">
        <w:rPr>
          <w:rStyle w:val="FootnoteReference"/>
        </w:rPr>
        <w:footnoteReference w:id="11"/>
      </w:r>
      <w:r w:rsidR="00B95DDF">
        <w:t>. It depicts a</w:t>
      </w:r>
      <w:r w:rsidR="007A4D3E">
        <w:t xml:space="preserve">n upright </w:t>
      </w:r>
      <w:r w:rsidR="00B95DDF">
        <w:t xml:space="preserve">humanoid figure in what </w:t>
      </w:r>
      <w:proofErr w:type="spellStart"/>
      <w:r w:rsidR="00B95DDF">
        <w:t>Bober</w:t>
      </w:r>
      <w:proofErr w:type="spellEnd"/>
      <w:r w:rsidR="00B95DDF">
        <w:t xml:space="preserve"> </w:t>
      </w:r>
      <w:r w:rsidR="007A4D3E">
        <w:t xml:space="preserve">poorly </w:t>
      </w:r>
      <w:r w:rsidR="00B95DDF">
        <w:t>describes as an “</w:t>
      </w:r>
      <w:proofErr w:type="spellStart"/>
      <w:r w:rsidR="00B95DDF" w:rsidRPr="007A4D3E">
        <w:rPr>
          <w:i/>
        </w:rPr>
        <w:t>orans</w:t>
      </w:r>
      <w:proofErr w:type="spellEnd"/>
      <w:r w:rsidR="00B95DDF">
        <w:t>” position</w:t>
      </w:r>
      <w:r w:rsidR="00B95DDF">
        <w:rPr>
          <w:rStyle w:val="FootnoteReference"/>
        </w:rPr>
        <w:footnoteReference w:id="12"/>
      </w:r>
      <w:r w:rsidR="007A4D3E">
        <w:t xml:space="preserve"> bedecked with antlers. The dating of this art clearly demonstrates that ‘Cernunnos’ is a pre-Roman Deity and Cuncliffe goes as far as to suggest that it may even “reflect a hunting god of the pre-farming period.”</w:t>
      </w:r>
      <w:r w:rsidR="007A4D3E">
        <w:rPr>
          <w:rStyle w:val="FootnoteReference"/>
        </w:rPr>
        <w:footnoteReference w:id="13"/>
      </w:r>
      <w:r w:rsidR="007A4D3E">
        <w:t xml:space="preserve"> </w:t>
      </w:r>
      <w:r w:rsidR="00F427D9">
        <w:t>Cuncliffe links this to certain shamanistic practises of “later pastoral communities of Russia”</w:t>
      </w:r>
      <w:r w:rsidR="00F427D9">
        <w:rPr>
          <w:rStyle w:val="FootnoteReference"/>
        </w:rPr>
        <w:footnoteReference w:id="14"/>
      </w:r>
      <w:r w:rsidR="00F427D9">
        <w:t xml:space="preserve">, Green makes an interesting link to this too in a later work citing a find in Hertfordshire that she interprets as a deer antler ‘headdress’ dating from the fourth century AD and that “the ‘headdress’ has a marked similarity to that found at Starr </w:t>
      </w:r>
      <w:proofErr w:type="spellStart"/>
      <w:r w:rsidR="00F427D9">
        <w:t>Carr</w:t>
      </w:r>
      <w:proofErr w:type="spellEnd"/>
      <w:r w:rsidR="00F427D9">
        <w:t xml:space="preserve"> in Yorkshire, which has been dated to 7500BC.”</w:t>
      </w:r>
      <w:r w:rsidR="00F427D9">
        <w:rPr>
          <w:rStyle w:val="FootnoteReference"/>
        </w:rPr>
        <w:footnoteReference w:id="15"/>
      </w:r>
      <w:r w:rsidR="00F427D9">
        <w:t xml:space="preserve"> Now whilst this is all conjecture of course, it still raises very interesting ideas about the nature of ‘Celtic’ religions and ritual</w:t>
      </w:r>
      <w:r w:rsidR="00A12619">
        <w:t xml:space="preserve"> around this period</w:t>
      </w:r>
      <w:r w:rsidR="00F427D9">
        <w:t xml:space="preserve"> in general</w:t>
      </w:r>
      <w:r w:rsidR="00A12619">
        <w:t xml:space="preserve"> and furthermore gives us a tantalising, if not conceptual, glimpse of what pre-Roman veneration of this deity and thus its function may have appeared like. </w:t>
      </w:r>
    </w:p>
    <w:p w14:paraId="2590C23E" w14:textId="0AF4DB4A" w:rsidR="008F22C8" w:rsidRDefault="00A12619" w:rsidP="00C24209">
      <w:r>
        <w:t xml:space="preserve">Cernunnos as the ‘horned-god’ survived, at least visually, well into the Roman period up to the rise of Christianity. This is attested to by several iconographic sources, including the low-relief stone panel at Reims and as previously mentioned the ‘pillar of the boatmen’. The Reims </w:t>
      </w:r>
      <w:r w:rsidR="006A2F3A">
        <w:t xml:space="preserve">relief is of </w:t>
      </w:r>
      <w:proofErr w:type="gramStart"/>
      <w:r w:rsidR="006A2F3A">
        <w:t>particular interest</w:t>
      </w:r>
      <w:proofErr w:type="gramEnd"/>
      <w:r w:rsidR="006A2F3A">
        <w:t xml:space="preserve"> as it demonstrates the kind of Gallo-Roman syncretism that would become prevalent across Gaul after Caesar’s conquest. A clear representation of the ‘horned-god’ still depicted in the cross-legged fashion, still wearing a torc and still possessing horns or antlers on the head, yet ‘Cernunnos’ is beset on either side by Mercury and Apollo showing the amalgamation of beliefs in Roman Gaul.</w:t>
      </w:r>
    </w:p>
    <w:p w14:paraId="72B79E0D" w14:textId="3090A8A1" w:rsidR="00235606" w:rsidRDefault="006A2F3A" w:rsidP="00C24209">
      <w:r>
        <w:t xml:space="preserve">To summarise </w:t>
      </w:r>
      <w:r w:rsidR="002102DB">
        <w:t xml:space="preserve">I have endeavoured to demonstrate that not only the name, but also the meaning and function of this ‘horned-god’ or ‘Cernunnos’ are highly debatable and that these too differ with the passing of time. </w:t>
      </w:r>
    </w:p>
    <w:p w14:paraId="38A1F8AA" w14:textId="38CD52DF" w:rsidR="00235606" w:rsidRDefault="00235606" w:rsidP="00C24209"/>
    <w:p w14:paraId="37F108EF" w14:textId="34F07D16" w:rsidR="00235606" w:rsidRDefault="00235606" w:rsidP="00C24209"/>
    <w:p w14:paraId="08FB7AAE" w14:textId="329E15D7" w:rsidR="00235606" w:rsidRDefault="00235606" w:rsidP="00C24209"/>
    <w:p w14:paraId="75B8AE85" w14:textId="490C2737" w:rsidR="00235606" w:rsidRDefault="00235606" w:rsidP="00C24209"/>
    <w:p w14:paraId="72494F68" w14:textId="5C463573" w:rsidR="00235606" w:rsidRDefault="00235606" w:rsidP="00C24209"/>
    <w:p w14:paraId="0C7D7557" w14:textId="77777777" w:rsidR="00B145B8" w:rsidRDefault="00B145B8" w:rsidP="00C24209"/>
    <w:p w14:paraId="78D208D9" w14:textId="77777777" w:rsidR="00B145B8" w:rsidRDefault="00B145B8" w:rsidP="00B145B8">
      <w:pPr>
        <w:pStyle w:val="Bibliography"/>
        <w:rPr>
          <w:noProof/>
          <w:sz w:val="24"/>
          <w:szCs w:val="24"/>
        </w:rPr>
      </w:pPr>
      <w:r>
        <w:lastRenderedPageBreak/>
        <w:fldChar w:fldCharType="begin"/>
      </w:r>
      <w:r>
        <w:instrText xml:space="preserve"> BIBLIOGRAPHY  \l 2057 </w:instrText>
      </w:r>
      <w:r>
        <w:fldChar w:fldCharType="separate"/>
      </w:r>
      <w:r>
        <w:rPr>
          <w:noProof/>
        </w:rPr>
        <w:t xml:space="preserve">Bober, P. F., 1951. Cernunnos: Origin and Transformation of a Celtic Divinity. </w:t>
      </w:r>
      <w:r>
        <w:rPr>
          <w:i/>
          <w:iCs/>
          <w:noProof/>
        </w:rPr>
        <w:t xml:space="preserve">American Journal of Archaeology, </w:t>
      </w:r>
      <w:r>
        <w:rPr>
          <w:noProof/>
        </w:rPr>
        <w:t>55(1), pp. 14-19.</w:t>
      </w:r>
    </w:p>
    <w:p w14:paraId="2CAA6BFD" w14:textId="77777777" w:rsidR="00B145B8" w:rsidRDefault="00B145B8" w:rsidP="00B145B8">
      <w:pPr>
        <w:pStyle w:val="Bibliography"/>
        <w:rPr>
          <w:noProof/>
        </w:rPr>
      </w:pPr>
      <w:r>
        <w:rPr>
          <w:noProof/>
        </w:rPr>
        <w:t xml:space="preserve">Cuncliffe, B., 1992. </w:t>
      </w:r>
      <w:r>
        <w:rPr>
          <w:i/>
          <w:iCs/>
          <w:noProof/>
        </w:rPr>
        <w:t xml:space="preserve">The Celtic World. </w:t>
      </w:r>
      <w:r>
        <w:rPr>
          <w:noProof/>
        </w:rPr>
        <w:t>1st ed. London: Constable and Company Ltd.</w:t>
      </w:r>
    </w:p>
    <w:p w14:paraId="20FD85D4" w14:textId="77777777" w:rsidR="00B145B8" w:rsidRDefault="00B145B8" w:rsidP="00B145B8">
      <w:pPr>
        <w:pStyle w:val="Bibliography"/>
        <w:rPr>
          <w:noProof/>
        </w:rPr>
      </w:pPr>
      <w:r>
        <w:rPr>
          <w:noProof/>
        </w:rPr>
        <w:t xml:space="preserve">Davies, J., 2000. </w:t>
      </w:r>
      <w:r>
        <w:rPr>
          <w:i/>
          <w:iCs/>
          <w:noProof/>
        </w:rPr>
        <w:t xml:space="preserve">The Celts; Prehistory to Present Day. </w:t>
      </w:r>
      <w:r>
        <w:rPr>
          <w:noProof/>
        </w:rPr>
        <w:t>2nd ed. London: Cassell &amp; Co.</w:t>
      </w:r>
    </w:p>
    <w:p w14:paraId="3903E358" w14:textId="77777777" w:rsidR="00B145B8" w:rsidRDefault="00B145B8" w:rsidP="00B145B8">
      <w:pPr>
        <w:pStyle w:val="Bibliography"/>
        <w:rPr>
          <w:noProof/>
        </w:rPr>
      </w:pPr>
      <w:r>
        <w:rPr>
          <w:noProof/>
        </w:rPr>
        <w:t xml:space="preserve">Ellis, P. B., 1998. </w:t>
      </w:r>
      <w:r>
        <w:rPr>
          <w:i/>
          <w:iCs/>
          <w:noProof/>
        </w:rPr>
        <w:t xml:space="preserve">The Ancient World of the Celts. </w:t>
      </w:r>
      <w:r>
        <w:rPr>
          <w:noProof/>
        </w:rPr>
        <w:t>1st ed. London: Constable.</w:t>
      </w:r>
    </w:p>
    <w:p w14:paraId="65356BD3" w14:textId="77777777" w:rsidR="00B145B8" w:rsidRDefault="00B145B8" w:rsidP="00B145B8">
      <w:pPr>
        <w:pStyle w:val="Bibliography"/>
        <w:rPr>
          <w:noProof/>
        </w:rPr>
      </w:pPr>
      <w:r>
        <w:rPr>
          <w:noProof/>
        </w:rPr>
        <w:t xml:space="preserve">Green, M. J., 1992. </w:t>
      </w:r>
      <w:r>
        <w:rPr>
          <w:i/>
          <w:iCs/>
          <w:noProof/>
        </w:rPr>
        <w:t xml:space="preserve">Dictionary of Celtic Myth and Legend. </w:t>
      </w:r>
      <w:r>
        <w:rPr>
          <w:noProof/>
        </w:rPr>
        <w:t>1st ed. London: Thames and Hudson Ltd.</w:t>
      </w:r>
    </w:p>
    <w:p w14:paraId="4D767B15" w14:textId="77777777" w:rsidR="00B145B8" w:rsidRDefault="00B145B8" w:rsidP="00B145B8">
      <w:pPr>
        <w:pStyle w:val="Bibliography"/>
        <w:rPr>
          <w:noProof/>
        </w:rPr>
      </w:pPr>
      <w:r>
        <w:rPr>
          <w:noProof/>
        </w:rPr>
        <w:t xml:space="preserve">J.Green, M., 1997. </w:t>
      </w:r>
      <w:r>
        <w:rPr>
          <w:i/>
          <w:iCs/>
          <w:noProof/>
        </w:rPr>
        <w:t xml:space="preserve">Exploring the World of the Druids. </w:t>
      </w:r>
      <w:r>
        <w:rPr>
          <w:noProof/>
        </w:rPr>
        <w:t>2nd ed. London: Thames and Hudson Ltd.</w:t>
      </w:r>
    </w:p>
    <w:p w14:paraId="555CB104" w14:textId="77777777" w:rsidR="00B145B8" w:rsidRDefault="00B145B8" w:rsidP="00B145B8">
      <w:pPr>
        <w:pStyle w:val="Bibliography"/>
        <w:rPr>
          <w:noProof/>
        </w:rPr>
      </w:pPr>
      <w:r>
        <w:rPr>
          <w:noProof/>
        </w:rPr>
        <w:t xml:space="preserve">Leeming, D., 2005. </w:t>
      </w:r>
      <w:r>
        <w:rPr>
          <w:i/>
          <w:iCs/>
          <w:noProof/>
        </w:rPr>
        <w:t xml:space="preserve">The Oxford Companion to World Mythology. </w:t>
      </w:r>
      <w:r>
        <w:rPr>
          <w:noProof/>
        </w:rPr>
        <w:t>1st ed. Oxford: Oxford University Press.</w:t>
      </w:r>
    </w:p>
    <w:p w14:paraId="5FFFBEDE" w14:textId="77777777" w:rsidR="00B145B8" w:rsidRDefault="00B145B8" w:rsidP="00B145B8">
      <w:pPr>
        <w:pStyle w:val="Bibliography"/>
        <w:rPr>
          <w:noProof/>
        </w:rPr>
      </w:pPr>
      <w:r>
        <w:rPr>
          <w:noProof/>
        </w:rPr>
        <w:t xml:space="preserve">MacCana, P., 1970. </w:t>
      </w:r>
      <w:r>
        <w:rPr>
          <w:i/>
          <w:iCs/>
          <w:noProof/>
        </w:rPr>
        <w:t xml:space="preserve">Celtic Mythology. </w:t>
      </w:r>
      <w:r>
        <w:rPr>
          <w:noProof/>
        </w:rPr>
        <w:t>1st ed. London: The Hamlyn Publishing Group Limited.</w:t>
      </w:r>
    </w:p>
    <w:p w14:paraId="714A315F" w14:textId="77777777" w:rsidR="00B145B8" w:rsidRDefault="00B145B8" w:rsidP="00B145B8">
      <w:pPr>
        <w:pStyle w:val="Bibliography"/>
        <w:rPr>
          <w:noProof/>
        </w:rPr>
      </w:pPr>
      <w:r>
        <w:rPr>
          <w:noProof/>
        </w:rPr>
        <w:t xml:space="preserve">Maier, B., 2000. </w:t>
      </w:r>
      <w:r>
        <w:rPr>
          <w:i/>
          <w:iCs/>
          <w:noProof/>
        </w:rPr>
        <w:t xml:space="preserve">Dictionary of Celtic Religion and Culture. </w:t>
      </w:r>
      <w:r>
        <w:rPr>
          <w:noProof/>
        </w:rPr>
        <w:t>2nd ed. Woodbridge: The Boydell Press.</w:t>
      </w:r>
    </w:p>
    <w:p w14:paraId="46550AD7" w14:textId="77777777" w:rsidR="00B145B8" w:rsidRDefault="00B145B8" w:rsidP="00B145B8">
      <w:pPr>
        <w:pStyle w:val="Bibliography"/>
        <w:rPr>
          <w:noProof/>
        </w:rPr>
      </w:pPr>
      <w:r>
        <w:rPr>
          <w:noProof/>
        </w:rPr>
        <w:t xml:space="preserve">Nielsen, S. et al., 2005. THE GUNDESTRUP CAULDRON; New Scientific and Technical Investigations. </w:t>
      </w:r>
      <w:r>
        <w:rPr>
          <w:i/>
          <w:iCs/>
          <w:noProof/>
        </w:rPr>
        <w:t xml:space="preserve">Arta Archaeologica, </w:t>
      </w:r>
      <w:r>
        <w:rPr>
          <w:noProof/>
        </w:rPr>
        <w:t>76(0065-101X), pp. 1-58.</w:t>
      </w:r>
    </w:p>
    <w:p w14:paraId="7A928B89" w14:textId="2037B622" w:rsidR="00235606" w:rsidRDefault="00B145B8" w:rsidP="00B145B8">
      <w:r>
        <w:fldChar w:fldCharType="end"/>
      </w:r>
    </w:p>
    <w:p w14:paraId="28448D86" w14:textId="71643FEB" w:rsidR="008F22C8" w:rsidRDefault="002102DB" w:rsidP="00C24209">
      <w:r w:rsidRPr="002102DB">
        <w:t xml:space="preserve">Caesar, The Conquest of Gaul. S.A. </w:t>
      </w:r>
      <w:proofErr w:type="spellStart"/>
      <w:r w:rsidRPr="002102DB">
        <w:t>Handford</w:t>
      </w:r>
      <w:proofErr w:type="spellEnd"/>
      <w:r w:rsidRPr="002102DB">
        <w:t xml:space="preserve"> (trans.). 1951. London: Penguin Classics.</w:t>
      </w:r>
    </w:p>
    <w:p w14:paraId="6BEC8E7A" w14:textId="372481CE" w:rsidR="002102DB" w:rsidRDefault="002102DB" w:rsidP="00C24209"/>
    <w:p w14:paraId="0E948232" w14:textId="6DE3AA71" w:rsidR="002102DB" w:rsidRDefault="002102DB" w:rsidP="002102DB">
      <w:pPr>
        <w:tabs>
          <w:tab w:val="center" w:pos="4513"/>
        </w:tabs>
      </w:pPr>
      <w:r>
        <w:t xml:space="preserve">Figure 1; the British Museum. ‘The Gundestrup Cauldron’, panel of cauldron depicting a horned deity. 2015. </w:t>
      </w:r>
      <w:hyperlink r:id="rId8" w:history="1">
        <w:r w:rsidRPr="0032548D">
          <w:rPr>
            <w:rStyle w:val="Hyperlink"/>
          </w:rPr>
          <w:t>https://britishmuseum.tumblr.com/post/132087416007/the-gundestrup-cauldron</w:t>
        </w:r>
      </w:hyperlink>
      <w:r>
        <w:t xml:space="preserve"> </w:t>
      </w:r>
      <w:r w:rsidR="00235606">
        <w:t>[Accessed on: 5</w:t>
      </w:r>
      <w:r w:rsidR="00235606" w:rsidRPr="00235606">
        <w:rPr>
          <w:vertAlign w:val="superscript"/>
        </w:rPr>
        <w:t>th</w:t>
      </w:r>
      <w:r w:rsidR="00235606">
        <w:t xml:space="preserve"> October 2018]</w:t>
      </w:r>
    </w:p>
    <w:p w14:paraId="0B9653AA" w14:textId="7A6CFD23" w:rsidR="006052B6" w:rsidRPr="006D2FB4" w:rsidRDefault="006052B6" w:rsidP="00C24209"/>
    <w:sectPr w:rsidR="006052B6" w:rsidRPr="006D2F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B955ED" w14:textId="77777777" w:rsidR="00536833" w:rsidRDefault="00536833" w:rsidP="00C24209">
      <w:pPr>
        <w:spacing w:after="0" w:line="240" w:lineRule="auto"/>
      </w:pPr>
      <w:r>
        <w:separator/>
      </w:r>
    </w:p>
  </w:endnote>
  <w:endnote w:type="continuationSeparator" w:id="0">
    <w:p w14:paraId="6B4569D0" w14:textId="77777777" w:rsidR="00536833" w:rsidRDefault="00536833" w:rsidP="00C24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BF2F9F" w14:textId="77777777" w:rsidR="00536833" w:rsidRDefault="00536833" w:rsidP="00C24209">
      <w:pPr>
        <w:spacing w:after="0" w:line="240" w:lineRule="auto"/>
      </w:pPr>
      <w:r>
        <w:separator/>
      </w:r>
    </w:p>
  </w:footnote>
  <w:footnote w:type="continuationSeparator" w:id="0">
    <w:p w14:paraId="523E36BE" w14:textId="77777777" w:rsidR="00536833" w:rsidRDefault="00536833" w:rsidP="00C24209">
      <w:pPr>
        <w:spacing w:after="0" w:line="240" w:lineRule="auto"/>
      </w:pPr>
      <w:r>
        <w:continuationSeparator/>
      </w:r>
    </w:p>
  </w:footnote>
  <w:footnote w:id="1">
    <w:p w14:paraId="1286153E" w14:textId="2265F143" w:rsidR="002102DB" w:rsidRDefault="002102DB">
      <w:pPr>
        <w:pStyle w:val="FootnoteText"/>
      </w:pPr>
      <w:r>
        <w:rPr>
          <w:rStyle w:val="FootnoteReference"/>
        </w:rPr>
        <w:footnoteRef/>
      </w:r>
      <w:r>
        <w:t xml:space="preserve"> </w:t>
      </w:r>
      <w:proofErr w:type="spellStart"/>
      <w:r>
        <w:t>Caes</w:t>
      </w:r>
      <w:proofErr w:type="spellEnd"/>
      <w:r>
        <w:t>. Gal. 6.17.1</w:t>
      </w:r>
    </w:p>
  </w:footnote>
  <w:footnote w:id="2">
    <w:p w14:paraId="214A5ECB" w14:textId="3282EF7B" w:rsidR="002102DB" w:rsidRDefault="002102DB">
      <w:pPr>
        <w:pStyle w:val="FootnoteText"/>
      </w:pPr>
      <w:r>
        <w:rPr>
          <w:rStyle w:val="FootnoteReference"/>
        </w:rPr>
        <w:footnoteRef/>
      </w:r>
      <w:r>
        <w:t xml:space="preserve"> Leeming, D. 2005. ‘Cernunnos’ – also see. Green, M.J. 1992. Pg.60 – here Green correlates the deity’s worship with its “monument distribution”.</w:t>
      </w:r>
    </w:p>
  </w:footnote>
  <w:footnote w:id="3">
    <w:p w14:paraId="0BDCB452" w14:textId="4F2C2908" w:rsidR="002102DB" w:rsidRDefault="002102DB">
      <w:pPr>
        <w:pStyle w:val="FootnoteText"/>
      </w:pPr>
      <w:r>
        <w:rPr>
          <w:rStyle w:val="FootnoteReference"/>
        </w:rPr>
        <w:footnoteRef/>
      </w:r>
      <w:r>
        <w:t xml:space="preserve"> Ellis, P.B. 1998. Pg.170</w:t>
      </w:r>
    </w:p>
  </w:footnote>
  <w:footnote w:id="4">
    <w:p w14:paraId="155B8026" w14:textId="5DFCE995" w:rsidR="002102DB" w:rsidRDefault="002102DB">
      <w:pPr>
        <w:pStyle w:val="FootnoteText"/>
      </w:pPr>
      <w:r>
        <w:rPr>
          <w:rStyle w:val="FootnoteReference"/>
        </w:rPr>
        <w:footnoteRef/>
      </w:r>
      <w:r>
        <w:t xml:space="preserve"> Maier, 2000. Pg.69</w:t>
      </w:r>
    </w:p>
  </w:footnote>
  <w:footnote w:id="5">
    <w:p w14:paraId="2D0B5FA5" w14:textId="3BD67C8E" w:rsidR="002102DB" w:rsidRDefault="002102DB">
      <w:pPr>
        <w:pStyle w:val="FootnoteText"/>
      </w:pPr>
      <w:r>
        <w:rPr>
          <w:rStyle w:val="FootnoteReference"/>
        </w:rPr>
        <w:footnoteRef/>
      </w:r>
      <w:r>
        <w:t xml:space="preserve"> Green, Ellis and Cuncliffe all take [c]</w:t>
      </w:r>
      <w:proofErr w:type="spellStart"/>
      <w:r>
        <w:t>ernunnos</w:t>
      </w:r>
      <w:proofErr w:type="spellEnd"/>
      <w:r>
        <w:t xml:space="preserve"> to be ‘horned one’ or ‘horned god’</w:t>
      </w:r>
    </w:p>
  </w:footnote>
  <w:footnote w:id="6">
    <w:p w14:paraId="102B7D07" w14:textId="11077A34" w:rsidR="002102DB" w:rsidRDefault="002102DB">
      <w:pPr>
        <w:pStyle w:val="FootnoteText"/>
      </w:pPr>
      <w:r>
        <w:rPr>
          <w:rStyle w:val="FootnoteReference"/>
        </w:rPr>
        <w:footnoteRef/>
      </w:r>
      <w:r>
        <w:t xml:space="preserve"> </w:t>
      </w:r>
      <w:r w:rsidRPr="000E3A5C">
        <w:t>Maier,</w:t>
      </w:r>
      <w:r>
        <w:t xml:space="preserve"> B. </w:t>
      </w:r>
      <w:r w:rsidRPr="000E3A5C">
        <w:t xml:space="preserve"> 2000. Pg.69</w:t>
      </w:r>
    </w:p>
  </w:footnote>
  <w:footnote w:id="7">
    <w:p w14:paraId="4F3BBC53" w14:textId="05F691F1" w:rsidR="002102DB" w:rsidRDefault="002102DB">
      <w:pPr>
        <w:pStyle w:val="FootnoteText"/>
      </w:pPr>
      <w:r>
        <w:rPr>
          <w:rStyle w:val="FootnoteReference"/>
        </w:rPr>
        <w:footnoteRef/>
      </w:r>
      <w:r>
        <w:t xml:space="preserve"> </w:t>
      </w:r>
      <w:bookmarkStart w:id="1" w:name="_Hlk526532348"/>
      <w:proofErr w:type="spellStart"/>
      <w:r>
        <w:t>Bober</w:t>
      </w:r>
      <w:proofErr w:type="spellEnd"/>
      <w:r>
        <w:t>, P.F. 1951. Pg.14</w:t>
      </w:r>
      <w:bookmarkEnd w:id="1"/>
    </w:p>
  </w:footnote>
  <w:footnote w:id="8">
    <w:p w14:paraId="65234406" w14:textId="40D287EC" w:rsidR="002102DB" w:rsidRDefault="002102DB">
      <w:pPr>
        <w:pStyle w:val="FootnoteText"/>
      </w:pPr>
      <w:r>
        <w:rPr>
          <w:rStyle w:val="FootnoteReference"/>
        </w:rPr>
        <w:footnoteRef/>
      </w:r>
      <w:r>
        <w:t xml:space="preserve"> Fig 1.</w:t>
      </w:r>
    </w:p>
  </w:footnote>
  <w:footnote w:id="9">
    <w:p w14:paraId="6EF6EE6A" w14:textId="27BBD9B7" w:rsidR="002102DB" w:rsidRDefault="002102DB">
      <w:pPr>
        <w:pStyle w:val="FootnoteText"/>
      </w:pPr>
      <w:r>
        <w:rPr>
          <w:rStyle w:val="FootnoteReference"/>
        </w:rPr>
        <w:footnoteRef/>
      </w:r>
      <w:r>
        <w:t xml:space="preserve"> Traditional dating of this cauldron as expressed by the Danish national museum appears to be c.150BC-0AD, however a 2005 paper: ‘</w:t>
      </w:r>
      <w:r w:rsidRPr="006052B6">
        <w:rPr>
          <w:i/>
        </w:rPr>
        <w:t>THE GUNDESTRUP CAULDRON: New Scientific and Technical Investigations</w:t>
      </w:r>
      <w:r w:rsidRPr="006052B6">
        <w:t>.</w:t>
      </w:r>
      <w:r>
        <w:t xml:space="preserve">’ Absolutely refutes this through a highly analytical process, not just including multiple isotope dating’s it must be added, and squarely places the range at a later “1AD-400AD” and definitely within the “Roman iron-age”. </w:t>
      </w:r>
      <w:r w:rsidRPr="00223498">
        <w:t>(Nielsen, et al., 2005)</w:t>
      </w:r>
      <w:r>
        <w:t xml:space="preserve">. </w:t>
      </w:r>
    </w:p>
  </w:footnote>
  <w:footnote w:id="10">
    <w:p w14:paraId="78789E3B" w14:textId="19468B5E" w:rsidR="002102DB" w:rsidRDefault="002102DB">
      <w:pPr>
        <w:pStyle w:val="FootnoteText"/>
      </w:pPr>
      <w:r>
        <w:rPr>
          <w:rStyle w:val="FootnoteReference"/>
        </w:rPr>
        <w:footnoteRef/>
      </w:r>
      <w:r>
        <w:t xml:space="preserve"> </w:t>
      </w:r>
      <w:proofErr w:type="spellStart"/>
      <w:r>
        <w:t>Caes</w:t>
      </w:r>
      <w:proofErr w:type="spellEnd"/>
      <w:r>
        <w:t>. Gal. 6.14</w:t>
      </w:r>
    </w:p>
  </w:footnote>
  <w:footnote w:id="11">
    <w:p w14:paraId="2D9CAACD" w14:textId="391B8ED8" w:rsidR="002102DB" w:rsidRDefault="002102DB">
      <w:pPr>
        <w:pStyle w:val="FootnoteText"/>
      </w:pPr>
      <w:r>
        <w:rPr>
          <w:rStyle w:val="FootnoteReference"/>
        </w:rPr>
        <w:footnoteRef/>
      </w:r>
      <w:r>
        <w:t xml:space="preserve"> </w:t>
      </w:r>
      <w:proofErr w:type="spellStart"/>
      <w:r>
        <w:t>MacCana</w:t>
      </w:r>
      <w:proofErr w:type="spellEnd"/>
      <w:r>
        <w:t>, P. 1970. Pg.44</w:t>
      </w:r>
    </w:p>
  </w:footnote>
  <w:footnote w:id="12">
    <w:p w14:paraId="45336EED" w14:textId="361A4369" w:rsidR="002102DB" w:rsidRDefault="002102DB">
      <w:pPr>
        <w:pStyle w:val="FootnoteText"/>
      </w:pPr>
      <w:r>
        <w:rPr>
          <w:rStyle w:val="FootnoteReference"/>
        </w:rPr>
        <w:footnoteRef/>
      </w:r>
      <w:r>
        <w:t xml:space="preserve"> </w:t>
      </w:r>
      <w:proofErr w:type="spellStart"/>
      <w:r w:rsidRPr="00B95DDF">
        <w:t>Bober</w:t>
      </w:r>
      <w:proofErr w:type="spellEnd"/>
      <w:r w:rsidRPr="00B95DDF">
        <w:t>, P.F. 1951. Pg.14</w:t>
      </w:r>
      <w:r>
        <w:t xml:space="preserve"> – I feel that </w:t>
      </w:r>
      <w:proofErr w:type="spellStart"/>
      <w:r>
        <w:t>Bober</w:t>
      </w:r>
      <w:proofErr w:type="spellEnd"/>
      <w:r>
        <w:t xml:space="preserve"> utilises the term ‘</w:t>
      </w:r>
      <w:proofErr w:type="spellStart"/>
      <w:r>
        <w:t>orans</w:t>
      </w:r>
      <w:proofErr w:type="spellEnd"/>
      <w:r>
        <w:t>’ cheaply because of its heavy connotations with the Catholic church therefore it must carry its religiosity with it, I disagree that the pose has religious meaning in this context and is more of an artistic choice as it maximises the contents of the hands of the figure when in a two-dimensional medium. Note that this position is lost with the advent of Romanesque stone sculpture in Gaul.</w:t>
      </w:r>
    </w:p>
  </w:footnote>
  <w:footnote w:id="13">
    <w:p w14:paraId="4C41B8CA" w14:textId="023333C7" w:rsidR="002102DB" w:rsidRDefault="002102DB">
      <w:pPr>
        <w:pStyle w:val="FootnoteText"/>
      </w:pPr>
      <w:r>
        <w:rPr>
          <w:rStyle w:val="FootnoteReference"/>
        </w:rPr>
        <w:footnoteRef/>
      </w:r>
      <w:r>
        <w:t xml:space="preserve"> Cuncliffe, B. 1992. Pg.75</w:t>
      </w:r>
    </w:p>
  </w:footnote>
  <w:footnote w:id="14">
    <w:p w14:paraId="37DF643A" w14:textId="02153EE9" w:rsidR="002102DB" w:rsidRDefault="002102DB">
      <w:pPr>
        <w:pStyle w:val="FootnoteText"/>
      </w:pPr>
      <w:r>
        <w:rPr>
          <w:rStyle w:val="FootnoteReference"/>
        </w:rPr>
        <w:footnoteRef/>
      </w:r>
      <w:r>
        <w:t xml:space="preserve"> </w:t>
      </w:r>
      <w:r w:rsidRPr="00F427D9">
        <w:t>Cuncliffe, B. 1992. Pg.75</w:t>
      </w:r>
    </w:p>
  </w:footnote>
  <w:footnote w:id="15">
    <w:p w14:paraId="573DCBE6" w14:textId="3F3E499B" w:rsidR="002102DB" w:rsidRDefault="002102DB">
      <w:pPr>
        <w:pStyle w:val="FootnoteText"/>
      </w:pPr>
      <w:r>
        <w:rPr>
          <w:rStyle w:val="FootnoteReference"/>
        </w:rPr>
        <w:footnoteRef/>
      </w:r>
      <w:r>
        <w:t xml:space="preserve"> Green, M.J. 1997. Pg.59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630A8"/>
    <w:rsid w:val="00025A47"/>
    <w:rsid w:val="00087AFE"/>
    <w:rsid w:val="00093932"/>
    <w:rsid w:val="000A715B"/>
    <w:rsid w:val="000E3A5C"/>
    <w:rsid w:val="00107763"/>
    <w:rsid w:val="00136858"/>
    <w:rsid w:val="0017784F"/>
    <w:rsid w:val="002102DB"/>
    <w:rsid w:val="00223498"/>
    <w:rsid w:val="00235606"/>
    <w:rsid w:val="002658CF"/>
    <w:rsid w:val="002817EE"/>
    <w:rsid w:val="00297C38"/>
    <w:rsid w:val="002C12FF"/>
    <w:rsid w:val="00335E32"/>
    <w:rsid w:val="00414195"/>
    <w:rsid w:val="004630A8"/>
    <w:rsid w:val="004E695B"/>
    <w:rsid w:val="00536833"/>
    <w:rsid w:val="006052B6"/>
    <w:rsid w:val="006877A0"/>
    <w:rsid w:val="006A2F3A"/>
    <w:rsid w:val="006B6851"/>
    <w:rsid w:val="006D2FB4"/>
    <w:rsid w:val="00772196"/>
    <w:rsid w:val="007857AE"/>
    <w:rsid w:val="0078766C"/>
    <w:rsid w:val="00790EED"/>
    <w:rsid w:val="00794F0D"/>
    <w:rsid w:val="007A4D3E"/>
    <w:rsid w:val="007C4AF2"/>
    <w:rsid w:val="007C6404"/>
    <w:rsid w:val="00806A11"/>
    <w:rsid w:val="0086552F"/>
    <w:rsid w:val="00873FCE"/>
    <w:rsid w:val="00887D8D"/>
    <w:rsid w:val="008F22C8"/>
    <w:rsid w:val="00950C68"/>
    <w:rsid w:val="00955AD9"/>
    <w:rsid w:val="009B4473"/>
    <w:rsid w:val="00A042C6"/>
    <w:rsid w:val="00A12619"/>
    <w:rsid w:val="00A6548F"/>
    <w:rsid w:val="00A734B8"/>
    <w:rsid w:val="00A945B8"/>
    <w:rsid w:val="00AD45EB"/>
    <w:rsid w:val="00AF6BD2"/>
    <w:rsid w:val="00B145B8"/>
    <w:rsid w:val="00B95DDF"/>
    <w:rsid w:val="00BA1467"/>
    <w:rsid w:val="00BE2DDE"/>
    <w:rsid w:val="00BE415C"/>
    <w:rsid w:val="00C17766"/>
    <w:rsid w:val="00C24209"/>
    <w:rsid w:val="00D0563E"/>
    <w:rsid w:val="00DB5AC4"/>
    <w:rsid w:val="00DE28E7"/>
    <w:rsid w:val="00DF137F"/>
    <w:rsid w:val="00DF1DBA"/>
    <w:rsid w:val="00DF5568"/>
    <w:rsid w:val="00E664A2"/>
    <w:rsid w:val="00ED07DA"/>
    <w:rsid w:val="00F164D7"/>
    <w:rsid w:val="00F27DB5"/>
    <w:rsid w:val="00F427D9"/>
    <w:rsid w:val="00F92D5B"/>
    <w:rsid w:val="00F955A1"/>
    <w:rsid w:val="00FF4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026E1"/>
  <w15:chartTrackingRefBased/>
  <w15:docId w15:val="{F3FFFEB0-2BFB-4E36-A29A-AA2BCA5EF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0A8"/>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6052B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0A8"/>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C24209"/>
  </w:style>
  <w:style w:type="paragraph" w:styleId="FootnoteText">
    <w:name w:val="footnote text"/>
    <w:basedOn w:val="Normal"/>
    <w:link w:val="FootnoteTextChar"/>
    <w:uiPriority w:val="99"/>
    <w:semiHidden/>
    <w:unhideWhenUsed/>
    <w:rsid w:val="00C242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4209"/>
    <w:rPr>
      <w:sz w:val="20"/>
      <w:szCs w:val="20"/>
    </w:rPr>
  </w:style>
  <w:style w:type="character" w:styleId="FootnoteReference">
    <w:name w:val="footnote reference"/>
    <w:basedOn w:val="DefaultParagraphFont"/>
    <w:uiPriority w:val="99"/>
    <w:semiHidden/>
    <w:unhideWhenUsed/>
    <w:rsid w:val="00C24209"/>
    <w:rPr>
      <w:vertAlign w:val="superscript"/>
    </w:rPr>
  </w:style>
  <w:style w:type="character" w:customStyle="1" w:styleId="Heading2Char">
    <w:name w:val="Heading 2 Char"/>
    <w:basedOn w:val="DefaultParagraphFont"/>
    <w:link w:val="Heading2"/>
    <w:uiPriority w:val="9"/>
    <w:semiHidden/>
    <w:rsid w:val="006052B6"/>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2102DB"/>
    <w:rPr>
      <w:color w:val="0000FF" w:themeColor="hyperlink"/>
      <w:u w:val="single"/>
    </w:rPr>
  </w:style>
  <w:style w:type="character" w:styleId="UnresolvedMention">
    <w:name w:val="Unresolved Mention"/>
    <w:basedOn w:val="DefaultParagraphFont"/>
    <w:uiPriority w:val="99"/>
    <w:semiHidden/>
    <w:unhideWhenUsed/>
    <w:rsid w:val="002102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025516">
      <w:bodyDiv w:val="1"/>
      <w:marLeft w:val="0"/>
      <w:marRight w:val="0"/>
      <w:marTop w:val="0"/>
      <w:marBottom w:val="0"/>
      <w:divBdr>
        <w:top w:val="none" w:sz="0" w:space="0" w:color="auto"/>
        <w:left w:val="none" w:sz="0" w:space="0" w:color="auto"/>
        <w:bottom w:val="none" w:sz="0" w:space="0" w:color="auto"/>
        <w:right w:val="none" w:sz="0" w:space="0" w:color="auto"/>
      </w:divBdr>
    </w:div>
    <w:div w:id="224342271">
      <w:bodyDiv w:val="1"/>
      <w:marLeft w:val="0"/>
      <w:marRight w:val="0"/>
      <w:marTop w:val="0"/>
      <w:marBottom w:val="0"/>
      <w:divBdr>
        <w:top w:val="none" w:sz="0" w:space="0" w:color="auto"/>
        <w:left w:val="none" w:sz="0" w:space="0" w:color="auto"/>
        <w:bottom w:val="none" w:sz="0" w:space="0" w:color="auto"/>
        <w:right w:val="none" w:sz="0" w:space="0" w:color="auto"/>
      </w:divBdr>
    </w:div>
    <w:div w:id="261574393">
      <w:bodyDiv w:val="1"/>
      <w:marLeft w:val="0"/>
      <w:marRight w:val="0"/>
      <w:marTop w:val="0"/>
      <w:marBottom w:val="0"/>
      <w:divBdr>
        <w:top w:val="none" w:sz="0" w:space="0" w:color="auto"/>
        <w:left w:val="none" w:sz="0" w:space="0" w:color="auto"/>
        <w:bottom w:val="none" w:sz="0" w:space="0" w:color="auto"/>
        <w:right w:val="none" w:sz="0" w:space="0" w:color="auto"/>
      </w:divBdr>
    </w:div>
    <w:div w:id="318466228">
      <w:bodyDiv w:val="1"/>
      <w:marLeft w:val="0"/>
      <w:marRight w:val="0"/>
      <w:marTop w:val="0"/>
      <w:marBottom w:val="0"/>
      <w:divBdr>
        <w:top w:val="none" w:sz="0" w:space="0" w:color="auto"/>
        <w:left w:val="none" w:sz="0" w:space="0" w:color="auto"/>
        <w:bottom w:val="none" w:sz="0" w:space="0" w:color="auto"/>
        <w:right w:val="none" w:sz="0" w:space="0" w:color="auto"/>
      </w:divBdr>
    </w:div>
    <w:div w:id="325597838">
      <w:bodyDiv w:val="1"/>
      <w:marLeft w:val="0"/>
      <w:marRight w:val="0"/>
      <w:marTop w:val="0"/>
      <w:marBottom w:val="0"/>
      <w:divBdr>
        <w:top w:val="none" w:sz="0" w:space="0" w:color="auto"/>
        <w:left w:val="none" w:sz="0" w:space="0" w:color="auto"/>
        <w:bottom w:val="none" w:sz="0" w:space="0" w:color="auto"/>
        <w:right w:val="none" w:sz="0" w:space="0" w:color="auto"/>
      </w:divBdr>
    </w:div>
    <w:div w:id="340938367">
      <w:bodyDiv w:val="1"/>
      <w:marLeft w:val="0"/>
      <w:marRight w:val="0"/>
      <w:marTop w:val="0"/>
      <w:marBottom w:val="0"/>
      <w:divBdr>
        <w:top w:val="none" w:sz="0" w:space="0" w:color="auto"/>
        <w:left w:val="none" w:sz="0" w:space="0" w:color="auto"/>
        <w:bottom w:val="none" w:sz="0" w:space="0" w:color="auto"/>
        <w:right w:val="none" w:sz="0" w:space="0" w:color="auto"/>
      </w:divBdr>
    </w:div>
    <w:div w:id="902834620">
      <w:bodyDiv w:val="1"/>
      <w:marLeft w:val="0"/>
      <w:marRight w:val="0"/>
      <w:marTop w:val="0"/>
      <w:marBottom w:val="0"/>
      <w:divBdr>
        <w:top w:val="none" w:sz="0" w:space="0" w:color="auto"/>
        <w:left w:val="none" w:sz="0" w:space="0" w:color="auto"/>
        <w:bottom w:val="none" w:sz="0" w:space="0" w:color="auto"/>
        <w:right w:val="none" w:sz="0" w:space="0" w:color="auto"/>
      </w:divBdr>
    </w:div>
    <w:div w:id="950940082">
      <w:bodyDiv w:val="1"/>
      <w:marLeft w:val="0"/>
      <w:marRight w:val="0"/>
      <w:marTop w:val="0"/>
      <w:marBottom w:val="0"/>
      <w:divBdr>
        <w:top w:val="none" w:sz="0" w:space="0" w:color="auto"/>
        <w:left w:val="none" w:sz="0" w:space="0" w:color="auto"/>
        <w:bottom w:val="none" w:sz="0" w:space="0" w:color="auto"/>
        <w:right w:val="none" w:sz="0" w:space="0" w:color="auto"/>
      </w:divBdr>
    </w:div>
    <w:div w:id="1342972953">
      <w:bodyDiv w:val="1"/>
      <w:marLeft w:val="0"/>
      <w:marRight w:val="0"/>
      <w:marTop w:val="0"/>
      <w:marBottom w:val="0"/>
      <w:divBdr>
        <w:top w:val="none" w:sz="0" w:space="0" w:color="auto"/>
        <w:left w:val="none" w:sz="0" w:space="0" w:color="auto"/>
        <w:bottom w:val="none" w:sz="0" w:space="0" w:color="auto"/>
        <w:right w:val="none" w:sz="0" w:space="0" w:color="auto"/>
      </w:divBdr>
    </w:div>
    <w:div w:id="1697929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tishmuseum.tumblr.com/post/132087416007/the-gundestrup-cauldron" TargetMode="Externa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Pro70</b:Tag>
    <b:SourceType>Book</b:SourceType>
    <b:Guid>{F9C68A45-8D40-43A7-AE45-27C9B9112B62}</b:Guid>
    <b:Author>
      <b:Author>
        <b:NameList>
          <b:Person>
            <b:Last>MacCana</b:Last>
            <b:First>Proinsias</b:First>
          </b:Person>
        </b:NameList>
      </b:Author>
    </b:Author>
    <b:Title>Celtic Mythology</b:Title>
    <b:Year>1970</b:Year>
    <b:City>London</b:City>
    <b:Publisher>The Hamlyn Publishing Group Limited</b:Publisher>
    <b:Edition>1st</b:Edition>
    <b:RefOrder>1</b:RefOrder>
  </b:Source>
  <b:Source>
    <b:Tag>Mir92</b:Tag>
    <b:SourceType>Book</b:SourceType>
    <b:Guid>{D01ED124-01F7-43AE-B613-4E5B414931B4}</b:Guid>
    <b:Author>
      <b:Author>
        <b:NameList>
          <b:Person>
            <b:Last>Green</b:Last>
            <b:First>Miranda</b:First>
            <b:Middle>J.</b:Middle>
          </b:Person>
        </b:NameList>
      </b:Author>
    </b:Author>
    <b:Title>Dictionary of Celtic Myth and Legend</b:Title>
    <b:Year>1992</b:Year>
    <b:City>London</b:City>
    <b:Publisher>Thames and Hudson Ltd</b:Publisher>
    <b:Edition>1st</b:Edition>
    <b:RefOrder>2</b:RefOrder>
  </b:Source>
  <b:Source>
    <b:Tag>Mir97</b:Tag>
    <b:SourceType>Book</b:SourceType>
    <b:Guid>{9AF245EE-1918-4901-9A96-86EE6C48E3E7}</b:Guid>
    <b:Author>
      <b:Author>
        <b:NameList>
          <b:Person>
            <b:Last>J.Green</b:Last>
            <b:First>Miranda</b:First>
          </b:Person>
        </b:NameList>
      </b:Author>
    </b:Author>
    <b:Title>Exploring the World of the Druids</b:Title>
    <b:Year>1997</b:Year>
    <b:City>London</b:City>
    <b:Publisher>Thames and Hudson Ltd</b:Publisher>
    <b:Edition>2nd</b:Edition>
    <b:RefOrder>3</b:RefOrder>
  </b:Source>
  <b:Source>
    <b:Tag>Joh00</b:Tag>
    <b:SourceType>Book</b:SourceType>
    <b:Guid>{9D594990-7B80-442E-9986-EFDC7ED90D17}</b:Guid>
    <b:Author>
      <b:Author>
        <b:NameList>
          <b:Person>
            <b:Last>Davies</b:Last>
            <b:First>John</b:First>
          </b:Person>
        </b:NameList>
      </b:Author>
    </b:Author>
    <b:Title>The Celts; Prehistory to Present Day</b:Title>
    <b:Year>2000</b:Year>
    <b:City>London</b:City>
    <b:Publisher>Cassell &amp; Co</b:Publisher>
    <b:Edition>2nd</b:Edition>
    <b:RefOrder>4</b:RefOrder>
  </b:Source>
  <b:Source>
    <b:Tag>Dav05</b:Tag>
    <b:SourceType>Book</b:SourceType>
    <b:Guid>{49AE2583-DF58-4807-AA52-E886A62E31AB}</b:Guid>
    <b:Author>
      <b:Author>
        <b:NameList>
          <b:Person>
            <b:Last>Leeming</b:Last>
            <b:First>David</b:First>
          </b:Person>
        </b:NameList>
      </b:Author>
    </b:Author>
    <b:Title>The Oxford Companion to World Mythology</b:Title>
    <b:Year>2005</b:Year>
    <b:City>Oxford</b:City>
    <b:Publisher>Oxford University Press</b:Publisher>
    <b:Edition>1st</b:Edition>
    <b:RefOrder>5</b:RefOrder>
  </b:Source>
  <b:Source>
    <b:Tag>Cun92</b:Tag>
    <b:SourceType>Book</b:SourceType>
    <b:Guid>{C1E6AA47-6C8E-43A7-B28D-0028E8045078}</b:Guid>
    <b:Author>
      <b:Author>
        <b:NameList>
          <b:Person>
            <b:Last>Cuncliffe</b:Last>
            <b:First>Barry</b:First>
          </b:Person>
        </b:NameList>
      </b:Author>
    </b:Author>
    <b:Title>The Celtic World</b:Title>
    <b:Year>1992</b:Year>
    <b:City>London</b:City>
    <b:Publisher>Constable and Company Ltd</b:Publisher>
    <b:Edition>1st</b:Edition>
    <b:RefOrder>6</b:RefOrder>
  </b:Source>
  <b:Source>
    <b:Tag>Pet98</b:Tag>
    <b:SourceType>Book</b:SourceType>
    <b:Guid>{601F7B0D-BA47-4846-AD18-45F146171126}</b:Guid>
    <b:Author>
      <b:Author>
        <b:NameList>
          <b:Person>
            <b:Last>Ellis</b:Last>
            <b:First>Peter</b:First>
            <b:Middle>Berresford</b:Middle>
          </b:Person>
        </b:NameList>
      </b:Author>
    </b:Author>
    <b:Title>The Ancient World of the Celts</b:Title>
    <b:Year>1998</b:Year>
    <b:City>London</b:City>
    <b:Publisher>Constable</b:Publisher>
    <b:Edition>1st</b:Edition>
    <b:RefOrder>7</b:RefOrder>
  </b:Source>
  <b:Source>
    <b:Tag>Nie05</b:Tag>
    <b:SourceType>JournalArticle</b:SourceType>
    <b:Guid>{430E10F2-C019-4A4C-8865-752D37AAD452}</b:Guid>
    <b:Author>
      <b:Author>
        <b:NameList>
          <b:Person>
            <b:Last>Nielsen</b:Last>
            <b:First>S</b:First>
          </b:Person>
          <b:Person>
            <b:Last>Anderson</b:Last>
            <b:First>J.</b:First>
            <b:Middle>H</b:Middle>
          </b:Person>
          <b:Person>
            <b:Last>Baker</b:Last>
            <b:First>J.</b:First>
            <b:Middle>A</b:Middle>
          </b:Person>
          <b:Person>
            <b:Last>Christensen</b:Last>
            <b:First>C</b:First>
          </b:Person>
          <b:Person>
            <b:Last>Glastrup</b:Last>
            <b:First>J</b:First>
          </b:Person>
          <b:Person>
            <b:Last>Grootes</b:Last>
            <b:First>P.</b:First>
            <b:Middle>M</b:Middle>
          </b:Person>
          <b:Person>
            <b:Last>Huls</b:Last>
            <b:First>M</b:First>
          </b:Person>
          <b:Person>
            <b:Last>Jouttijarvi</b:Last>
            <b:First>A</b:First>
          </b:Person>
          <b:Person>
            <b:Last>Larsen</b:Last>
            <b:First>E.</b:First>
            <b:Middle>B</b:Middle>
          </b:Person>
          <b:Person>
            <b:Last>Madsen</b:Last>
            <b:First>H.B</b:First>
          </b:Person>
          <b:Person>
            <b:Last>Muller</b:Last>
            <b:First>K</b:First>
          </b:Person>
          <b:Person>
            <b:Last>Nadeau</b:Last>
            <b:First>M</b:First>
          </b:Person>
          <b:Person>
            <b:Last>Rohrs</b:Last>
            <b:First>S</b:First>
          </b:Person>
          <b:Person>
            <b:Last>Stege</b:Last>
            <b:First>H</b:First>
          </b:Person>
          <b:Person>
            <b:Last>Stos</b:Last>
            <b:First>Z.</b:First>
            <b:Middle>A</b:Middle>
          </b:Person>
          <b:Person>
            <b:Last>Waight</b:Last>
            <b:First>T.</b:First>
            <b:Middle>E</b:Middle>
          </b:Person>
        </b:NameList>
      </b:Author>
    </b:Author>
    <b:Title>THE GUNDESTRUP CAULDRON; New Scientific and Technical Investigations</b:Title>
    <b:JournalName>Arta Archaeologica</b:JournalName>
    <b:Year>2005</b:Year>
    <b:Pages>1-58</b:Pages>
    <b:Volume>76</b:Volume>
    <b:Issue>0065-101X</b:Issue>
    <b:RefOrder>8</b:RefOrder>
  </b:Source>
  <b:Source>
    <b:Tag>Bob51</b:Tag>
    <b:SourceType>JournalArticle</b:SourceType>
    <b:Guid>{58107BE7-1E64-43E3-84CF-832BDBDDD713}</b:Guid>
    <b:Title>Cernunnos: Origin and Transformation of a Celtic Divinity</b:Title>
    <b:JournalName>American Journal of Archaeology</b:JournalName>
    <b:Year>1951</b:Year>
    <b:Pages>14-19</b:Pages>
    <b:Volume>55</b:Volume>
    <b:Issue>1</b:Issue>
    <b:Author>
      <b:Author>
        <b:NameList>
          <b:Person>
            <b:Last>Bober</b:Last>
            <b:First>Phyllis</b:First>
            <b:Middle>Fray</b:Middle>
          </b:Person>
        </b:NameList>
      </b:Author>
    </b:Author>
    <b:RefOrder>9</b:RefOrder>
  </b:Source>
  <b:Source>
    <b:Tag>Mai00</b:Tag>
    <b:SourceType>Book</b:SourceType>
    <b:Guid>{77EEC4C9-CF62-422E-BB82-D322EE1489B5}</b:Guid>
    <b:Title>Dictionary of Celtic Religion and Culture</b:Title>
    <b:Year>2000</b:Year>
    <b:Author>
      <b:Author>
        <b:NameList>
          <b:Person>
            <b:Last>Maier</b:Last>
            <b:First>Bernhard</b:First>
          </b:Person>
        </b:NameList>
      </b:Author>
    </b:Author>
    <b:City>Woodbridge</b:City>
    <b:Publisher>The Boydell Press</b:Publisher>
    <b:Edition>2nd</b:Edition>
    <b:RefOrder>10</b:RefOrder>
  </b:Source>
</b:Sources>
</file>

<file path=customXml/itemProps1.xml><?xml version="1.0" encoding="utf-8"?>
<ds:datastoreItem xmlns:ds="http://schemas.openxmlformats.org/officeDocument/2006/customXml" ds:itemID="{1FDED142-79AF-48E8-9E6F-9681BE34D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1325</Words>
  <Characters>7558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2</cp:revision>
  <dcterms:created xsi:type="dcterms:W3CDTF">2018-10-05T19:57:00Z</dcterms:created>
  <dcterms:modified xsi:type="dcterms:W3CDTF">2018-10-05T19:57:00Z</dcterms:modified>
</cp:coreProperties>
</file>