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8F0B7" w14:textId="60A9FAF8" w:rsidR="00EE3012" w:rsidRDefault="00EE3012" w:rsidP="00E91D7E">
      <w:pPr>
        <w:rPr>
          <w:rFonts w:ascii="Arial" w:hAnsi="Arial" w:cs="Arial"/>
          <w:b/>
          <w:bCs/>
          <w:lang w:eastAsia="en-GB"/>
        </w:rPr>
      </w:pPr>
    </w:p>
    <w:p w14:paraId="6B1135EB" w14:textId="77777777" w:rsidR="00932E16" w:rsidRPr="00B445D8" w:rsidRDefault="00932E16" w:rsidP="00932E16">
      <w:pPr>
        <w:spacing w:line="259" w:lineRule="auto"/>
        <w:rPr>
          <w:rFonts w:ascii="Arial" w:eastAsia="Calibri" w:hAnsi="Arial" w:cs="Arial"/>
        </w:rPr>
      </w:pPr>
      <w:r w:rsidRPr="00B445D8">
        <w:rPr>
          <w:rFonts w:ascii="Arial" w:eastAsia="Calibri" w:hAnsi="Arial" w:cs="Arial"/>
          <w:noProof/>
        </w:rPr>
        <w:drawing>
          <wp:anchor distT="0" distB="0" distL="114300" distR="114300" simplePos="0" relativeHeight="251659264" behindDoc="0" locked="0" layoutInCell="1" allowOverlap="1" wp14:anchorId="74F6A649" wp14:editId="3556441E">
            <wp:simplePos x="0" y="0"/>
            <wp:positionH relativeFrom="margin">
              <wp:align>left</wp:align>
            </wp:positionH>
            <wp:positionV relativeFrom="paragraph">
              <wp:posOffset>0</wp:posOffset>
            </wp:positionV>
            <wp:extent cx="3638550" cy="1819275"/>
            <wp:effectExtent l="0" t="0" r="0" b="9525"/>
            <wp:wrapSquare wrapText="bothSides"/>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anchor>
        </w:drawing>
      </w:r>
    </w:p>
    <w:p w14:paraId="0E4E6313" w14:textId="77777777" w:rsidR="00932E16" w:rsidRPr="00B445D8" w:rsidRDefault="00932E16" w:rsidP="00932E16">
      <w:pPr>
        <w:spacing w:line="259" w:lineRule="auto"/>
        <w:rPr>
          <w:rFonts w:ascii="Calibri" w:eastAsia="Calibri" w:hAnsi="Calibri" w:cs="Times New Roman"/>
          <w:sz w:val="22"/>
          <w:szCs w:val="22"/>
        </w:rPr>
      </w:pPr>
      <w:r w:rsidRPr="00B445D8">
        <w:rPr>
          <w:rFonts w:ascii="Calibri" w:eastAsia="Calibri" w:hAnsi="Calibri" w:cs="Times New Roman"/>
          <w:sz w:val="22"/>
          <w:szCs w:val="22"/>
        </w:rPr>
        <w:br w:type="textWrapping" w:clear="all"/>
      </w:r>
    </w:p>
    <w:p w14:paraId="703B7630" w14:textId="77777777" w:rsidR="00932E16" w:rsidRPr="00B445D8" w:rsidRDefault="00932E16" w:rsidP="00932E16">
      <w:pPr>
        <w:spacing w:line="259" w:lineRule="auto"/>
        <w:rPr>
          <w:rFonts w:ascii="Calibri" w:eastAsia="Calibri" w:hAnsi="Calibri" w:cs="Times New Roman"/>
          <w:sz w:val="22"/>
          <w:szCs w:val="22"/>
        </w:rPr>
      </w:pPr>
    </w:p>
    <w:p w14:paraId="343208AC" w14:textId="77777777" w:rsidR="00932E16" w:rsidRPr="00B445D8" w:rsidRDefault="00932E16" w:rsidP="00932E16">
      <w:pPr>
        <w:spacing w:line="259" w:lineRule="auto"/>
        <w:jc w:val="center"/>
        <w:rPr>
          <w:rFonts w:ascii="Arial" w:eastAsia="Calibri" w:hAnsi="Arial" w:cs="Arial"/>
          <w:sz w:val="56"/>
          <w:szCs w:val="56"/>
        </w:rPr>
      </w:pPr>
      <w:r w:rsidRPr="00AF5129">
        <w:rPr>
          <w:rFonts w:ascii="Arial" w:hAnsi="Arial" w:cs="Arial"/>
          <w:sz w:val="56"/>
          <w:szCs w:val="56"/>
        </w:rPr>
        <w:t>Principles of Human Resource Management</w:t>
      </w:r>
    </w:p>
    <w:p w14:paraId="7E83846C" w14:textId="77777777" w:rsidR="00932E16" w:rsidRPr="00B445D8" w:rsidRDefault="00932E16" w:rsidP="00932E16">
      <w:pPr>
        <w:spacing w:line="259" w:lineRule="auto"/>
        <w:rPr>
          <w:rFonts w:ascii="Arial" w:eastAsia="Calibri" w:hAnsi="Arial" w:cs="Arial"/>
        </w:rPr>
      </w:pPr>
    </w:p>
    <w:p w14:paraId="167C308D" w14:textId="77777777" w:rsidR="00932E16" w:rsidRPr="00B445D8" w:rsidRDefault="00932E16" w:rsidP="00932E16">
      <w:pPr>
        <w:spacing w:line="259" w:lineRule="auto"/>
        <w:rPr>
          <w:rFonts w:ascii="Arial" w:eastAsia="Calibri" w:hAnsi="Arial" w:cs="Arial"/>
        </w:rPr>
      </w:pPr>
    </w:p>
    <w:p w14:paraId="355F5AE1" w14:textId="70A50C69" w:rsidR="00932E16" w:rsidRPr="00B445D8" w:rsidRDefault="00932E16" w:rsidP="00932E16">
      <w:pPr>
        <w:spacing w:line="259" w:lineRule="auto"/>
        <w:jc w:val="center"/>
        <w:rPr>
          <w:rFonts w:ascii="Arial" w:eastAsia="Calibri" w:hAnsi="Arial" w:cs="Arial"/>
          <w:sz w:val="52"/>
          <w:szCs w:val="52"/>
        </w:rPr>
      </w:pPr>
      <w:r w:rsidRPr="00B445D8">
        <w:rPr>
          <w:rFonts w:ascii="Arial" w:eastAsia="Calibri" w:hAnsi="Arial" w:cs="Arial"/>
          <w:sz w:val="52"/>
          <w:szCs w:val="52"/>
        </w:rPr>
        <w:t xml:space="preserve">Assignment </w:t>
      </w:r>
      <w:r w:rsidR="005C29E9">
        <w:rPr>
          <w:rFonts w:ascii="Arial" w:eastAsia="Calibri" w:hAnsi="Arial" w:cs="Arial"/>
          <w:sz w:val="52"/>
          <w:szCs w:val="52"/>
        </w:rPr>
        <w:t>2</w:t>
      </w:r>
    </w:p>
    <w:p w14:paraId="262E326C" w14:textId="77777777" w:rsidR="00932E16" w:rsidRPr="00B445D8" w:rsidRDefault="00932E16" w:rsidP="00932E16">
      <w:pPr>
        <w:spacing w:line="259" w:lineRule="auto"/>
        <w:jc w:val="center"/>
        <w:rPr>
          <w:rFonts w:ascii="Arial" w:eastAsia="Calibri" w:hAnsi="Arial" w:cs="Arial"/>
          <w:sz w:val="52"/>
          <w:szCs w:val="52"/>
        </w:rPr>
      </w:pPr>
      <w:r w:rsidRPr="00B445D8">
        <w:rPr>
          <w:rFonts w:ascii="Arial" w:eastAsia="Calibri" w:hAnsi="Arial" w:cs="Arial"/>
          <w:sz w:val="52"/>
          <w:szCs w:val="52"/>
        </w:rPr>
        <w:t>Submission deadline</w:t>
      </w:r>
    </w:p>
    <w:p w14:paraId="227B271E" w14:textId="5714B480" w:rsidR="00932E16" w:rsidRPr="00B445D8" w:rsidRDefault="004F17A7" w:rsidP="005C29E9">
      <w:pPr>
        <w:spacing w:line="259" w:lineRule="auto"/>
        <w:jc w:val="center"/>
        <w:rPr>
          <w:rFonts w:ascii="Arial" w:eastAsia="Calibri" w:hAnsi="Arial" w:cs="Arial"/>
        </w:rPr>
      </w:pPr>
      <w:r w:rsidRPr="004F17A7">
        <w:rPr>
          <w:rFonts w:ascii="Arial" w:eastAsia="Calibri" w:hAnsi="Arial" w:cs="Arial"/>
          <w:sz w:val="52"/>
          <w:szCs w:val="52"/>
        </w:rPr>
        <w:t>21/08/2026</w:t>
      </w:r>
    </w:p>
    <w:p w14:paraId="69986F0E" w14:textId="77777777" w:rsidR="00932E16" w:rsidRPr="00B445D8" w:rsidRDefault="00932E16" w:rsidP="00932E16">
      <w:pPr>
        <w:spacing w:line="259" w:lineRule="auto"/>
        <w:rPr>
          <w:rFonts w:ascii="Arial" w:eastAsia="Calibri" w:hAnsi="Arial" w:cs="Arial"/>
        </w:rPr>
      </w:pPr>
    </w:p>
    <w:p w14:paraId="17E95F07" w14:textId="77777777" w:rsidR="00932E16" w:rsidRPr="00B445D8" w:rsidRDefault="00932E16" w:rsidP="00932E16">
      <w:pPr>
        <w:spacing w:line="259" w:lineRule="auto"/>
        <w:rPr>
          <w:rFonts w:ascii="Arial" w:eastAsia="Calibri" w:hAnsi="Arial" w:cs="Arial"/>
        </w:rPr>
      </w:pPr>
    </w:p>
    <w:p w14:paraId="6EEF5B71" w14:textId="77777777" w:rsidR="00932E16" w:rsidRPr="00B445D8" w:rsidRDefault="00932E16" w:rsidP="00932E16">
      <w:pPr>
        <w:spacing w:line="259" w:lineRule="auto"/>
        <w:rPr>
          <w:rFonts w:ascii="Arial" w:eastAsia="Calibri" w:hAnsi="Arial" w:cs="Arial"/>
          <w:sz w:val="40"/>
          <w:szCs w:val="40"/>
        </w:rPr>
      </w:pPr>
      <w:r w:rsidRPr="00B445D8">
        <w:rPr>
          <w:rFonts w:ascii="Arial" w:eastAsia="Calibri" w:hAnsi="Arial" w:cs="Arial"/>
          <w:sz w:val="40"/>
          <w:szCs w:val="40"/>
        </w:rPr>
        <w:t>Name:              Badru Keanene</w:t>
      </w:r>
    </w:p>
    <w:p w14:paraId="6F93FE53" w14:textId="77777777" w:rsidR="00932E16" w:rsidRPr="00B445D8" w:rsidRDefault="00932E16" w:rsidP="00932E16">
      <w:pPr>
        <w:spacing w:line="259" w:lineRule="auto"/>
        <w:rPr>
          <w:rFonts w:ascii="Arial" w:eastAsia="Calibri" w:hAnsi="Arial" w:cs="Arial"/>
          <w:sz w:val="40"/>
          <w:szCs w:val="40"/>
        </w:rPr>
      </w:pPr>
      <w:r w:rsidRPr="00B445D8">
        <w:rPr>
          <w:rFonts w:ascii="Arial" w:eastAsia="Calibri" w:hAnsi="Arial" w:cs="Arial"/>
          <w:sz w:val="40"/>
          <w:szCs w:val="40"/>
        </w:rPr>
        <w:t>Student ID:       2416450</w:t>
      </w:r>
    </w:p>
    <w:p w14:paraId="1B90B529" w14:textId="77777777" w:rsidR="00932E16" w:rsidRPr="00B445D8" w:rsidRDefault="00932E16" w:rsidP="00932E16">
      <w:pPr>
        <w:spacing w:line="259" w:lineRule="auto"/>
        <w:rPr>
          <w:rFonts w:ascii="Arial" w:eastAsia="Calibri" w:hAnsi="Arial" w:cs="Arial"/>
          <w:sz w:val="40"/>
          <w:szCs w:val="40"/>
        </w:rPr>
      </w:pPr>
      <w:r w:rsidRPr="00B445D8">
        <w:rPr>
          <w:rFonts w:ascii="Arial" w:eastAsia="Calibri" w:hAnsi="Arial" w:cs="Arial"/>
          <w:sz w:val="40"/>
          <w:szCs w:val="40"/>
        </w:rPr>
        <w:t xml:space="preserve">Module code:   </w:t>
      </w:r>
      <w:r w:rsidRPr="00D4043E">
        <w:rPr>
          <w:rFonts w:ascii="Arial" w:eastAsia="Calibri" w:hAnsi="Arial" w:cs="Arial"/>
          <w:sz w:val="40"/>
          <w:szCs w:val="40"/>
        </w:rPr>
        <w:t>LCBB5012</w:t>
      </w:r>
      <w:r w:rsidRPr="00B445D8">
        <w:rPr>
          <w:rFonts w:ascii="Arial" w:eastAsia="Calibri" w:hAnsi="Arial" w:cs="Arial"/>
          <w:sz w:val="40"/>
          <w:szCs w:val="40"/>
        </w:rPr>
        <w:t>_LON</w:t>
      </w:r>
    </w:p>
    <w:p w14:paraId="198294E1" w14:textId="77777777" w:rsidR="00932E16" w:rsidRPr="00B445D8" w:rsidRDefault="00932E16" w:rsidP="00932E16">
      <w:pPr>
        <w:tabs>
          <w:tab w:val="left" w:pos="6935"/>
        </w:tabs>
        <w:spacing w:line="259" w:lineRule="auto"/>
        <w:rPr>
          <w:rFonts w:ascii="Arial" w:eastAsia="Calibri" w:hAnsi="Arial" w:cs="Arial"/>
          <w:sz w:val="40"/>
          <w:szCs w:val="40"/>
        </w:rPr>
      </w:pPr>
      <w:r w:rsidRPr="00B445D8">
        <w:rPr>
          <w:rFonts w:ascii="Arial" w:eastAsia="Calibri" w:hAnsi="Arial" w:cs="Arial"/>
          <w:sz w:val="40"/>
          <w:szCs w:val="40"/>
        </w:rPr>
        <w:t xml:space="preserve">Lecturer:          </w:t>
      </w:r>
      <w:r w:rsidRPr="00B445D8">
        <w:rPr>
          <w:rFonts w:ascii="Arial" w:eastAsia="Calibri" w:hAnsi="Arial" w:cs="Arial"/>
          <w:color w:val="1D2125"/>
          <w:sz w:val="40"/>
          <w:szCs w:val="40"/>
          <w:shd w:val="clear" w:color="auto" w:fill="FFFFFF"/>
        </w:rPr>
        <w:t xml:space="preserve">Dr </w:t>
      </w:r>
      <w:r w:rsidRPr="00EE7DCB">
        <w:rPr>
          <w:rFonts w:ascii="Arial" w:eastAsia="Calibri" w:hAnsi="Arial" w:cs="Arial"/>
          <w:color w:val="1D2125"/>
          <w:sz w:val="40"/>
          <w:szCs w:val="40"/>
          <w:shd w:val="clear" w:color="auto" w:fill="FFFFFF"/>
        </w:rPr>
        <w:t>Nerys Dosseh</w:t>
      </w:r>
      <w:r>
        <w:rPr>
          <w:rFonts w:ascii="Arial" w:eastAsia="Calibri" w:hAnsi="Arial" w:cs="Arial"/>
          <w:color w:val="1D2125"/>
          <w:sz w:val="40"/>
          <w:szCs w:val="40"/>
          <w:shd w:val="clear" w:color="auto" w:fill="FFFFFF"/>
        </w:rPr>
        <w:t xml:space="preserve"> </w:t>
      </w:r>
    </w:p>
    <w:p w14:paraId="41962AF1" w14:textId="77777777" w:rsidR="00932E16" w:rsidRPr="00B445D8" w:rsidRDefault="00932E16" w:rsidP="00932E16">
      <w:pPr>
        <w:tabs>
          <w:tab w:val="left" w:pos="6935"/>
        </w:tabs>
        <w:spacing w:line="259" w:lineRule="auto"/>
        <w:rPr>
          <w:rFonts w:ascii="Arial" w:eastAsia="Calibri" w:hAnsi="Arial" w:cs="Arial"/>
          <w:sz w:val="40"/>
          <w:szCs w:val="40"/>
        </w:rPr>
      </w:pPr>
    </w:p>
    <w:p w14:paraId="38FA4A06" w14:textId="77777777" w:rsidR="00932E16" w:rsidRDefault="00932E16" w:rsidP="00932E16">
      <w:pPr>
        <w:rPr>
          <w:rFonts w:ascii="Arial" w:hAnsi="Arial" w:cs="Arial"/>
          <w:b/>
          <w:bCs/>
          <w:lang w:eastAsia="en-GB"/>
        </w:rPr>
      </w:pPr>
    </w:p>
    <w:p w14:paraId="19232C5A" w14:textId="77777777" w:rsidR="00723AA5" w:rsidRDefault="00932E16">
      <w:pPr>
        <w:rPr>
          <w:rFonts w:ascii="Arial" w:hAnsi="Arial" w:cs="Arial"/>
          <w:b/>
          <w:bCs/>
          <w:lang w:eastAsia="en-GB"/>
        </w:rPr>
      </w:pPr>
      <w:r>
        <w:rPr>
          <w:rFonts w:ascii="Arial" w:hAnsi="Arial" w:cs="Arial"/>
          <w:b/>
          <w:bCs/>
          <w:lang w:eastAsia="en-GB"/>
        </w:rPr>
        <w:lastRenderedPageBreak/>
        <w:t xml:space="preserve"> </w:t>
      </w:r>
    </w:p>
    <w:sdt>
      <w:sdtPr>
        <w:rPr>
          <w:rFonts w:asciiTheme="minorHAnsi" w:eastAsiaTheme="minorHAnsi" w:hAnsiTheme="minorHAnsi" w:cstheme="minorBidi"/>
          <w:color w:val="auto"/>
          <w:kern w:val="2"/>
          <w:sz w:val="24"/>
          <w:szCs w:val="24"/>
          <w:lang w:val="en-GB"/>
          <w14:ligatures w14:val="standardContextual"/>
        </w:rPr>
        <w:id w:val="656739177"/>
        <w:docPartObj>
          <w:docPartGallery w:val="Table of Contents"/>
          <w:docPartUnique/>
        </w:docPartObj>
      </w:sdtPr>
      <w:sdtEndPr>
        <w:rPr>
          <w:b/>
          <w:bCs/>
          <w:noProof/>
        </w:rPr>
      </w:sdtEndPr>
      <w:sdtContent>
        <w:p w14:paraId="75693C21" w14:textId="565B9C95" w:rsidR="00723AA5" w:rsidRPr="00DA6820" w:rsidRDefault="00723AA5">
          <w:pPr>
            <w:pStyle w:val="TOCHeading"/>
            <w:rPr>
              <w:rFonts w:ascii="Arial" w:hAnsi="Arial" w:cs="Arial"/>
              <w:b/>
              <w:bCs/>
              <w:color w:val="000000" w:themeColor="text1"/>
            </w:rPr>
          </w:pPr>
          <w:r w:rsidRPr="00DA6820">
            <w:rPr>
              <w:rFonts w:ascii="Arial" w:hAnsi="Arial" w:cs="Arial"/>
              <w:b/>
              <w:bCs/>
              <w:color w:val="000000" w:themeColor="text1"/>
            </w:rPr>
            <w:t>Table of Contents</w:t>
          </w:r>
        </w:p>
        <w:p w14:paraId="4F8F15B7" w14:textId="2C3BC821" w:rsidR="00E23743" w:rsidRDefault="00723A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898064" w:history="1">
            <w:r w:rsidR="00E23743" w:rsidRPr="00106EC1">
              <w:rPr>
                <w:rStyle w:val="Hyperlink"/>
                <w:rFonts w:ascii="Arial" w:hAnsi="Arial" w:cs="Arial"/>
                <w:b/>
                <w:bCs/>
                <w:noProof/>
                <w:lang w:eastAsia="en-GB"/>
              </w:rPr>
              <w:t>1. Introduction</w:t>
            </w:r>
            <w:r w:rsidR="00E23743">
              <w:rPr>
                <w:noProof/>
                <w:webHidden/>
              </w:rPr>
              <w:tab/>
            </w:r>
            <w:r w:rsidR="00E23743">
              <w:rPr>
                <w:noProof/>
                <w:webHidden/>
              </w:rPr>
              <w:fldChar w:fldCharType="begin"/>
            </w:r>
            <w:r w:rsidR="00E23743">
              <w:rPr>
                <w:noProof/>
                <w:webHidden/>
              </w:rPr>
              <w:instrText xml:space="preserve"> PAGEREF _Toc237898064 \h </w:instrText>
            </w:r>
            <w:r w:rsidR="00E23743">
              <w:rPr>
                <w:noProof/>
                <w:webHidden/>
              </w:rPr>
            </w:r>
            <w:r w:rsidR="00E23743">
              <w:rPr>
                <w:noProof/>
                <w:webHidden/>
              </w:rPr>
              <w:fldChar w:fldCharType="separate"/>
            </w:r>
            <w:r w:rsidR="00E23743">
              <w:rPr>
                <w:noProof/>
                <w:webHidden/>
              </w:rPr>
              <w:t>3</w:t>
            </w:r>
            <w:r w:rsidR="00E23743">
              <w:rPr>
                <w:noProof/>
                <w:webHidden/>
              </w:rPr>
              <w:fldChar w:fldCharType="end"/>
            </w:r>
          </w:hyperlink>
        </w:p>
        <w:p w14:paraId="3F40EC6A" w14:textId="0E44FDB4" w:rsidR="00E23743" w:rsidRDefault="00000000">
          <w:pPr>
            <w:pStyle w:val="TOC1"/>
            <w:tabs>
              <w:tab w:val="right" w:leader="dot" w:pos="9016"/>
            </w:tabs>
            <w:rPr>
              <w:rFonts w:eastAsiaTheme="minorEastAsia"/>
              <w:noProof/>
              <w:lang w:eastAsia="en-GB"/>
            </w:rPr>
          </w:pPr>
          <w:hyperlink w:anchor="_Toc237898065" w:history="1">
            <w:r w:rsidR="00E23743" w:rsidRPr="00106EC1">
              <w:rPr>
                <w:rStyle w:val="Hyperlink"/>
                <w:rFonts w:ascii="Arial" w:hAnsi="Arial" w:cs="Arial"/>
                <w:b/>
                <w:bCs/>
                <w:noProof/>
                <w:lang w:eastAsia="en-GB"/>
              </w:rPr>
              <w:t>2. Internal and External Environment for Business Environment Model</w:t>
            </w:r>
            <w:r w:rsidR="00E23743">
              <w:rPr>
                <w:noProof/>
                <w:webHidden/>
              </w:rPr>
              <w:tab/>
            </w:r>
            <w:r w:rsidR="00E23743">
              <w:rPr>
                <w:noProof/>
                <w:webHidden/>
              </w:rPr>
              <w:fldChar w:fldCharType="begin"/>
            </w:r>
            <w:r w:rsidR="00E23743">
              <w:rPr>
                <w:noProof/>
                <w:webHidden/>
              </w:rPr>
              <w:instrText xml:space="preserve"> PAGEREF _Toc237898065 \h </w:instrText>
            </w:r>
            <w:r w:rsidR="00E23743">
              <w:rPr>
                <w:noProof/>
                <w:webHidden/>
              </w:rPr>
            </w:r>
            <w:r w:rsidR="00E23743">
              <w:rPr>
                <w:noProof/>
                <w:webHidden/>
              </w:rPr>
              <w:fldChar w:fldCharType="separate"/>
            </w:r>
            <w:r w:rsidR="00E23743">
              <w:rPr>
                <w:noProof/>
                <w:webHidden/>
              </w:rPr>
              <w:t>4</w:t>
            </w:r>
            <w:r w:rsidR="00E23743">
              <w:rPr>
                <w:noProof/>
                <w:webHidden/>
              </w:rPr>
              <w:fldChar w:fldCharType="end"/>
            </w:r>
          </w:hyperlink>
        </w:p>
        <w:p w14:paraId="38BA7DAB" w14:textId="3F68B200" w:rsidR="00E23743" w:rsidRDefault="00000000">
          <w:pPr>
            <w:pStyle w:val="TOC1"/>
            <w:tabs>
              <w:tab w:val="right" w:leader="dot" w:pos="9016"/>
            </w:tabs>
            <w:rPr>
              <w:rFonts w:eastAsiaTheme="minorEastAsia"/>
              <w:noProof/>
              <w:lang w:eastAsia="en-GB"/>
            </w:rPr>
          </w:pPr>
          <w:hyperlink w:anchor="_Toc237898066" w:history="1">
            <w:r w:rsidR="00E23743" w:rsidRPr="00106EC1">
              <w:rPr>
                <w:rStyle w:val="Hyperlink"/>
                <w:rFonts w:ascii="Arial" w:hAnsi="Arial" w:cs="Arial"/>
                <w:b/>
                <w:bCs/>
                <w:noProof/>
                <w:lang w:eastAsia="en-GB"/>
              </w:rPr>
              <w:t>3. Organisation Application: GSK (Glaxosmithkline)</w:t>
            </w:r>
            <w:r w:rsidR="00E23743">
              <w:rPr>
                <w:noProof/>
                <w:webHidden/>
              </w:rPr>
              <w:tab/>
            </w:r>
            <w:r w:rsidR="00E23743">
              <w:rPr>
                <w:noProof/>
                <w:webHidden/>
              </w:rPr>
              <w:fldChar w:fldCharType="begin"/>
            </w:r>
            <w:r w:rsidR="00E23743">
              <w:rPr>
                <w:noProof/>
                <w:webHidden/>
              </w:rPr>
              <w:instrText xml:space="preserve"> PAGEREF _Toc237898066 \h </w:instrText>
            </w:r>
            <w:r w:rsidR="00E23743">
              <w:rPr>
                <w:noProof/>
                <w:webHidden/>
              </w:rPr>
            </w:r>
            <w:r w:rsidR="00E23743">
              <w:rPr>
                <w:noProof/>
                <w:webHidden/>
              </w:rPr>
              <w:fldChar w:fldCharType="separate"/>
            </w:r>
            <w:r w:rsidR="00E23743">
              <w:rPr>
                <w:noProof/>
                <w:webHidden/>
              </w:rPr>
              <w:t>5</w:t>
            </w:r>
            <w:r w:rsidR="00E23743">
              <w:rPr>
                <w:noProof/>
                <w:webHidden/>
              </w:rPr>
              <w:fldChar w:fldCharType="end"/>
            </w:r>
          </w:hyperlink>
        </w:p>
        <w:p w14:paraId="6573D6D2" w14:textId="4B1E21C7" w:rsidR="00E23743" w:rsidRDefault="00000000">
          <w:pPr>
            <w:pStyle w:val="TOC1"/>
            <w:tabs>
              <w:tab w:val="right" w:leader="dot" w:pos="9016"/>
            </w:tabs>
            <w:rPr>
              <w:rFonts w:eastAsiaTheme="minorEastAsia"/>
              <w:noProof/>
              <w:lang w:eastAsia="en-GB"/>
            </w:rPr>
          </w:pPr>
          <w:hyperlink w:anchor="_Toc237898067" w:history="1">
            <w:r w:rsidR="00E23743" w:rsidRPr="00106EC1">
              <w:rPr>
                <w:rStyle w:val="Hyperlink"/>
                <w:rFonts w:ascii="Arial" w:hAnsi="Arial" w:cs="Arial"/>
                <w:b/>
                <w:bCs/>
                <w:noProof/>
                <w:lang w:eastAsia="en-GB"/>
              </w:rPr>
              <w:t>4. Application of the Business Environment Model: GSK</w:t>
            </w:r>
            <w:r w:rsidR="00E23743">
              <w:rPr>
                <w:noProof/>
                <w:webHidden/>
              </w:rPr>
              <w:tab/>
            </w:r>
            <w:r w:rsidR="00E23743">
              <w:rPr>
                <w:noProof/>
                <w:webHidden/>
              </w:rPr>
              <w:fldChar w:fldCharType="begin"/>
            </w:r>
            <w:r w:rsidR="00E23743">
              <w:rPr>
                <w:noProof/>
                <w:webHidden/>
              </w:rPr>
              <w:instrText xml:space="preserve"> PAGEREF _Toc237898067 \h </w:instrText>
            </w:r>
            <w:r w:rsidR="00E23743">
              <w:rPr>
                <w:noProof/>
                <w:webHidden/>
              </w:rPr>
            </w:r>
            <w:r w:rsidR="00E23743">
              <w:rPr>
                <w:noProof/>
                <w:webHidden/>
              </w:rPr>
              <w:fldChar w:fldCharType="separate"/>
            </w:r>
            <w:r w:rsidR="00E23743">
              <w:rPr>
                <w:noProof/>
                <w:webHidden/>
              </w:rPr>
              <w:t>6</w:t>
            </w:r>
            <w:r w:rsidR="00E23743">
              <w:rPr>
                <w:noProof/>
                <w:webHidden/>
              </w:rPr>
              <w:fldChar w:fldCharType="end"/>
            </w:r>
          </w:hyperlink>
        </w:p>
        <w:p w14:paraId="28051DFE" w14:textId="00C90400" w:rsidR="00E23743" w:rsidRDefault="00000000">
          <w:pPr>
            <w:pStyle w:val="TOC1"/>
            <w:tabs>
              <w:tab w:val="right" w:leader="dot" w:pos="9016"/>
            </w:tabs>
            <w:rPr>
              <w:rFonts w:eastAsiaTheme="minorEastAsia"/>
              <w:noProof/>
              <w:lang w:eastAsia="en-GB"/>
            </w:rPr>
          </w:pPr>
          <w:hyperlink w:anchor="_Toc237898068" w:history="1">
            <w:r w:rsidR="00E23743" w:rsidRPr="00106EC1">
              <w:rPr>
                <w:rStyle w:val="Hyperlink"/>
                <w:rFonts w:ascii="Arial" w:eastAsia="Times New Roman" w:hAnsi="Arial" w:cs="Arial"/>
                <w:b/>
                <w:bCs/>
                <w:noProof/>
                <w:lang w:eastAsia="en-GB"/>
              </w:rPr>
              <w:t>5. Summary</w:t>
            </w:r>
            <w:r w:rsidR="00E23743">
              <w:rPr>
                <w:noProof/>
                <w:webHidden/>
              </w:rPr>
              <w:tab/>
            </w:r>
            <w:r w:rsidR="00E23743">
              <w:rPr>
                <w:noProof/>
                <w:webHidden/>
              </w:rPr>
              <w:fldChar w:fldCharType="begin"/>
            </w:r>
            <w:r w:rsidR="00E23743">
              <w:rPr>
                <w:noProof/>
                <w:webHidden/>
              </w:rPr>
              <w:instrText xml:space="preserve"> PAGEREF _Toc237898068 \h </w:instrText>
            </w:r>
            <w:r w:rsidR="00E23743">
              <w:rPr>
                <w:noProof/>
                <w:webHidden/>
              </w:rPr>
            </w:r>
            <w:r w:rsidR="00E23743">
              <w:rPr>
                <w:noProof/>
                <w:webHidden/>
              </w:rPr>
              <w:fldChar w:fldCharType="separate"/>
            </w:r>
            <w:r w:rsidR="00E23743">
              <w:rPr>
                <w:noProof/>
                <w:webHidden/>
              </w:rPr>
              <w:t>9</w:t>
            </w:r>
            <w:r w:rsidR="00E23743">
              <w:rPr>
                <w:noProof/>
                <w:webHidden/>
              </w:rPr>
              <w:fldChar w:fldCharType="end"/>
            </w:r>
          </w:hyperlink>
        </w:p>
        <w:p w14:paraId="675C5BBC" w14:textId="77139B2F" w:rsidR="00E23743" w:rsidRDefault="00000000">
          <w:pPr>
            <w:pStyle w:val="TOC1"/>
            <w:tabs>
              <w:tab w:val="right" w:leader="dot" w:pos="9016"/>
            </w:tabs>
            <w:rPr>
              <w:rFonts w:eastAsiaTheme="minorEastAsia"/>
              <w:noProof/>
              <w:lang w:eastAsia="en-GB"/>
            </w:rPr>
          </w:pPr>
          <w:hyperlink w:anchor="_Toc237898069" w:history="1">
            <w:r w:rsidR="00E23743" w:rsidRPr="00106EC1">
              <w:rPr>
                <w:rStyle w:val="Hyperlink"/>
                <w:rFonts w:ascii="Arial" w:hAnsi="Arial" w:cs="Arial"/>
                <w:b/>
                <w:bCs/>
                <w:noProof/>
                <w:lang w:eastAsia="en-GB"/>
              </w:rPr>
              <w:t>6. References</w:t>
            </w:r>
            <w:r w:rsidR="00E23743">
              <w:rPr>
                <w:noProof/>
                <w:webHidden/>
              </w:rPr>
              <w:tab/>
            </w:r>
            <w:r w:rsidR="00E23743">
              <w:rPr>
                <w:noProof/>
                <w:webHidden/>
              </w:rPr>
              <w:fldChar w:fldCharType="begin"/>
            </w:r>
            <w:r w:rsidR="00E23743">
              <w:rPr>
                <w:noProof/>
                <w:webHidden/>
              </w:rPr>
              <w:instrText xml:space="preserve"> PAGEREF _Toc237898069 \h </w:instrText>
            </w:r>
            <w:r w:rsidR="00E23743">
              <w:rPr>
                <w:noProof/>
                <w:webHidden/>
              </w:rPr>
            </w:r>
            <w:r w:rsidR="00E23743">
              <w:rPr>
                <w:noProof/>
                <w:webHidden/>
              </w:rPr>
              <w:fldChar w:fldCharType="separate"/>
            </w:r>
            <w:r w:rsidR="00E23743">
              <w:rPr>
                <w:noProof/>
                <w:webHidden/>
              </w:rPr>
              <w:t>11</w:t>
            </w:r>
            <w:r w:rsidR="00E23743">
              <w:rPr>
                <w:noProof/>
                <w:webHidden/>
              </w:rPr>
              <w:fldChar w:fldCharType="end"/>
            </w:r>
          </w:hyperlink>
        </w:p>
        <w:p w14:paraId="6134AA1C" w14:textId="5D38198E" w:rsidR="00723AA5" w:rsidRDefault="00723AA5">
          <w:r>
            <w:rPr>
              <w:b/>
              <w:bCs/>
              <w:noProof/>
            </w:rPr>
            <w:fldChar w:fldCharType="end"/>
          </w:r>
        </w:p>
      </w:sdtContent>
    </w:sdt>
    <w:p w14:paraId="036B2C7C" w14:textId="2F8A536F" w:rsidR="00EE3012" w:rsidRDefault="00EE3012">
      <w:pPr>
        <w:rPr>
          <w:rFonts w:ascii="Arial" w:hAnsi="Arial" w:cs="Arial"/>
          <w:b/>
          <w:bCs/>
          <w:lang w:eastAsia="en-GB"/>
        </w:rPr>
      </w:pPr>
      <w:r>
        <w:rPr>
          <w:rFonts w:ascii="Arial" w:hAnsi="Arial" w:cs="Arial"/>
          <w:b/>
          <w:bCs/>
          <w:lang w:eastAsia="en-GB"/>
        </w:rPr>
        <w:br w:type="page"/>
      </w:r>
    </w:p>
    <w:p w14:paraId="1F7195D8" w14:textId="06DA1BB9" w:rsidR="00E91D7E" w:rsidRPr="00C423AA" w:rsidRDefault="0008564F" w:rsidP="0006155E">
      <w:pPr>
        <w:pStyle w:val="Heading1"/>
        <w:rPr>
          <w:rFonts w:ascii="Arial" w:hAnsi="Arial" w:cs="Arial"/>
          <w:b/>
          <w:bCs/>
          <w:color w:val="000000" w:themeColor="text1"/>
          <w:sz w:val="24"/>
          <w:szCs w:val="24"/>
          <w:lang w:eastAsia="en-GB"/>
        </w:rPr>
      </w:pPr>
      <w:bookmarkStart w:id="0" w:name="_Toc237898064"/>
      <w:r w:rsidRPr="0006155E">
        <w:rPr>
          <w:rFonts w:ascii="Arial" w:hAnsi="Arial" w:cs="Arial"/>
          <w:b/>
          <w:bCs/>
          <w:color w:val="000000" w:themeColor="text1"/>
          <w:sz w:val="24"/>
          <w:szCs w:val="24"/>
          <w:lang w:eastAsia="en-GB"/>
        </w:rPr>
        <w:lastRenderedPageBreak/>
        <w:t>1</w:t>
      </w:r>
      <w:r w:rsidR="005C29E9" w:rsidRPr="0006155E">
        <w:rPr>
          <w:rFonts w:ascii="Arial" w:hAnsi="Arial" w:cs="Arial"/>
          <w:b/>
          <w:bCs/>
          <w:color w:val="000000" w:themeColor="text1"/>
          <w:sz w:val="24"/>
          <w:szCs w:val="24"/>
          <w:lang w:eastAsia="en-GB"/>
        </w:rPr>
        <w:t>.</w:t>
      </w:r>
      <w:r w:rsidRPr="0006155E">
        <w:rPr>
          <w:rFonts w:ascii="Arial" w:hAnsi="Arial" w:cs="Arial"/>
          <w:b/>
          <w:bCs/>
          <w:color w:val="000000" w:themeColor="text1"/>
          <w:sz w:val="24"/>
          <w:szCs w:val="24"/>
          <w:lang w:eastAsia="en-GB"/>
        </w:rPr>
        <w:t xml:space="preserve"> </w:t>
      </w:r>
      <w:r w:rsidR="00E91D7E" w:rsidRPr="00C423AA">
        <w:rPr>
          <w:rFonts w:ascii="Arial" w:hAnsi="Arial" w:cs="Arial"/>
          <w:b/>
          <w:bCs/>
          <w:color w:val="000000" w:themeColor="text1"/>
          <w:sz w:val="24"/>
          <w:szCs w:val="24"/>
          <w:lang w:eastAsia="en-GB"/>
        </w:rPr>
        <w:t>Introduction</w:t>
      </w:r>
      <w:bookmarkEnd w:id="0"/>
    </w:p>
    <w:p w14:paraId="638E50B0" w14:textId="6E4D2918" w:rsidR="00E91D7E" w:rsidRPr="00C423AA" w:rsidRDefault="00E91D7E"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387AAE">
        <w:rPr>
          <w:rFonts w:ascii="Arial" w:eastAsia="Times New Roman" w:hAnsi="Arial" w:cs="Arial"/>
          <w:color w:val="000000" w:themeColor="text1"/>
          <w:kern w:val="0"/>
          <w:lang w:eastAsia="en-GB"/>
          <w14:ligatures w14:val="none"/>
        </w:rPr>
        <w:t xml:space="preserve">Human Resource Management (HRM) has </w:t>
      </w:r>
      <w:r w:rsidR="002633A7" w:rsidRPr="00387AAE">
        <w:rPr>
          <w:rFonts w:ascii="Arial" w:eastAsia="Times New Roman" w:hAnsi="Arial" w:cs="Arial"/>
          <w:color w:val="000000" w:themeColor="text1"/>
          <w:kern w:val="0"/>
          <w:lang w:eastAsia="en-GB"/>
          <w14:ligatures w14:val="none"/>
        </w:rPr>
        <w:t>changed</w:t>
      </w:r>
      <w:r w:rsidRPr="00387AAE">
        <w:rPr>
          <w:rFonts w:ascii="Arial" w:eastAsia="Times New Roman" w:hAnsi="Arial" w:cs="Arial"/>
          <w:color w:val="000000" w:themeColor="text1"/>
          <w:kern w:val="0"/>
          <w:lang w:eastAsia="en-GB"/>
          <w14:ligatures w14:val="none"/>
        </w:rPr>
        <w:t xml:space="preserve"> from </w:t>
      </w:r>
      <w:r w:rsidR="00385FA4" w:rsidRPr="00387AAE">
        <w:rPr>
          <w:rFonts w:ascii="Arial" w:eastAsia="Times New Roman" w:hAnsi="Arial" w:cs="Arial"/>
          <w:color w:val="000000" w:themeColor="text1"/>
          <w:kern w:val="0"/>
          <w:lang w:eastAsia="en-GB"/>
          <w14:ligatures w14:val="none"/>
        </w:rPr>
        <w:t xml:space="preserve">a </w:t>
      </w:r>
      <w:r w:rsidR="003373D6" w:rsidRPr="00387AAE">
        <w:rPr>
          <w:rFonts w:ascii="Arial" w:eastAsia="Times New Roman" w:hAnsi="Arial" w:cs="Arial"/>
          <w:color w:val="000000" w:themeColor="text1"/>
          <w:kern w:val="0"/>
          <w:lang w:eastAsia="en-GB"/>
          <w14:ligatures w14:val="none"/>
        </w:rPr>
        <w:t>mainly</w:t>
      </w:r>
      <w:r w:rsidRPr="00387AAE">
        <w:rPr>
          <w:rFonts w:ascii="Arial" w:eastAsia="Times New Roman" w:hAnsi="Arial" w:cs="Arial"/>
          <w:color w:val="000000" w:themeColor="text1"/>
          <w:kern w:val="0"/>
          <w:lang w:eastAsia="en-GB"/>
          <w14:ligatures w14:val="none"/>
        </w:rPr>
        <w:t xml:space="preserve"> administrative function to a strategic </w:t>
      </w:r>
      <w:r w:rsidR="00E7034E" w:rsidRPr="00387AAE">
        <w:rPr>
          <w:rFonts w:ascii="Arial" w:eastAsia="Times New Roman" w:hAnsi="Arial" w:cs="Arial"/>
          <w:color w:val="000000" w:themeColor="text1"/>
          <w:kern w:val="0"/>
          <w:lang w:eastAsia="en-GB"/>
          <w14:ligatures w14:val="none"/>
        </w:rPr>
        <w:t>role</w:t>
      </w:r>
      <w:r w:rsidRPr="00387AAE">
        <w:rPr>
          <w:rFonts w:ascii="Arial" w:eastAsia="Times New Roman" w:hAnsi="Arial" w:cs="Arial"/>
          <w:color w:val="000000" w:themeColor="text1"/>
          <w:kern w:val="0"/>
          <w:lang w:eastAsia="en-GB"/>
          <w14:ligatures w14:val="none"/>
        </w:rPr>
        <w:t xml:space="preserve"> that contributes directly to organisational performance and long</w:t>
      </w:r>
      <w:r w:rsidR="003373D6" w:rsidRPr="00387AAE">
        <w:rPr>
          <w:rFonts w:ascii="Arial" w:eastAsia="Times New Roman" w:hAnsi="Arial" w:cs="Arial"/>
          <w:color w:val="000000" w:themeColor="text1"/>
          <w:kern w:val="0"/>
          <w:lang w:eastAsia="en-GB"/>
          <w14:ligatures w14:val="none"/>
        </w:rPr>
        <w:t xml:space="preserve"> </w:t>
      </w:r>
      <w:r w:rsidRPr="00387AAE">
        <w:rPr>
          <w:rFonts w:ascii="Arial" w:eastAsia="Times New Roman" w:hAnsi="Arial" w:cs="Arial"/>
          <w:color w:val="000000" w:themeColor="text1"/>
          <w:kern w:val="0"/>
          <w:lang w:eastAsia="en-GB"/>
          <w14:ligatures w14:val="none"/>
        </w:rPr>
        <w:t xml:space="preserve">term sustainability. </w:t>
      </w:r>
      <w:r w:rsidR="00977D67" w:rsidRPr="00387AAE">
        <w:rPr>
          <w:rFonts w:ascii="Arial" w:eastAsia="Times New Roman" w:hAnsi="Arial" w:cs="Arial"/>
          <w:color w:val="000000" w:themeColor="text1"/>
          <w:kern w:val="0"/>
          <w:lang w:eastAsia="en-GB"/>
          <w14:ligatures w14:val="none"/>
        </w:rPr>
        <w:t xml:space="preserve">In today’s rapidly changing </w:t>
      </w:r>
      <w:r w:rsidRPr="00387AAE">
        <w:rPr>
          <w:rFonts w:ascii="Arial" w:eastAsia="Times New Roman" w:hAnsi="Arial" w:cs="Arial"/>
          <w:color w:val="000000" w:themeColor="text1"/>
          <w:kern w:val="0"/>
          <w:lang w:eastAsia="en-GB"/>
          <w14:ligatures w14:val="none"/>
        </w:rPr>
        <w:t xml:space="preserve">business environment characterised by technological advancement, globalisation, and changing </w:t>
      </w:r>
      <w:r w:rsidRPr="00C423AA">
        <w:rPr>
          <w:rFonts w:ascii="Arial" w:eastAsia="Times New Roman" w:hAnsi="Arial" w:cs="Arial"/>
          <w:color w:val="000000" w:themeColor="text1"/>
          <w:kern w:val="0"/>
          <w:lang w:eastAsia="en-GB"/>
          <w14:ligatures w14:val="none"/>
        </w:rPr>
        <w:t>workforce expectations, organisations rely on effective HRM practices to develop and maintain a competitive advantage (Storey and Wright, 20</w:t>
      </w:r>
      <w:r w:rsidR="00A421BF" w:rsidRPr="00C423AA">
        <w:rPr>
          <w:rFonts w:ascii="Arial" w:eastAsia="Times New Roman" w:hAnsi="Arial" w:cs="Arial"/>
          <w:color w:val="000000" w:themeColor="text1"/>
          <w:kern w:val="0"/>
          <w:lang w:eastAsia="en-GB"/>
          <w14:ligatures w14:val="none"/>
        </w:rPr>
        <w:t>19</w:t>
      </w:r>
      <w:r w:rsidRPr="00C423AA">
        <w:rPr>
          <w:rFonts w:ascii="Arial" w:eastAsia="Times New Roman" w:hAnsi="Arial" w:cs="Arial"/>
          <w:color w:val="000000" w:themeColor="text1"/>
          <w:kern w:val="0"/>
          <w:lang w:eastAsia="en-GB"/>
          <w14:ligatures w14:val="none"/>
        </w:rPr>
        <w:t>). Strategic HRM aligns people management practices with organisational objectives, ensuring that human capital contributes to both operational efficiency and sustainable organisational success (Malik, 20</w:t>
      </w:r>
      <w:r w:rsidR="00830A44" w:rsidRPr="00C423AA">
        <w:rPr>
          <w:rFonts w:ascii="Arial" w:eastAsia="Times New Roman" w:hAnsi="Arial" w:cs="Arial"/>
          <w:color w:val="000000" w:themeColor="text1"/>
          <w:kern w:val="0"/>
          <w:lang w:eastAsia="en-GB"/>
          <w14:ligatures w14:val="none"/>
        </w:rPr>
        <w:t>18</w:t>
      </w:r>
      <w:r w:rsidRPr="00C423AA">
        <w:rPr>
          <w:rFonts w:ascii="Arial" w:eastAsia="Times New Roman" w:hAnsi="Arial" w:cs="Arial"/>
          <w:color w:val="000000" w:themeColor="text1"/>
          <w:kern w:val="0"/>
          <w:lang w:eastAsia="en-GB"/>
          <w14:ligatures w14:val="none"/>
        </w:rPr>
        <w:t>).</w:t>
      </w:r>
    </w:p>
    <w:p w14:paraId="03AF8FE2" w14:textId="346B21BB" w:rsidR="003373D6" w:rsidRDefault="003373D6" w:rsidP="003D5A01">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3373D6">
        <w:rPr>
          <w:rFonts w:ascii="Arial" w:eastAsia="Times New Roman" w:hAnsi="Arial" w:cs="Arial"/>
          <w:color w:val="000000" w:themeColor="text1"/>
          <w:kern w:val="0"/>
          <w:lang w:eastAsia="en-GB"/>
          <w14:ligatures w14:val="none"/>
        </w:rPr>
        <w:t>Key HR responsibilities cover recruitment and selection, training and development, performance management, and employee relations. Recruitment and selection help organisations attract and retain people with the essential knowledge, skills, and competencies needed to meet strategic objectives.</w:t>
      </w:r>
      <w:r>
        <w:rPr>
          <w:rFonts w:ascii="Arial" w:eastAsia="Times New Roman" w:hAnsi="Arial" w:cs="Arial"/>
          <w:color w:val="000000" w:themeColor="text1"/>
          <w:kern w:val="0"/>
          <w:lang w:eastAsia="en-GB"/>
          <w14:ligatures w14:val="none"/>
        </w:rPr>
        <w:t xml:space="preserve"> </w:t>
      </w:r>
    </w:p>
    <w:p w14:paraId="65BA6C3E" w14:textId="735991B8" w:rsidR="00E91D7E" w:rsidRPr="00C423AA" w:rsidRDefault="00E91D7E" w:rsidP="003D5A01">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Training and development enhance employee capabilities, foster continuous learning, and support organisational adaptability in response to environmental change</w:t>
      </w:r>
      <w:r w:rsidR="00644BD4" w:rsidRPr="00C423AA">
        <w:rPr>
          <w:rFonts w:ascii="Arial" w:eastAsia="Times New Roman" w:hAnsi="Arial" w:cs="Arial"/>
          <w:color w:val="000000" w:themeColor="text1"/>
          <w:kern w:val="0"/>
          <w:lang w:eastAsia="en-GB"/>
          <w14:ligatures w14:val="none"/>
        </w:rPr>
        <w:t xml:space="preserve"> (Priyanka et al., 2023)</w:t>
      </w:r>
      <w:r w:rsidR="003D5A01" w:rsidRPr="00C423AA">
        <w:rPr>
          <w:rFonts w:ascii="Arial" w:eastAsia="Times New Roman" w:hAnsi="Arial" w:cs="Arial"/>
          <w:color w:val="000000" w:themeColor="text1"/>
          <w:kern w:val="0"/>
          <w:lang w:eastAsia="en-GB"/>
          <w14:ligatures w14:val="none"/>
        </w:rPr>
        <w:t xml:space="preserve">. </w:t>
      </w:r>
      <w:r w:rsidRPr="00C423AA">
        <w:rPr>
          <w:rFonts w:ascii="Arial" w:eastAsia="Times New Roman" w:hAnsi="Arial" w:cs="Arial"/>
          <w:color w:val="000000" w:themeColor="text1"/>
          <w:kern w:val="0"/>
          <w:lang w:eastAsia="en-GB"/>
          <w14:ligatures w14:val="none"/>
        </w:rPr>
        <w:t>Performance management facilitates the alignment of individual and organisational objectives through continuous feedback, development, and performance evaluation, while employee relations promote employee engagement, effective communication, legal compliance, and the management of workplace conflict (Wilkinson, 2022). Collectively, these functions contribute to improved employee performance, organisational resilience, innovation, and competitive advantage (Van Beurden, Van Veldhoven and Van De Voorde, 2022).</w:t>
      </w:r>
    </w:p>
    <w:p w14:paraId="1E5F1295" w14:textId="320747E4" w:rsidR="004D621E" w:rsidRPr="00C423AA" w:rsidRDefault="00E91D7E" w:rsidP="007E2BF1">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 xml:space="preserve">This report critically examines the influence of the internal and external organisational environment on HRM practices before applying these concepts </w:t>
      </w:r>
      <w:r w:rsidR="00250CCB" w:rsidRPr="00C423AA">
        <w:rPr>
          <w:rFonts w:ascii="Arial" w:eastAsia="Times New Roman" w:hAnsi="Arial" w:cs="Arial"/>
          <w:color w:val="000000" w:themeColor="text1"/>
          <w:kern w:val="0"/>
          <w:lang w:eastAsia="en-GB"/>
          <w14:ligatures w14:val="none"/>
        </w:rPr>
        <w:t xml:space="preserve">to </w:t>
      </w:r>
      <w:r w:rsidR="009F5EC3" w:rsidRPr="00C423AA">
        <w:rPr>
          <w:rFonts w:ascii="Arial" w:eastAsia="Times New Roman" w:hAnsi="Arial" w:cs="Arial"/>
          <w:color w:val="000000" w:themeColor="text1"/>
          <w:kern w:val="0"/>
          <w:lang w:eastAsia="en-GB"/>
          <w14:ligatures w14:val="none"/>
        </w:rPr>
        <w:t xml:space="preserve">Glaxosmithkline </w:t>
      </w:r>
      <w:r w:rsidR="007E2BF1" w:rsidRPr="00C423AA">
        <w:rPr>
          <w:rFonts w:ascii="Arial" w:eastAsia="Times New Roman" w:hAnsi="Arial" w:cs="Arial"/>
          <w:color w:val="000000" w:themeColor="text1"/>
          <w:kern w:val="0"/>
          <w:lang w:eastAsia="en-GB"/>
          <w14:ligatures w14:val="none"/>
        </w:rPr>
        <w:t>(</w:t>
      </w:r>
      <w:r w:rsidR="00105A72" w:rsidRPr="00C423AA">
        <w:rPr>
          <w:rFonts w:ascii="Arial" w:eastAsia="Times New Roman" w:hAnsi="Arial" w:cs="Arial"/>
          <w:color w:val="000000" w:themeColor="text1"/>
          <w:kern w:val="0"/>
          <w:lang w:eastAsia="en-GB"/>
          <w14:ligatures w14:val="none"/>
        </w:rPr>
        <w:t>GS</w:t>
      </w:r>
      <w:r w:rsidR="00250CCB" w:rsidRPr="00C423AA">
        <w:rPr>
          <w:rFonts w:ascii="Arial" w:eastAsia="Times New Roman" w:hAnsi="Arial" w:cs="Arial"/>
          <w:color w:val="000000" w:themeColor="text1"/>
          <w:kern w:val="0"/>
          <w:lang w:eastAsia="en-GB"/>
          <w14:ligatures w14:val="none"/>
        </w:rPr>
        <w:t>K</w:t>
      </w:r>
      <w:r w:rsidR="007E2BF1" w:rsidRPr="00C423AA">
        <w:rPr>
          <w:rFonts w:ascii="Arial" w:eastAsia="Times New Roman" w:hAnsi="Arial" w:cs="Arial"/>
          <w:color w:val="000000" w:themeColor="text1"/>
          <w:kern w:val="0"/>
          <w:lang w:eastAsia="en-GB"/>
          <w14:ligatures w14:val="none"/>
        </w:rPr>
        <w:t>)</w:t>
      </w:r>
      <w:r w:rsidRPr="00C423AA">
        <w:rPr>
          <w:rFonts w:ascii="Arial" w:eastAsia="Times New Roman" w:hAnsi="Arial" w:cs="Arial"/>
          <w:color w:val="000000" w:themeColor="text1"/>
          <w:kern w:val="0"/>
          <w:lang w:eastAsia="en-GB"/>
          <w14:ligatures w14:val="none"/>
        </w:rPr>
        <w:t>. It subsequently evaluates the application of an appropriate HR model to assess organisational practice and concludes by summarising the key findings and recommendations regarding the strategic contribution of HRM to organisational effectiveness.</w:t>
      </w:r>
    </w:p>
    <w:p w14:paraId="6B3F4911" w14:textId="78663A2E" w:rsidR="004D621E" w:rsidRPr="00C423AA" w:rsidRDefault="0008564F" w:rsidP="0006155E">
      <w:pPr>
        <w:pStyle w:val="Heading1"/>
        <w:rPr>
          <w:rFonts w:ascii="Arial" w:hAnsi="Arial" w:cs="Arial"/>
          <w:b/>
          <w:bCs/>
          <w:color w:val="000000" w:themeColor="text1"/>
          <w:sz w:val="24"/>
          <w:szCs w:val="24"/>
          <w:lang w:eastAsia="en-GB"/>
        </w:rPr>
      </w:pPr>
      <w:bookmarkStart w:id="1" w:name="_Toc237898065"/>
      <w:r w:rsidRPr="00C423AA">
        <w:rPr>
          <w:rFonts w:ascii="Arial" w:hAnsi="Arial" w:cs="Arial"/>
          <w:b/>
          <w:bCs/>
          <w:color w:val="000000" w:themeColor="text1"/>
          <w:sz w:val="24"/>
          <w:szCs w:val="24"/>
          <w:lang w:eastAsia="en-GB"/>
        </w:rPr>
        <w:lastRenderedPageBreak/>
        <w:t>2</w:t>
      </w:r>
      <w:r w:rsidR="005C29E9" w:rsidRPr="00C423AA">
        <w:rPr>
          <w:rFonts w:ascii="Arial" w:hAnsi="Arial" w:cs="Arial"/>
          <w:b/>
          <w:bCs/>
          <w:color w:val="000000" w:themeColor="text1"/>
          <w:sz w:val="24"/>
          <w:szCs w:val="24"/>
          <w:lang w:eastAsia="en-GB"/>
        </w:rPr>
        <w:t>.</w:t>
      </w:r>
      <w:r w:rsidRPr="00C423AA">
        <w:rPr>
          <w:rFonts w:ascii="Arial" w:hAnsi="Arial" w:cs="Arial"/>
          <w:b/>
          <w:bCs/>
          <w:color w:val="000000" w:themeColor="text1"/>
          <w:sz w:val="24"/>
          <w:szCs w:val="24"/>
          <w:lang w:eastAsia="en-GB"/>
        </w:rPr>
        <w:t xml:space="preserve"> </w:t>
      </w:r>
      <w:r w:rsidR="004D621E" w:rsidRPr="00C423AA">
        <w:rPr>
          <w:rFonts w:ascii="Arial" w:hAnsi="Arial" w:cs="Arial"/>
          <w:b/>
          <w:bCs/>
          <w:color w:val="000000" w:themeColor="text1"/>
          <w:sz w:val="24"/>
          <w:szCs w:val="24"/>
          <w:lang w:eastAsia="en-GB"/>
        </w:rPr>
        <w:t>Internal and External Environment for Business Environment Model</w:t>
      </w:r>
      <w:bookmarkEnd w:id="1"/>
    </w:p>
    <w:p w14:paraId="76B64800" w14:textId="77777777" w:rsidR="005021FE" w:rsidRPr="00C423AA" w:rsidRDefault="004D621E" w:rsidP="00605F3C">
      <w:pPr>
        <w:spacing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Understanding the internal and external business environment is essential for organisations seeking to develop effective Human Resource Management (HRM) strategies. Business environment models enable managers to evaluate the factors that influence organisational performance and support strategic decision</w:t>
      </w:r>
      <w:r w:rsidR="00F832DF" w:rsidRPr="00C423AA">
        <w:rPr>
          <w:rFonts w:ascii="Arial" w:eastAsia="Times New Roman" w:hAnsi="Arial" w:cs="Arial"/>
          <w:color w:val="000000" w:themeColor="text1"/>
          <w:kern w:val="0"/>
          <w:lang w:eastAsia="en-GB"/>
          <w14:ligatures w14:val="none"/>
        </w:rPr>
        <w:t xml:space="preserve"> </w:t>
      </w:r>
      <w:r w:rsidRPr="00C423AA">
        <w:rPr>
          <w:rFonts w:ascii="Arial" w:eastAsia="Times New Roman" w:hAnsi="Arial" w:cs="Arial"/>
          <w:color w:val="000000" w:themeColor="text1"/>
          <w:kern w:val="0"/>
          <w:lang w:eastAsia="en-GB"/>
          <w14:ligatures w14:val="none"/>
        </w:rPr>
        <w:t xml:space="preserve">making. Among the available frameworks, </w:t>
      </w:r>
      <w:r w:rsidR="002F7F1B" w:rsidRPr="00C423AA">
        <w:rPr>
          <w:rFonts w:ascii="Arial" w:eastAsia="Times New Roman" w:hAnsi="Arial" w:cs="Arial"/>
          <w:color w:val="000000" w:themeColor="text1"/>
          <w:kern w:val="0"/>
          <w:lang w:eastAsia="en-GB"/>
          <w14:ligatures w14:val="none"/>
        </w:rPr>
        <w:t xml:space="preserve">is </w:t>
      </w:r>
      <w:r w:rsidRPr="00C423AA">
        <w:rPr>
          <w:rFonts w:ascii="Arial" w:eastAsia="Times New Roman" w:hAnsi="Arial" w:cs="Arial"/>
          <w:color w:val="000000" w:themeColor="text1"/>
          <w:kern w:val="0"/>
          <w:lang w:eastAsia="en-GB"/>
          <w14:ligatures w14:val="none"/>
        </w:rPr>
        <w:t xml:space="preserve">the </w:t>
      </w:r>
      <w:r w:rsidRPr="00C423AA">
        <w:rPr>
          <w:rFonts w:ascii="Arial" w:eastAsia="Times New Roman" w:hAnsi="Arial" w:cs="Arial"/>
          <w:b/>
          <w:bCs/>
          <w:color w:val="000000" w:themeColor="text1"/>
          <w:kern w:val="0"/>
          <w:lang w:eastAsia="en-GB"/>
          <w14:ligatures w14:val="none"/>
        </w:rPr>
        <w:t>SWOT analysis</w:t>
      </w:r>
      <w:r w:rsidR="002F7F1B" w:rsidRPr="00C423AA">
        <w:rPr>
          <w:rFonts w:ascii="Arial" w:eastAsia="Times New Roman" w:hAnsi="Arial" w:cs="Arial"/>
          <w:b/>
          <w:bCs/>
          <w:color w:val="000000" w:themeColor="text1"/>
          <w:kern w:val="0"/>
          <w:lang w:eastAsia="en-GB"/>
          <w14:ligatures w14:val="none"/>
        </w:rPr>
        <w:t>.</w:t>
      </w:r>
      <w:r w:rsidRPr="00C423AA">
        <w:rPr>
          <w:rFonts w:ascii="Arial" w:eastAsia="Times New Roman" w:hAnsi="Arial" w:cs="Arial"/>
          <w:color w:val="000000" w:themeColor="text1"/>
          <w:kern w:val="0"/>
          <w:lang w:eastAsia="en-GB"/>
          <w14:ligatures w14:val="none"/>
        </w:rPr>
        <w:t xml:space="preserve"> </w:t>
      </w:r>
      <w:r w:rsidR="001C0FD7" w:rsidRPr="00C423AA">
        <w:rPr>
          <w:rFonts w:ascii="Arial" w:eastAsia="Times New Roman" w:hAnsi="Arial" w:cs="Arial"/>
          <w:color w:val="000000" w:themeColor="text1"/>
          <w:kern w:val="0"/>
          <w:lang w:eastAsia="en-GB"/>
          <w14:ligatures w14:val="none"/>
        </w:rPr>
        <w:t xml:space="preserve"> </w:t>
      </w:r>
    </w:p>
    <w:p w14:paraId="7C5EBB60" w14:textId="15394DF0" w:rsidR="00FF29A8" w:rsidRDefault="00FF29A8" w:rsidP="00605F3C">
      <w:pPr>
        <w:spacing w:line="360" w:lineRule="auto"/>
        <w:ind w:left="284"/>
        <w:jc w:val="both"/>
        <w:rPr>
          <w:rFonts w:ascii="Arial" w:hAnsi="Arial" w:cs="Arial"/>
          <w:color w:val="000000" w:themeColor="text1"/>
        </w:rPr>
      </w:pPr>
      <w:r w:rsidRPr="00FF29A8">
        <w:rPr>
          <w:rFonts w:ascii="Arial" w:hAnsi="Arial" w:cs="Arial"/>
          <w:color w:val="000000" w:themeColor="text1"/>
        </w:rPr>
        <w:t>A SWOT analysis is a strategic tool that enables organisations to identify internal strengths and weaknesses, as well as external opportunities and threats that influence their performance.</w:t>
      </w:r>
    </w:p>
    <w:p w14:paraId="75E2F5F4" w14:textId="31F4188E" w:rsidR="004D621E" w:rsidRPr="00C423AA" w:rsidRDefault="00CD583A" w:rsidP="00605F3C">
      <w:pPr>
        <w:spacing w:line="360" w:lineRule="auto"/>
        <w:ind w:left="284"/>
        <w:jc w:val="both"/>
        <w:rPr>
          <w:rFonts w:ascii="Arial" w:hAnsi="Arial" w:cs="Arial"/>
          <w:color w:val="000000" w:themeColor="text1"/>
        </w:rPr>
      </w:pPr>
      <w:r w:rsidRPr="00C423AA">
        <w:rPr>
          <w:rFonts w:ascii="Arial" w:hAnsi="Arial" w:cs="Arial"/>
          <w:color w:val="000000" w:themeColor="text1"/>
        </w:rPr>
        <w:t xml:space="preserve">Examining these four elements provides meaningful insight into the organisation’s current position and its potential for future growth. </w:t>
      </w:r>
      <w:r w:rsidR="004D621E" w:rsidRPr="00C423AA">
        <w:rPr>
          <w:rFonts w:ascii="Arial" w:eastAsia="Times New Roman" w:hAnsi="Arial" w:cs="Arial"/>
          <w:color w:val="000000" w:themeColor="text1"/>
          <w:kern w:val="0"/>
          <w:lang w:eastAsia="en-GB"/>
          <w14:ligatures w14:val="none"/>
        </w:rPr>
        <w:t>This makes it especially valuable for aligning HR strategies with broader organisational objectives</w:t>
      </w:r>
      <w:r w:rsidR="004F2CBF" w:rsidRPr="00C423AA">
        <w:rPr>
          <w:rFonts w:ascii="Arial" w:eastAsia="Times New Roman" w:hAnsi="Arial" w:cs="Arial"/>
          <w:color w:val="000000" w:themeColor="text1"/>
          <w:kern w:val="0"/>
          <w:lang w:eastAsia="en-GB"/>
          <w14:ligatures w14:val="none"/>
        </w:rPr>
        <w:t xml:space="preserve"> </w:t>
      </w:r>
      <w:r w:rsidR="004F2CBF" w:rsidRPr="00C423AA">
        <w:rPr>
          <w:rFonts w:ascii="Arial" w:hAnsi="Arial" w:cs="Arial"/>
          <w:color w:val="000000" w:themeColor="text1"/>
        </w:rPr>
        <w:t>(Peterdy, 2024)</w:t>
      </w:r>
      <w:r w:rsidR="004D621E" w:rsidRPr="00C423AA">
        <w:rPr>
          <w:rFonts w:ascii="Arial" w:eastAsia="Times New Roman" w:hAnsi="Arial" w:cs="Arial"/>
          <w:color w:val="000000" w:themeColor="text1"/>
          <w:kern w:val="0"/>
          <w:lang w:eastAsia="en-GB"/>
          <w14:ligatures w14:val="none"/>
        </w:rPr>
        <w:t>.</w:t>
      </w:r>
    </w:p>
    <w:p w14:paraId="1F027752" w14:textId="27BAFC0D" w:rsidR="004D621E" w:rsidRDefault="004D621E"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 xml:space="preserve">Internally, an organisation's strengths may include a skilled workforce, effective leadership, strong organisational culture, financial resources, and advanced technology. </w:t>
      </w:r>
      <w:r w:rsidR="00BE02F4" w:rsidRPr="00C423AA">
        <w:rPr>
          <w:rFonts w:ascii="Arial" w:eastAsia="Times New Roman" w:hAnsi="Arial" w:cs="Arial"/>
          <w:color w:val="000000" w:themeColor="text1"/>
          <w:kern w:val="0"/>
          <w:lang w:eastAsia="en-GB"/>
          <w14:ligatures w14:val="none"/>
        </w:rPr>
        <w:t>On the other hand</w:t>
      </w:r>
      <w:r w:rsidRPr="00C423AA">
        <w:rPr>
          <w:rFonts w:ascii="Arial" w:eastAsia="Times New Roman" w:hAnsi="Arial" w:cs="Arial"/>
          <w:color w:val="000000" w:themeColor="text1"/>
          <w:kern w:val="0"/>
          <w:lang w:eastAsia="en-GB"/>
          <w14:ligatures w14:val="none"/>
        </w:rPr>
        <w:t xml:space="preserve">, weaknesses may involve skills shortages, high employee turnover, inadequate training programmes, or ineffective performance management systems. These internal factors directly influence HR functions, particularly recruitment, employee development, succession planning, and workforce retention. For example, organisations experiencing skills shortages may implement targeted recruitment campaigns or invest in learning and development initiatives to enhance workforce capability (Snell </w:t>
      </w:r>
      <w:r w:rsidRPr="00C423AA">
        <w:rPr>
          <w:rFonts w:ascii="Arial" w:eastAsia="Times New Roman" w:hAnsi="Arial" w:cs="Arial"/>
          <w:i/>
          <w:iCs/>
          <w:color w:val="000000" w:themeColor="text1"/>
          <w:kern w:val="0"/>
          <w:lang w:eastAsia="en-GB"/>
          <w14:ligatures w14:val="none"/>
        </w:rPr>
        <w:t>et al.</w:t>
      </w:r>
      <w:r w:rsidRPr="00C423AA">
        <w:rPr>
          <w:rFonts w:ascii="Arial" w:eastAsia="Times New Roman" w:hAnsi="Arial" w:cs="Arial"/>
          <w:color w:val="000000" w:themeColor="text1"/>
          <w:kern w:val="0"/>
          <w:lang w:eastAsia="en-GB"/>
          <w14:ligatures w14:val="none"/>
        </w:rPr>
        <w:t>, 2023).</w:t>
      </w:r>
      <w:r w:rsidR="00855B68">
        <w:rPr>
          <w:rFonts w:ascii="Arial" w:eastAsia="Times New Roman" w:hAnsi="Arial" w:cs="Arial"/>
          <w:color w:val="000000" w:themeColor="text1"/>
          <w:kern w:val="0"/>
          <w:lang w:eastAsia="en-GB"/>
          <w14:ligatures w14:val="none"/>
        </w:rPr>
        <w:t xml:space="preserve"> </w:t>
      </w:r>
    </w:p>
    <w:p w14:paraId="3CA84AFF" w14:textId="00011F61" w:rsidR="004D621E" w:rsidRPr="003147B5" w:rsidRDefault="004D621E" w:rsidP="003147B5">
      <w:pPr>
        <w:spacing w:before="100" w:beforeAutospacing="1" w:after="100" w:afterAutospacing="1" w:line="360" w:lineRule="auto"/>
        <w:ind w:left="284"/>
        <w:jc w:val="both"/>
        <w:rPr>
          <w:rFonts w:ascii="Arial" w:eastAsia="Times New Roman" w:hAnsi="Arial" w:cs="Arial"/>
          <w:color w:val="7030A0"/>
          <w:kern w:val="0"/>
          <w:lang w:eastAsia="en-GB"/>
          <w14:ligatures w14:val="none"/>
        </w:rPr>
      </w:pPr>
      <w:r w:rsidRPr="00C423AA">
        <w:rPr>
          <w:rFonts w:ascii="Arial" w:eastAsia="Times New Roman" w:hAnsi="Arial" w:cs="Arial"/>
          <w:color w:val="000000" w:themeColor="text1"/>
          <w:kern w:val="0"/>
          <w:lang w:eastAsia="en-GB"/>
          <w14:ligatures w14:val="none"/>
        </w:rPr>
        <w:t xml:space="preserve">Externally, organisations operate within dynamic environments characterised by economic conditions, labour market trends, technological innovation, changing legislation, demographic shifts, and competitive pressures. These </w:t>
      </w:r>
      <w:bookmarkStart w:id="2" w:name="_Hlk236925177"/>
      <w:r w:rsidRPr="00C423AA">
        <w:rPr>
          <w:rFonts w:ascii="Arial" w:eastAsia="Times New Roman" w:hAnsi="Arial" w:cs="Arial"/>
          <w:color w:val="000000" w:themeColor="text1"/>
          <w:kern w:val="0"/>
          <w:lang w:eastAsia="en-GB"/>
          <w14:ligatures w14:val="none"/>
        </w:rPr>
        <w:t xml:space="preserve">opportunities and threats significantly affect HR planning and policy development. </w:t>
      </w:r>
      <w:bookmarkEnd w:id="2"/>
      <w:r w:rsidRPr="00C423AA">
        <w:rPr>
          <w:rFonts w:ascii="Arial" w:eastAsia="Times New Roman" w:hAnsi="Arial" w:cs="Arial"/>
          <w:color w:val="000000" w:themeColor="text1"/>
          <w:kern w:val="0"/>
          <w:lang w:eastAsia="en-GB"/>
          <w14:ligatures w14:val="none"/>
        </w:rPr>
        <w:t xml:space="preserve">For instance, technological advancements require HR departments to develop digital competencies through continuous training, while labour market shortages may encourage organisations to strengthen employer branding and employee value propositions to attract and retain talented employees (Cooke, Dickmann and Parry, 2023). </w:t>
      </w:r>
      <w:r w:rsidR="004047D5" w:rsidRPr="0063055B">
        <w:rPr>
          <w:rFonts w:ascii="Arial" w:eastAsia="Times New Roman" w:hAnsi="Arial" w:cs="Arial"/>
          <w:color w:val="000000" w:themeColor="text1"/>
          <w:kern w:val="0"/>
          <w:lang w:eastAsia="en-GB"/>
          <w14:ligatures w14:val="none"/>
        </w:rPr>
        <w:t xml:space="preserve">Tesco supermarket </w:t>
      </w:r>
      <w:r w:rsidR="001F71BB" w:rsidRPr="0063055B">
        <w:rPr>
          <w:rFonts w:ascii="Arial" w:eastAsia="Times New Roman" w:hAnsi="Arial" w:cs="Arial"/>
          <w:color w:val="000000" w:themeColor="text1"/>
          <w:kern w:val="0"/>
          <w:lang w:eastAsia="en-GB"/>
          <w14:ligatures w14:val="none"/>
        </w:rPr>
        <w:t xml:space="preserve">has </w:t>
      </w:r>
      <w:r w:rsidR="007A36B5" w:rsidRPr="0063055B">
        <w:rPr>
          <w:rFonts w:ascii="Arial" w:eastAsia="Times New Roman" w:hAnsi="Arial" w:cs="Arial"/>
          <w:color w:val="000000" w:themeColor="text1"/>
          <w:kern w:val="0"/>
          <w:lang w:eastAsia="en-GB"/>
          <w14:ligatures w14:val="none"/>
        </w:rPr>
        <w:t xml:space="preserve">shown </w:t>
      </w:r>
      <w:r w:rsidR="004047D5" w:rsidRPr="0063055B">
        <w:rPr>
          <w:rFonts w:ascii="Arial" w:eastAsia="Times New Roman" w:hAnsi="Arial" w:cs="Arial"/>
          <w:color w:val="000000" w:themeColor="text1"/>
          <w:kern w:val="0"/>
          <w:lang w:eastAsia="en-GB"/>
          <w14:ligatures w14:val="none"/>
        </w:rPr>
        <w:t xml:space="preserve">how effective </w:t>
      </w:r>
      <w:r w:rsidR="003E1CDA" w:rsidRPr="0063055B">
        <w:rPr>
          <w:rFonts w:ascii="Arial" w:eastAsia="Times New Roman" w:hAnsi="Arial" w:cs="Arial"/>
          <w:color w:val="000000" w:themeColor="text1"/>
          <w:kern w:val="0"/>
          <w:lang w:eastAsia="en-GB"/>
          <w14:ligatures w14:val="none"/>
        </w:rPr>
        <w:t>strategic human resource planning (SHRP)</w:t>
      </w:r>
      <w:r w:rsidR="003147B5" w:rsidRPr="0063055B">
        <w:rPr>
          <w:rFonts w:ascii="Arial" w:eastAsia="Times New Roman" w:hAnsi="Arial" w:cs="Arial"/>
          <w:color w:val="000000" w:themeColor="text1"/>
          <w:kern w:val="0"/>
          <w:lang w:eastAsia="en-GB"/>
          <w14:ligatures w14:val="none"/>
        </w:rPr>
        <w:t xml:space="preserve"> </w:t>
      </w:r>
      <w:r w:rsidR="004047D5" w:rsidRPr="0063055B">
        <w:rPr>
          <w:rFonts w:ascii="Arial" w:eastAsia="Times New Roman" w:hAnsi="Arial" w:cs="Arial"/>
          <w:color w:val="000000" w:themeColor="text1"/>
          <w:kern w:val="0"/>
          <w:lang w:eastAsia="en-GB"/>
          <w14:ligatures w14:val="none"/>
        </w:rPr>
        <w:t xml:space="preserve">can enhance organisational agility, employee engagement, and </w:t>
      </w:r>
      <w:r w:rsidR="004047D5" w:rsidRPr="0063055B">
        <w:rPr>
          <w:rFonts w:ascii="Arial" w:eastAsia="Times New Roman" w:hAnsi="Arial" w:cs="Arial"/>
          <w:color w:val="000000" w:themeColor="text1"/>
          <w:kern w:val="0"/>
          <w:lang w:eastAsia="en-GB"/>
          <w14:ligatures w14:val="none"/>
        </w:rPr>
        <w:lastRenderedPageBreak/>
        <w:t>overall performance</w:t>
      </w:r>
      <w:r w:rsidR="004047D5" w:rsidRPr="0063055B">
        <w:rPr>
          <w:color w:val="000000" w:themeColor="text1"/>
        </w:rPr>
        <w:t xml:space="preserve"> </w:t>
      </w:r>
      <w:r w:rsidR="004047D5" w:rsidRPr="0063055B">
        <w:rPr>
          <w:rFonts w:ascii="Arial" w:eastAsia="Times New Roman" w:hAnsi="Arial" w:cs="Arial"/>
          <w:color w:val="000000" w:themeColor="text1"/>
          <w:kern w:val="0"/>
          <w:lang w:eastAsia="en-GB"/>
          <w14:ligatures w14:val="none"/>
        </w:rPr>
        <w:t>(Asongwe, 2023).</w:t>
      </w:r>
      <w:r w:rsidR="004D4A48" w:rsidRPr="0063055B">
        <w:rPr>
          <w:rFonts w:ascii="Arial" w:eastAsia="Times New Roman" w:hAnsi="Arial" w:cs="Arial"/>
          <w:color w:val="000000" w:themeColor="text1"/>
          <w:kern w:val="0"/>
          <w:lang w:eastAsia="en-GB"/>
          <w14:ligatures w14:val="none"/>
        </w:rPr>
        <w:t xml:space="preserve"> </w:t>
      </w:r>
      <w:r w:rsidRPr="00C423AA">
        <w:rPr>
          <w:rFonts w:ascii="Arial" w:eastAsia="Times New Roman" w:hAnsi="Arial" w:cs="Arial"/>
          <w:color w:val="000000" w:themeColor="text1"/>
          <w:kern w:val="0"/>
          <w:lang w:eastAsia="en-GB"/>
          <w14:ligatures w14:val="none"/>
        </w:rPr>
        <w:t>Similarly, changes in employment legislation require HR professionals to ensure compliance while maintaining fair and inclusive workplace practices.</w:t>
      </w:r>
    </w:p>
    <w:p w14:paraId="0F780CDD" w14:textId="0A78C296" w:rsidR="00C4363C" w:rsidRPr="00C423AA" w:rsidRDefault="00C4363C"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The strength of SWOT analysis lies in its simplicity and strategic flexibility. By assessing internal capabilities alongside external conditions, it helps organisations identify where HR practices can create competitive advantage. The framework also supports strategic workforce planning by aligning strengths with opportunities while addressing weaknesses linked to external threats. This enables HR professionals to design proactive recruitment, performance management, engagement, and talent development strategies that advance long</w:t>
      </w:r>
      <w:r w:rsidR="00E027BA">
        <w:rPr>
          <w:rFonts w:ascii="Arial" w:eastAsia="Times New Roman" w:hAnsi="Arial" w:cs="Arial"/>
          <w:color w:val="000000" w:themeColor="text1"/>
          <w:kern w:val="0"/>
          <w:lang w:eastAsia="en-GB"/>
          <w14:ligatures w14:val="none"/>
        </w:rPr>
        <w:t xml:space="preserve"> </w:t>
      </w:r>
      <w:r w:rsidRPr="00C423AA">
        <w:rPr>
          <w:rFonts w:ascii="Arial" w:eastAsia="Times New Roman" w:hAnsi="Arial" w:cs="Arial"/>
          <w:color w:val="000000" w:themeColor="text1"/>
          <w:kern w:val="0"/>
          <w:lang w:eastAsia="en-GB"/>
          <w14:ligatures w14:val="none"/>
        </w:rPr>
        <w:t>term organisational goals (Storey and Wright, 2019).</w:t>
      </w:r>
    </w:p>
    <w:p w14:paraId="66970FE9" w14:textId="39E20A77" w:rsidR="009A4CAF" w:rsidRPr="00C423AA" w:rsidRDefault="009A4CAF"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Despite its advantages, SWOT analysis has limitations. It offers only a snapshot of organisational conditions and can quickly become outdated in fast</w:t>
      </w:r>
      <w:r w:rsidR="00F066D1">
        <w:rPr>
          <w:rFonts w:ascii="Arial" w:eastAsia="Times New Roman" w:hAnsi="Arial" w:cs="Arial"/>
          <w:color w:val="000000" w:themeColor="text1"/>
          <w:kern w:val="0"/>
          <w:lang w:eastAsia="en-GB"/>
          <w14:ligatures w14:val="none"/>
        </w:rPr>
        <w:t xml:space="preserve"> </w:t>
      </w:r>
      <w:r w:rsidRPr="00C423AA">
        <w:rPr>
          <w:rFonts w:ascii="Arial" w:eastAsia="Times New Roman" w:hAnsi="Arial" w:cs="Arial"/>
          <w:color w:val="000000" w:themeColor="text1"/>
          <w:kern w:val="0"/>
          <w:lang w:eastAsia="en-GB"/>
          <w14:ligatures w14:val="none"/>
        </w:rPr>
        <w:t>changing markets. The framework also fails to prioritise factors, allowing managerial bias and subjective interpretation. Additionally, SWOT identifies environmental elements without explaining their relationships or guiding strategic action. Therefore, it should be supplemented with other tools and ongoing environmental scanning to strengthen decision</w:t>
      </w:r>
      <w:r w:rsidR="00CE6943">
        <w:rPr>
          <w:rFonts w:ascii="Arial" w:eastAsia="Times New Roman" w:hAnsi="Arial" w:cs="Arial"/>
          <w:color w:val="000000" w:themeColor="text1"/>
          <w:kern w:val="0"/>
          <w:lang w:eastAsia="en-GB"/>
          <w14:ligatures w14:val="none"/>
        </w:rPr>
        <w:t xml:space="preserve"> </w:t>
      </w:r>
      <w:r w:rsidRPr="00C423AA">
        <w:rPr>
          <w:rFonts w:ascii="Arial" w:eastAsia="Times New Roman" w:hAnsi="Arial" w:cs="Arial"/>
          <w:color w:val="000000" w:themeColor="text1"/>
          <w:kern w:val="0"/>
          <w:lang w:eastAsia="en-GB"/>
          <w14:ligatures w14:val="none"/>
        </w:rPr>
        <w:t>making and adaptability (Gürel and Tat, 2017).</w:t>
      </w:r>
    </w:p>
    <w:p w14:paraId="39FDC79F" w14:textId="77777777" w:rsidR="004D621E" w:rsidRPr="00C423AA" w:rsidRDefault="004D621E"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Overall, SWOT analysis demonstrates a clear relationship with HR functions because it enables organisations to assess how internal capabilities and external environmental pressures influence recruitment, training and development, performance management, employee relations, and workforce planning. By integrating environmental analysis with strategic HRM, organisations are better positioned to respond to change, improve employee performance, and sustain competitive advantage in increasingly complex business environments.</w:t>
      </w:r>
    </w:p>
    <w:p w14:paraId="4C496041" w14:textId="591268C7" w:rsidR="00BF233C" w:rsidRPr="00C423AA" w:rsidRDefault="00BF233C" w:rsidP="0006155E">
      <w:pPr>
        <w:pStyle w:val="Heading1"/>
        <w:rPr>
          <w:rFonts w:ascii="Arial" w:hAnsi="Arial" w:cs="Arial"/>
          <w:b/>
          <w:bCs/>
          <w:color w:val="000000" w:themeColor="text1"/>
          <w:sz w:val="24"/>
          <w:szCs w:val="24"/>
          <w:lang w:eastAsia="en-GB"/>
        </w:rPr>
      </w:pPr>
      <w:bookmarkStart w:id="3" w:name="_Toc237898066"/>
      <w:r w:rsidRPr="00C423AA">
        <w:rPr>
          <w:rFonts w:ascii="Arial" w:hAnsi="Arial" w:cs="Arial"/>
          <w:b/>
          <w:bCs/>
          <w:color w:val="000000" w:themeColor="text1"/>
          <w:sz w:val="24"/>
          <w:szCs w:val="24"/>
          <w:lang w:eastAsia="en-GB"/>
        </w:rPr>
        <w:t>3</w:t>
      </w:r>
      <w:r w:rsidR="005C29E9" w:rsidRPr="00C423AA">
        <w:rPr>
          <w:rFonts w:ascii="Arial" w:hAnsi="Arial" w:cs="Arial"/>
          <w:b/>
          <w:bCs/>
          <w:color w:val="000000" w:themeColor="text1"/>
          <w:sz w:val="24"/>
          <w:szCs w:val="24"/>
          <w:lang w:eastAsia="en-GB"/>
        </w:rPr>
        <w:t>.</w:t>
      </w:r>
      <w:r w:rsidRPr="00C423AA">
        <w:rPr>
          <w:rFonts w:ascii="Arial" w:hAnsi="Arial" w:cs="Arial"/>
          <w:b/>
          <w:bCs/>
          <w:color w:val="000000" w:themeColor="text1"/>
          <w:sz w:val="24"/>
          <w:szCs w:val="24"/>
          <w:lang w:eastAsia="en-GB"/>
        </w:rPr>
        <w:t xml:space="preserve"> Organisation Application: GSK</w:t>
      </w:r>
      <w:r w:rsidR="000A3749" w:rsidRPr="00C423AA">
        <w:rPr>
          <w:rFonts w:ascii="Arial" w:hAnsi="Arial" w:cs="Arial"/>
          <w:b/>
          <w:bCs/>
          <w:color w:val="000000" w:themeColor="text1"/>
          <w:sz w:val="24"/>
          <w:szCs w:val="24"/>
          <w:lang w:eastAsia="en-GB"/>
        </w:rPr>
        <w:t xml:space="preserve"> (</w:t>
      </w:r>
      <w:r w:rsidR="00117E26" w:rsidRPr="00C423AA">
        <w:rPr>
          <w:rFonts w:ascii="Arial" w:hAnsi="Arial" w:cs="Arial"/>
          <w:b/>
          <w:bCs/>
          <w:color w:val="000000" w:themeColor="text1"/>
          <w:sz w:val="24"/>
          <w:szCs w:val="24"/>
          <w:lang w:eastAsia="en-GB"/>
        </w:rPr>
        <w:t>Glaxosmithkline)</w:t>
      </w:r>
      <w:bookmarkEnd w:id="3"/>
    </w:p>
    <w:p w14:paraId="35FE82D8" w14:textId="25074D5B" w:rsidR="00BF233C" w:rsidRPr="00C423AA" w:rsidRDefault="00BF233C" w:rsidP="00454111">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 xml:space="preserve">GSK is a leading global biopharmaceutical company headquartered in the United Kingdom, specialising in the research, development, manufacture, and commercialisation of vaccines, specialty medicines, and general medicines. The company operates in more than 75 countries, with its products reaching patients in </w:t>
      </w:r>
      <w:r w:rsidRPr="00C423AA">
        <w:rPr>
          <w:rFonts w:ascii="Arial" w:eastAsia="Times New Roman" w:hAnsi="Arial" w:cs="Arial"/>
          <w:color w:val="000000" w:themeColor="text1"/>
          <w:kern w:val="0"/>
          <w:lang w:eastAsia="en-GB"/>
          <w14:ligatures w14:val="none"/>
        </w:rPr>
        <w:lastRenderedPageBreak/>
        <w:t xml:space="preserve">over 100 markets worldwide. GSK's global presence enables it to respond to diverse healthcare needs while maintaining a strong emphasis on scientific innovation, sustainability, and responsible business practices </w:t>
      </w:r>
      <w:r w:rsidR="00D86630" w:rsidRPr="00C423AA">
        <w:rPr>
          <w:rFonts w:ascii="Arial" w:eastAsia="Times New Roman" w:hAnsi="Arial" w:cs="Arial"/>
          <w:color w:val="000000" w:themeColor="text1"/>
          <w:kern w:val="0"/>
          <w:lang w:eastAsia="en-GB"/>
          <w14:ligatures w14:val="none"/>
        </w:rPr>
        <w:t>(GSK, 2024)</w:t>
      </w:r>
      <w:r w:rsidR="00454111" w:rsidRPr="00C423AA">
        <w:rPr>
          <w:rFonts w:ascii="Arial" w:eastAsia="Times New Roman" w:hAnsi="Arial" w:cs="Arial"/>
          <w:color w:val="000000" w:themeColor="text1"/>
          <w:kern w:val="0"/>
          <w:lang w:eastAsia="en-GB"/>
          <w14:ligatures w14:val="none"/>
        </w:rPr>
        <w:t>.</w:t>
      </w:r>
    </w:p>
    <w:p w14:paraId="7FEE5B27" w14:textId="0A6C0211" w:rsidR="00BF233C" w:rsidRPr="00C423AA" w:rsidRDefault="00BF233C"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 xml:space="preserve">GSK adopts </w:t>
      </w:r>
      <w:r w:rsidRPr="00FF29A8">
        <w:rPr>
          <w:rFonts w:ascii="Arial" w:eastAsia="Times New Roman" w:hAnsi="Arial" w:cs="Arial"/>
          <w:color w:val="000000" w:themeColor="text1"/>
          <w:kern w:val="0"/>
          <w:lang w:eastAsia="en-GB"/>
          <w14:ligatures w14:val="none"/>
        </w:rPr>
        <w:t xml:space="preserve">a strategic approach to Human Resource </w:t>
      </w:r>
      <w:r w:rsidRPr="00C423AA">
        <w:rPr>
          <w:rFonts w:ascii="Arial" w:eastAsia="Times New Roman" w:hAnsi="Arial" w:cs="Arial"/>
          <w:color w:val="000000" w:themeColor="text1"/>
          <w:kern w:val="0"/>
          <w:lang w:eastAsia="en-GB"/>
          <w14:ligatures w14:val="none"/>
        </w:rPr>
        <w:t xml:space="preserve">Management (HRM) to support its global workforce and business objectives. Its recruitment practices </w:t>
      </w:r>
      <w:proofErr w:type="gramStart"/>
      <w:r w:rsidRPr="00C423AA">
        <w:rPr>
          <w:rFonts w:ascii="Arial" w:eastAsia="Times New Roman" w:hAnsi="Arial" w:cs="Arial"/>
          <w:color w:val="000000" w:themeColor="text1"/>
          <w:kern w:val="0"/>
          <w:lang w:eastAsia="en-GB"/>
          <w14:ligatures w14:val="none"/>
        </w:rPr>
        <w:t>focus</w:t>
      </w:r>
      <w:r w:rsidR="008A6808">
        <w:rPr>
          <w:rFonts w:ascii="Arial" w:eastAsia="Times New Roman" w:hAnsi="Arial" w:cs="Arial"/>
          <w:color w:val="000000" w:themeColor="text1"/>
          <w:kern w:val="0"/>
          <w:lang w:eastAsia="en-GB"/>
          <w14:ligatures w14:val="none"/>
        </w:rPr>
        <w:t>es</w:t>
      </w:r>
      <w:proofErr w:type="gramEnd"/>
      <w:r w:rsidRPr="00C423AA">
        <w:rPr>
          <w:rFonts w:ascii="Arial" w:eastAsia="Times New Roman" w:hAnsi="Arial" w:cs="Arial"/>
          <w:color w:val="000000" w:themeColor="text1"/>
          <w:kern w:val="0"/>
          <w:lang w:eastAsia="en-GB"/>
          <w14:ligatures w14:val="none"/>
        </w:rPr>
        <w:t xml:space="preserve"> on attracting highly skilled and diverse talent through competency</w:t>
      </w:r>
      <w:r w:rsidR="006132BB" w:rsidRPr="00C423AA">
        <w:rPr>
          <w:rFonts w:ascii="Arial" w:eastAsia="Times New Roman" w:hAnsi="Arial" w:cs="Arial"/>
          <w:color w:val="000000" w:themeColor="text1"/>
          <w:kern w:val="0"/>
          <w:lang w:eastAsia="en-GB"/>
          <w14:ligatures w14:val="none"/>
        </w:rPr>
        <w:t xml:space="preserve"> </w:t>
      </w:r>
      <w:r w:rsidRPr="00C423AA">
        <w:rPr>
          <w:rFonts w:ascii="Arial" w:eastAsia="Times New Roman" w:hAnsi="Arial" w:cs="Arial"/>
          <w:color w:val="000000" w:themeColor="text1"/>
          <w:kern w:val="0"/>
          <w:lang w:eastAsia="en-GB"/>
          <w14:ligatures w14:val="none"/>
        </w:rPr>
        <w:t xml:space="preserve">based selection, inclusive hiring processes, digital recruitment platforms, and employer branding initiatives. These practices </w:t>
      </w:r>
      <w:proofErr w:type="gramStart"/>
      <w:r w:rsidRPr="00C423AA">
        <w:rPr>
          <w:rFonts w:ascii="Arial" w:eastAsia="Times New Roman" w:hAnsi="Arial" w:cs="Arial"/>
          <w:color w:val="000000" w:themeColor="text1"/>
          <w:kern w:val="0"/>
          <w:lang w:eastAsia="en-GB"/>
          <w14:ligatures w14:val="none"/>
        </w:rPr>
        <w:t>enable</w:t>
      </w:r>
      <w:r w:rsidR="00DF1479">
        <w:rPr>
          <w:rFonts w:ascii="Arial" w:eastAsia="Times New Roman" w:hAnsi="Arial" w:cs="Arial"/>
          <w:color w:val="000000" w:themeColor="text1"/>
          <w:kern w:val="0"/>
          <w:lang w:eastAsia="en-GB"/>
          <w14:ligatures w14:val="none"/>
        </w:rPr>
        <w:t>s</w:t>
      </w:r>
      <w:proofErr w:type="gramEnd"/>
      <w:r w:rsidRPr="00C423AA">
        <w:rPr>
          <w:rFonts w:ascii="Arial" w:eastAsia="Times New Roman" w:hAnsi="Arial" w:cs="Arial"/>
          <w:color w:val="000000" w:themeColor="text1"/>
          <w:kern w:val="0"/>
          <w:lang w:eastAsia="en-GB"/>
          <w14:ligatures w14:val="none"/>
        </w:rPr>
        <w:t xml:space="preserve"> </w:t>
      </w:r>
      <w:r w:rsidR="00DF1479">
        <w:rPr>
          <w:rFonts w:ascii="Arial" w:eastAsia="Times New Roman" w:hAnsi="Arial" w:cs="Arial"/>
          <w:color w:val="000000" w:themeColor="text1"/>
          <w:kern w:val="0"/>
          <w:lang w:eastAsia="en-GB"/>
          <w14:ligatures w14:val="none"/>
        </w:rPr>
        <w:t>GSK</w:t>
      </w:r>
      <w:r w:rsidRPr="00C423AA">
        <w:rPr>
          <w:rFonts w:ascii="Arial" w:eastAsia="Times New Roman" w:hAnsi="Arial" w:cs="Arial"/>
          <w:color w:val="000000" w:themeColor="text1"/>
          <w:kern w:val="0"/>
          <w:lang w:eastAsia="en-GB"/>
          <w14:ligatures w14:val="none"/>
        </w:rPr>
        <w:t xml:space="preserve"> to recruit employees with the scientific, technical, and leadership capabilities required to drive innovation in highly competitive pharmaceutical markets (Cooke, Dickmann and Parry, 2023).</w:t>
      </w:r>
    </w:p>
    <w:p w14:paraId="762BDA54" w14:textId="49F71692" w:rsidR="00BF233C" w:rsidRPr="00C423AA" w:rsidRDefault="00BF233C" w:rsidP="00823C66">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Training and development are central to GSK's people strategy. The company invests in continuous learning through leadership development programmes, digital skills training, data and artificial intelligence capability building, and mandatory compliance learning to ensure employees remain adaptable in an evolving healthcare environment. In 202</w:t>
      </w:r>
      <w:r w:rsidR="0077400F" w:rsidRPr="00C423AA">
        <w:rPr>
          <w:rFonts w:ascii="Arial" w:eastAsia="Times New Roman" w:hAnsi="Arial" w:cs="Arial"/>
          <w:color w:val="000000" w:themeColor="text1"/>
          <w:kern w:val="0"/>
          <w:lang w:eastAsia="en-GB"/>
          <w14:ligatures w14:val="none"/>
        </w:rPr>
        <w:t>5</w:t>
      </w:r>
      <w:r w:rsidRPr="00C423AA">
        <w:rPr>
          <w:rFonts w:ascii="Arial" w:eastAsia="Times New Roman" w:hAnsi="Arial" w:cs="Arial"/>
          <w:color w:val="000000" w:themeColor="text1"/>
          <w:kern w:val="0"/>
          <w:lang w:eastAsia="en-GB"/>
          <w14:ligatures w14:val="none"/>
        </w:rPr>
        <w:t>, GSK expanded leadership programmes and digital learning initiatives to strengthen managerial capability and organisational performance</w:t>
      </w:r>
      <w:r w:rsidR="00823C66" w:rsidRPr="00C423AA">
        <w:rPr>
          <w:rFonts w:ascii="Arial" w:eastAsia="Times New Roman" w:hAnsi="Arial" w:cs="Arial"/>
          <w:color w:val="000000" w:themeColor="text1"/>
          <w:kern w:val="0"/>
          <w:lang w:eastAsia="en-GB"/>
          <w14:ligatures w14:val="none"/>
        </w:rPr>
        <w:t xml:space="preserve"> (Sachmajev, 2025)</w:t>
      </w:r>
      <w:r w:rsidR="004E7CC8" w:rsidRPr="00C423AA">
        <w:rPr>
          <w:rFonts w:ascii="Arial" w:eastAsia="Times New Roman" w:hAnsi="Arial" w:cs="Arial"/>
          <w:color w:val="000000" w:themeColor="text1"/>
          <w:kern w:val="0"/>
          <w:lang w:eastAsia="en-GB"/>
          <w14:ligatures w14:val="none"/>
        </w:rPr>
        <w:t>.</w:t>
      </w:r>
    </w:p>
    <w:p w14:paraId="18CE7B18" w14:textId="523C55B5" w:rsidR="004D621E" w:rsidRPr="00C423AA" w:rsidRDefault="00BF233C" w:rsidP="00724314">
      <w:pPr>
        <w:spacing w:before="100" w:beforeAutospacing="1" w:after="100" w:afterAutospacing="1" w:line="360" w:lineRule="auto"/>
        <w:ind w:left="284"/>
        <w:jc w:val="both"/>
        <w:rPr>
          <w:rFonts w:ascii="Arial" w:hAnsi="Arial" w:cs="Arial"/>
          <w:color w:val="000000" w:themeColor="text1"/>
        </w:rPr>
      </w:pPr>
      <w:r w:rsidRPr="00C423AA">
        <w:rPr>
          <w:rFonts w:ascii="Arial" w:eastAsia="Times New Roman" w:hAnsi="Arial" w:cs="Arial"/>
          <w:color w:val="000000" w:themeColor="text1"/>
          <w:kern w:val="0"/>
          <w:lang w:eastAsia="en-GB"/>
          <w14:ligatures w14:val="none"/>
        </w:rPr>
        <w:t>Performance management at GSK emphasises continuous feedback, employee development, and accountability rather than solely relying on annual performance reviews. Employee performance is aligned with organisational objectives through clear expectations, leadership feedback, recognition programmes, and reward systems that reinforce the company's culture of being ambitious for patients, accountable for impact, and acting with integrity. Across its global operations, employee relations are supported through diversity, equity and inclusion initiatives, ethical leadership, employee engagement surveys, fair pay practices, and comprehensive compliance with local employment legislation, enabling GSK to maintain a positive and inclusive workplace culture while operating across different national contexts (Storey and Wright, 20</w:t>
      </w:r>
      <w:r w:rsidR="00B4605F" w:rsidRPr="00C423AA">
        <w:rPr>
          <w:rFonts w:ascii="Arial" w:eastAsia="Times New Roman" w:hAnsi="Arial" w:cs="Arial"/>
          <w:color w:val="000000" w:themeColor="text1"/>
          <w:kern w:val="0"/>
          <w:lang w:eastAsia="en-GB"/>
          <w14:ligatures w14:val="none"/>
        </w:rPr>
        <w:t>19</w:t>
      </w:r>
      <w:r w:rsidRPr="00C423AA">
        <w:rPr>
          <w:rFonts w:ascii="Arial" w:eastAsia="Times New Roman" w:hAnsi="Arial" w:cs="Arial"/>
          <w:color w:val="000000" w:themeColor="text1"/>
          <w:kern w:val="0"/>
          <w:lang w:eastAsia="en-GB"/>
          <w14:ligatures w14:val="none"/>
        </w:rPr>
        <w:t xml:space="preserve">; </w:t>
      </w:r>
      <w:r w:rsidR="00DC0909" w:rsidRPr="00C423AA">
        <w:rPr>
          <w:rFonts w:ascii="Arial" w:hAnsi="Arial" w:cs="Arial"/>
          <w:color w:val="000000" w:themeColor="text1"/>
        </w:rPr>
        <w:t>Edgar, 2021</w:t>
      </w:r>
      <w:r w:rsidRPr="00C423AA">
        <w:rPr>
          <w:rFonts w:ascii="Arial" w:eastAsia="Times New Roman" w:hAnsi="Arial" w:cs="Arial"/>
          <w:color w:val="000000" w:themeColor="text1"/>
          <w:kern w:val="0"/>
          <w:lang w:eastAsia="en-GB"/>
          <w14:ligatures w14:val="none"/>
        </w:rPr>
        <w:t>).</w:t>
      </w:r>
    </w:p>
    <w:p w14:paraId="5C54A729" w14:textId="78B7CBD8" w:rsidR="002831BA" w:rsidRPr="00C423AA" w:rsidRDefault="002831BA" w:rsidP="0006155E">
      <w:pPr>
        <w:pStyle w:val="Heading1"/>
        <w:rPr>
          <w:rFonts w:ascii="Arial" w:hAnsi="Arial" w:cs="Arial"/>
          <w:b/>
          <w:bCs/>
          <w:color w:val="000000" w:themeColor="text1"/>
          <w:sz w:val="24"/>
          <w:szCs w:val="24"/>
          <w:lang w:eastAsia="en-GB"/>
        </w:rPr>
      </w:pPr>
      <w:bookmarkStart w:id="4" w:name="_Toc237898067"/>
      <w:r w:rsidRPr="00C423AA">
        <w:rPr>
          <w:rFonts w:ascii="Arial" w:hAnsi="Arial" w:cs="Arial"/>
          <w:b/>
          <w:bCs/>
          <w:color w:val="000000" w:themeColor="text1"/>
          <w:sz w:val="24"/>
          <w:szCs w:val="24"/>
          <w:lang w:eastAsia="en-GB"/>
        </w:rPr>
        <w:lastRenderedPageBreak/>
        <w:t>4</w:t>
      </w:r>
      <w:r w:rsidR="005C29E9" w:rsidRPr="00C423AA">
        <w:rPr>
          <w:rFonts w:ascii="Arial" w:hAnsi="Arial" w:cs="Arial"/>
          <w:b/>
          <w:bCs/>
          <w:color w:val="000000" w:themeColor="text1"/>
          <w:sz w:val="24"/>
          <w:szCs w:val="24"/>
          <w:lang w:eastAsia="en-GB"/>
        </w:rPr>
        <w:t>.</w:t>
      </w:r>
      <w:r w:rsidRPr="00C423AA">
        <w:rPr>
          <w:rFonts w:ascii="Arial" w:hAnsi="Arial" w:cs="Arial"/>
          <w:b/>
          <w:bCs/>
          <w:color w:val="000000" w:themeColor="text1"/>
          <w:sz w:val="24"/>
          <w:szCs w:val="24"/>
          <w:lang w:eastAsia="en-GB"/>
        </w:rPr>
        <w:t xml:space="preserve"> Application of the Business Environment Model: GSK</w:t>
      </w:r>
      <w:bookmarkEnd w:id="4"/>
    </w:p>
    <w:p w14:paraId="369DBBA4" w14:textId="0A9DE65E" w:rsidR="002831BA" w:rsidRPr="00C423AA" w:rsidRDefault="002831BA" w:rsidP="00674B48">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The SWOT framework provides a valuable lens through which to evaluate how GSK's internal strengths and weaknesses, together with external opportunities and threats, influence its Human Resource Management (HRM) practices. As one of the world's leading biopharmaceutical companies, operating with approximately 68,600 employees across 75 countries, GSK faces a complex business environment that requires HR policies to balance global consistency with local responsiveness. Consequently, HR managers play a strategic role in ensuring that workforce capabilities align with organisational objectives while adapting to changing environmental conditions</w:t>
      </w:r>
      <w:r w:rsidR="00057D4C" w:rsidRPr="00C423AA">
        <w:rPr>
          <w:rFonts w:ascii="Arial" w:eastAsia="Times New Roman" w:hAnsi="Arial" w:cs="Arial"/>
          <w:color w:val="000000" w:themeColor="text1"/>
          <w:kern w:val="0"/>
          <w:lang w:eastAsia="en-GB"/>
          <w14:ligatures w14:val="none"/>
        </w:rPr>
        <w:t xml:space="preserve"> (Chung, C. </w:t>
      </w:r>
      <w:r w:rsidR="00983EEA" w:rsidRPr="00C423AA">
        <w:rPr>
          <w:rFonts w:ascii="Arial" w:eastAsia="Times New Roman" w:hAnsi="Arial" w:cs="Arial"/>
          <w:color w:val="000000" w:themeColor="text1"/>
          <w:kern w:val="0"/>
          <w:lang w:eastAsia="en-GB"/>
          <w14:ligatures w14:val="none"/>
        </w:rPr>
        <w:t>and</w:t>
      </w:r>
      <w:r w:rsidR="00057D4C" w:rsidRPr="00C423AA">
        <w:rPr>
          <w:rFonts w:ascii="Arial" w:eastAsia="Times New Roman" w:hAnsi="Arial" w:cs="Arial"/>
          <w:color w:val="000000" w:themeColor="text1"/>
          <w:kern w:val="0"/>
          <w:lang w:eastAsia="en-GB"/>
          <w14:ligatures w14:val="none"/>
        </w:rPr>
        <w:t xml:space="preserve"> Sparrow, P. 2024)</w:t>
      </w:r>
      <w:r w:rsidRPr="00C423AA">
        <w:rPr>
          <w:rFonts w:ascii="Arial" w:eastAsia="Times New Roman" w:hAnsi="Arial" w:cs="Arial"/>
          <w:color w:val="000000" w:themeColor="text1"/>
          <w:kern w:val="0"/>
          <w:lang w:eastAsia="en-GB"/>
          <w14:ligatures w14:val="none"/>
        </w:rPr>
        <w:t>.</w:t>
      </w:r>
    </w:p>
    <w:p w14:paraId="32F3026F" w14:textId="344A1F06" w:rsidR="004A05A5" w:rsidRPr="00C423AA" w:rsidRDefault="004A05A5"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4A05A5">
        <w:rPr>
          <w:rFonts w:ascii="Arial" w:eastAsia="Times New Roman" w:hAnsi="Arial" w:cs="Arial"/>
          <w:color w:val="000000" w:themeColor="text1"/>
          <w:kern w:val="0"/>
          <w:lang w:eastAsia="en-GB"/>
          <w14:ligatures w14:val="none"/>
        </w:rPr>
        <w:t xml:space="preserve">GSK’s internal strengths include its strong </w:t>
      </w:r>
      <w:r w:rsidR="00F40E8E">
        <w:rPr>
          <w:rFonts w:ascii="Arial" w:eastAsia="Times New Roman" w:hAnsi="Arial" w:cs="Arial"/>
          <w:color w:val="000000" w:themeColor="text1"/>
          <w:kern w:val="0"/>
          <w:lang w:eastAsia="en-GB"/>
          <w14:ligatures w14:val="none"/>
        </w:rPr>
        <w:t>research and devel</w:t>
      </w:r>
      <w:r w:rsidR="00C6481E">
        <w:rPr>
          <w:rFonts w:ascii="Arial" w:eastAsia="Times New Roman" w:hAnsi="Arial" w:cs="Arial"/>
          <w:color w:val="000000" w:themeColor="text1"/>
          <w:kern w:val="0"/>
          <w:lang w:eastAsia="en-GB"/>
          <w14:ligatures w14:val="none"/>
        </w:rPr>
        <w:t>opment</w:t>
      </w:r>
      <w:r w:rsidRPr="004A05A5">
        <w:rPr>
          <w:rFonts w:ascii="Arial" w:eastAsia="Times New Roman" w:hAnsi="Arial" w:cs="Arial"/>
          <w:color w:val="000000" w:themeColor="text1"/>
          <w:kern w:val="0"/>
          <w:lang w:eastAsia="en-GB"/>
          <w14:ligatures w14:val="none"/>
        </w:rPr>
        <w:t xml:space="preserve"> capability, recognised employer brand, diverse workforce, and a culture centred on being “ambitious for patients, accountable for impact, and doing the right thing”. These attributes enhance its ability to attract scarce scientific and technical talent, reflecting evidence that global organisations depend on employer branding and strategic talent management to secure specialised skills</w:t>
      </w:r>
      <w:bookmarkStart w:id="5" w:name="_Hlk236704867"/>
      <w:r w:rsidRPr="004A05A5">
        <w:rPr>
          <w:rFonts w:ascii="Arial" w:eastAsia="Times New Roman" w:hAnsi="Arial" w:cs="Arial"/>
          <w:color w:val="000000" w:themeColor="text1"/>
          <w:kern w:val="0"/>
          <w:lang w:eastAsia="en-GB"/>
          <w14:ligatures w14:val="none"/>
        </w:rPr>
        <w:t xml:space="preserve">. </w:t>
      </w:r>
      <w:bookmarkEnd w:id="5"/>
      <w:r w:rsidRPr="004A05A5">
        <w:rPr>
          <w:rFonts w:ascii="Arial" w:eastAsia="Times New Roman" w:hAnsi="Arial" w:cs="Arial"/>
          <w:color w:val="000000" w:themeColor="text1"/>
          <w:kern w:val="0"/>
          <w:lang w:eastAsia="en-GB"/>
          <w14:ligatures w14:val="none"/>
        </w:rPr>
        <w:t xml:space="preserve">Moreover, GSK embeds its culture across recruitment, onboarding, learning and development, and performance management, aligning with research showing that organisational culture must be reinforced throughout HR systems to support innovation and sustained performance </w:t>
      </w:r>
      <w:r w:rsidR="00E43247" w:rsidRPr="00C423AA">
        <w:rPr>
          <w:rFonts w:ascii="Arial" w:eastAsia="Times New Roman" w:hAnsi="Arial" w:cs="Arial"/>
          <w:color w:val="000000" w:themeColor="text1"/>
          <w:kern w:val="0"/>
          <w:lang w:eastAsia="en-GB"/>
          <w14:ligatures w14:val="none"/>
        </w:rPr>
        <w:t>(Collings, Scullion and Vaiman, 2015</w:t>
      </w:r>
      <w:r w:rsidR="00E43247" w:rsidRPr="004A05A5">
        <w:rPr>
          <w:rFonts w:ascii="Arial" w:eastAsia="Times New Roman" w:hAnsi="Arial" w:cs="Arial"/>
          <w:color w:val="000000" w:themeColor="text1"/>
          <w:kern w:val="0"/>
          <w:lang w:eastAsia="en-GB"/>
          <w14:ligatures w14:val="none"/>
        </w:rPr>
        <w:t>).</w:t>
      </w:r>
    </w:p>
    <w:p w14:paraId="60EF795A" w14:textId="6066D1F1" w:rsidR="002831BA" w:rsidRPr="00C423AA" w:rsidRDefault="002831BA"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However, SWOT also highlights internal weaknesses that influence HR effectiveness. Like many multinational pharmaceutical organisations, GSK must continually address skills shortages in digital technologies, artificial intelligence, biotechnology, and advanced manufacturing. HR managers are therefore required to invest significantly in workforce planning, continuous learning, leadership development, and succession planning to maintain organisational capability. Furthermore, managing a geographically dispersed workforce creates challenges relating to communication, employee engagement, and maintaining a consistent organisational culture across different regions (Storey and Wright, 20</w:t>
      </w:r>
      <w:r w:rsidR="00BC57DD" w:rsidRPr="00C423AA">
        <w:rPr>
          <w:rFonts w:ascii="Arial" w:eastAsia="Times New Roman" w:hAnsi="Arial" w:cs="Arial"/>
          <w:color w:val="000000" w:themeColor="text1"/>
          <w:kern w:val="0"/>
          <w:lang w:eastAsia="en-GB"/>
          <w14:ligatures w14:val="none"/>
        </w:rPr>
        <w:t>19</w:t>
      </w:r>
      <w:r w:rsidRPr="00C423AA">
        <w:rPr>
          <w:rFonts w:ascii="Arial" w:eastAsia="Times New Roman" w:hAnsi="Arial" w:cs="Arial"/>
          <w:color w:val="000000" w:themeColor="text1"/>
          <w:kern w:val="0"/>
          <w:lang w:eastAsia="en-GB"/>
          <w14:ligatures w14:val="none"/>
        </w:rPr>
        <w:t>).</w:t>
      </w:r>
    </w:p>
    <w:p w14:paraId="5E0F4CBB" w14:textId="77777777" w:rsidR="002831BA" w:rsidRPr="00C423AA" w:rsidRDefault="002831BA"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 xml:space="preserve">The external environment presents significant opportunities for HR. Advances in biotechnology, artificial intelligence, and digital health have created demand for new </w:t>
      </w:r>
      <w:r w:rsidRPr="00C423AA">
        <w:rPr>
          <w:rFonts w:ascii="Arial" w:eastAsia="Times New Roman" w:hAnsi="Arial" w:cs="Arial"/>
          <w:color w:val="000000" w:themeColor="text1"/>
          <w:kern w:val="0"/>
          <w:lang w:eastAsia="en-GB"/>
          <w14:ligatures w14:val="none"/>
        </w:rPr>
        <w:lastRenderedPageBreak/>
        <w:t>technical competencies while enabling innovative approaches to recruitment, learning, and performance management. GSK has responded by expanding digital learning programmes, leadership development initiatives, and capability-building activities that prepare employees for technological change. HR professionals must therefore anticipate future skills requirements and ensure that employees possess the competencies needed to support scientific innovation and organisational competitiveness (Cooke, Dickmann and Parry, 2023).</w:t>
      </w:r>
    </w:p>
    <w:p w14:paraId="5FCBC6DB" w14:textId="4616E946" w:rsidR="00325631" w:rsidRPr="006B681A" w:rsidRDefault="00A92168"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6B681A">
        <w:rPr>
          <w:rFonts w:ascii="Arial" w:eastAsia="Times New Roman" w:hAnsi="Arial" w:cs="Arial"/>
          <w:color w:val="000000" w:themeColor="text1"/>
          <w:kern w:val="0"/>
          <w:lang w:eastAsia="en-GB"/>
          <w14:ligatures w14:val="none"/>
        </w:rPr>
        <w:t>Conversely, e</w:t>
      </w:r>
      <w:r w:rsidR="00325631" w:rsidRPr="006B681A">
        <w:rPr>
          <w:rFonts w:ascii="Arial" w:eastAsia="Times New Roman" w:hAnsi="Arial" w:cs="Arial"/>
          <w:color w:val="000000" w:themeColor="text1"/>
          <w:kern w:val="0"/>
          <w:lang w:eastAsia="en-GB"/>
          <w14:ligatures w14:val="none"/>
        </w:rPr>
        <w:t>xternal threats place significant pressure on HR decision</w:t>
      </w:r>
      <w:r w:rsidR="00A26625" w:rsidRPr="006B681A">
        <w:rPr>
          <w:rFonts w:ascii="Arial" w:eastAsia="Times New Roman" w:hAnsi="Arial" w:cs="Arial"/>
          <w:color w:val="000000" w:themeColor="text1"/>
          <w:kern w:val="0"/>
          <w:lang w:eastAsia="en-GB"/>
          <w14:ligatures w14:val="none"/>
        </w:rPr>
        <w:t xml:space="preserve"> </w:t>
      </w:r>
      <w:r w:rsidR="00325631" w:rsidRPr="006B681A">
        <w:rPr>
          <w:rFonts w:ascii="Arial" w:eastAsia="Times New Roman" w:hAnsi="Arial" w:cs="Arial"/>
          <w:color w:val="000000" w:themeColor="text1"/>
          <w:kern w:val="0"/>
          <w:lang w:eastAsia="en-GB"/>
          <w14:ligatures w14:val="none"/>
        </w:rPr>
        <w:t xml:space="preserve">making. Global competition for specialist talent, shifting employment laws, inflation, geopolitical instability, and rapidly changing healthcare regulations all shape workforce planning. </w:t>
      </w:r>
      <w:r w:rsidR="0088210C" w:rsidRPr="006B681A">
        <w:rPr>
          <w:rFonts w:ascii="Arial" w:eastAsia="Times New Roman" w:hAnsi="Arial" w:cs="Arial"/>
          <w:color w:val="000000" w:themeColor="text1"/>
          <w:kern w:val="0"/>
          <w:lang w:eastAsia="en-GB"/>
          <w14:ligatures w14:val="none"/>
        </w:rPr>
        <w:t>For example, p</w:t>
      </w:r>
      <w:r w:rsidR="00325631" w:rsidRPr="006B681A">
        <w:rPr>
          <w:rFonts w:ascii="Arial" w:eastAsia="Times New Roman" w:hAnsi="Arial" w:cs="Arial"/>
          <w:color w:val="000000" w:themeColor="text1"/>
          <w:kern w:val="0"/>
          <w:lang w:eastAsia="en-GB"/>
          <w14:ligatures w14:val="none"/>
        </w:rPr>
        <w:t xml:space="preserve">harmaceutical firms compete internationally for </w:t>
      </w:r>
      <w:r w:rsidR="00B35CA8" w:rsidRPr="006B681A">
        <w:rPr>
          <w:rFonts w:ascii="Arial" w:eastAsia="Times New Roman" w:hAnsi="Arial" w:cs="Arial"/>
          <w:color w:val="000000" w:themeColor="text1"/>
          <w:kern w:val="0"/>
          <w:lang w:eastAsia="en-GB"/>
          <w14:ligatures w14:val="none"/>
        </w:rPr>
        <w:t xml:space="preserve">experienced </w:t>
      </w:r>
      <w:r w:rsidR="00325631" w:rsidRPr="006B681A">
        <w:rPr>
          <w:rFonts w:ascii="Arial" w:eastAsia="Times New Roman" w:hAnsi="Arial" w:cs="Arial"/>
          <w:color w:val="000000" w:themeColor="text1"/>
          <w:kern w:val="0"/>
          <w:lang w:eastAsia="en-GB"/>
          <w14:ligatures w14:val="none"/>
        </w:rPr>
        <w:t>scientists, regulatory experts, and data professionals, requiring strong employer branding, competitive rewards, and flexible work options. At the same time, evolving requirements on employee rights, equality, data protection, and safety demand strict compliance while sustaining performance (Snell et al., 2023).</w:t>
      </w:r>
    </w:p>
    <w:p w14:paraId="67389EB0" w14:textId="03CA8745" w:rsidR="002831BA" w:rsidRPr="00C423AA" w:rsidRDefault="002831BA"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 xml:space="preserve">The effectiveness of HR managers is significantly influenced by these interacting internal and external factors. Internally, HR leaders must align recruitment, talent management, performance management, and employee development with GSK's strategic priorities while fostering an organisational culture that encourages innovation, collaboration, and ethical behaviour. Externally, they must monitor labour market trends, technological developments, regulatory changes, and demographic shifts to ensure HR policies remain responsive and competitive. This strategic role extends beyond administrative responsibilities, positioning HR as a key contributor to organisational resilience and </w:t>
      </w:r>
      <w:proofErr w:type="gramStart"/>
      <w:r w:rsidRPr="00C423AA">
        <w:rPr>
          <w:rFonts w:ascii="Arial" w:eastAsia="Times New Roman" w:hAnsi="Arial" w:cs="Arial"/>
          <w:color w:val="000000" w:themeColor="text1"/>
          <w:kern w:val="0"/>
          <w:lang w:eastAsia="en-GB"/>
          <w14:ligatures w14:val="none"/>
        </w:rPr>
        <w:t>long</w:t>
      </w:r>
      <w:r w:rsidR="00453ABE">
        <w:rPr>
          <w:rFonts w:ascii="Arial" w:eastAsia="Times New Roman" w:hAnsi="Arial" w:cs="Arial"/>
          <w:color w:val="000000" w:themeColor="text1"/>
          <w:kern w:val="0"/>
          <w:lang w:eastAsia="en-GB"/>
          <w14:ligatures w14:val="none"/>
        </w:rPr>
        <w:t xml:space="preserve"> </w:t>
      </w:r>
      <w:r w:rsidRPr="00C423AA">
        <w:rPr>
          <w:rFonts w:ascii="Arial" w:eastAsia="Times New Roman" w:hAnsi="Arial" w:cs="Arial"/>
          <w:color w:val="000000" w:themeColor="text1"/>
          <w:kern w:val="0"/>
          <w:lang w:eastAsia="en-GB"/>
          <w14:ligatures w14:val="none"/>
        </w:rPr>
        <w:t>term</w:t>
      </w:r>
      <w:proofErr w:type="gramEnd"/>
      <w:r w:rsidRPr="00C423AA">
        <w:rPr>
          <w:rFonts w:ascii="Arial" w:eastAsia="Times New Roman" w:hAnsi="Arial" w:cs="Arial"/>
          <w:color w:val="000000" w:themeColor="text1"/>
          <w:kern w:val="0"/>
          <w:lang w:eastAsia="en-GB"/>
          <w14:ligatures w14:val="none"/>
        </w:rPr>
        <w:t xml:space="preserve"> competitive advantage (Storey and Wright, 20</w:t>
      </w:r>
      <w:r w:rsidR="00D24ACD" w:rsidRPr="00C423AA">
        <w:rPr>
          <w:rFonts w:ascii="Arial" w:eastAsia="Times New Roman" w:hAnsi="Arial" w:cs="Arial"/>
          <w:color w:val="000000" w:themeColor="text1"/>
          <w:kern w:val="0"/>
          <w:lang w:eastAsia="en-GB"/>
          <w14:ligatures w14:val="none"/>
        </w:rPr>
        <w:t>19</w:t>
      </w:r>
      <w:r w:rsidRPr="00C423AA">
        <w:rPr>
          <w:rFonts w:ascii="Arial" w:eastAsia="Times New Roman" w:hAnsi="Arial" w:cs="Arial"/>
          <w:color w:val="000000" w:themeColor="text1"/>
          <w:kern w:val="0"/>
          <w:lang w:eastAsia="en-GB"/>
          <w14:ligatures w14:val="none"/>
        </w:rPr>
        <w:t>).</w:t>
      </w:r>
    </w:p>
    <w:p w14:paraId="32455F1A" w14:textId="64326255" w:rsidR="00DB434A" w:rsidRPr="009F0F71" w:rsidRDefault="002C4AED" w:rsidP="009F0F71">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387F89">
        <w:rPr>
          <w:rFonts w:ascii="Arial" w:eastAsia="Times New Roman" w:hAnsi="Arial" w:cs="Arial"/>
          <w:color w:val="000000" w:themeColor="text1"/>
          <w:kern w:val="0"/>
          <w:lang w:eastAsia="en-GB"/>
          <w14:ligatures w14:val="none"/>
        </w:rPr>
        <w:t xml:space="preserve">Environmental forces </w:t>
      </w:r>
      <w:r w:rsidR="00BA0CA9" w:rsidRPr="00387F89">
        <w:rPr>
          <w:rFonts w:ascii="Arial" w:eastAsia="Times New Roman" w:hAnsi="Arial" w:cs="Arial"/>
          <w:color w:val="000000" w:themeColor="text1"/>
          <w:kern w:val="0"/>
          <w:lang w:eastAsia="en-GB"/>
          <w14:ligatures w14:val="none"/>
        </w:rPr>
        <w:t xml:space="preserve">impact </w:t>
      </w:r>
      <w:proofErr w:type="gramStart"/>
      <w:r w:rsidRPr="00387F89">
        <w:rPr>
          <w:rFonts w:ascii="Arial" w:eastAsia="Times New Roman" w:hAnsi="Arial" w:cs="Arial"/>
          <w:color w:val="000000" w:themeColor="text1"/>
          <w:kern w:val="0"/>
          <w:lang w:eastAsia="en-GB"/>
          <w14:ligatures w14:val="none"/>
        </w:rPr>
        <w:t>vary</w:t>
      </w:r>
      <w:proofErr w:type="gramEnd"/>
      <w:r w:rsidRPr="00387F89">
        <w:rPr>
          <w:rFonts w:ascii="Arial" w:eastAsia="Times New Roman" w:hAnsi="Arial" w:cs="Arial"/>
          <w:color w:val="000000" w:themeColor="text1"/>
          <w:kern w:val="0"/>
          <w:lang w:eastAsia="en-GB"/>
          <w14:ligatures w14:val="none"/>
        </w:rPr>
        <w:t xml:space="preserve"> significantly across countries due to differences in national culture, legal frameworks, and economic conditions. Cultural norms shape employee expectations, leadership preferences, communication styles, and motivation. In collectivist </w:t>
      </w:r>
      <w:r w:rsidR="00311A87" w:rsidRPr="00387F89">
        <w:rPr>
          <w:rFonts w:ascii="Arial" w:eastAsia="Times New Roman" w:hAnsi="Arial" w:cs="Arial"/>
          <w:color w:val="000000" w:themeColor="text1"/>
          <w:kern w:val="0"/>
          <w:lang w:eastAsia="en-GB"/>
          <w14:ligatures w14:val="none"/>
        </w:rPr>
        <w:t>culture</w:t>
      </w:r>
      <w:r w:rsidRPr="00387F89">
        <w:rPr>
          <w:rFonts w:ascii="Arial" w:eastAsia="Times New Roman" w:hAnsi="Arial" w:cs="Arial"/>
          <w:color w:val="000000" w:themeColor="text1"/>
          <w:kern w:val="0"/>
          <w:lang w:eastAsia="en-GB"/>
          <w14:ligatures w14:val="none"/>
        </w:rPr>
        <w:t xml:space="preserve"> such as India, China, Pakistan, and Bangladesh, employees value harmony, loyalty, relationships, and hierarchy, requiring managers to adjust leadership, communication, and reward systems accordingly. In contrast, countries like the UK, US, Germany, Australia, Canada, and the </w:t>
      </w:r>
      <w:r w:rsidRPr="00387F89">
        <w:rPr>
          <w:rFonts w:ascii="Arial" w:eastAsia="Times New Roman" w:hAnsi="Arial" w:cs="Arial"/>
          <w:color w:val="000000" w:themeColor="text1"/>
          <w:kern w:val="0"/>
          <w:lang w:eastAsia="en-GB"/>
          <w14:ligatures w14:val="none"/>
        </w:rPr>
        <w:lastRenderedPageBreak/>
        <w:t>Netherlands are more individualistic, where employees more readily express personal views, challenge decisions, and assume individual responsibility (Komisarof &amp; Akaliyski, 2025). As a result, GSK must tailor leadership development, performance management, and engagement practices to local cultures (Cooke, Dickmann &amp; Parry, 2023).</w:t>
      </w:r>
    </w:p>
    <w:p w14:paraId="24D0F200" w14:textId="1ADC47D7" w:rsidR="00AD0A6F" w:rsidRPr="009F0F71" w:rsidRDefault="00AD0A6F"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9F0F71">
        <w:rPr>
          <w:rFonts w:ascii="Arial" w:eastAsia="Times New Roman" w:hAnsi="Arial" w:cs="Arial"/>
          <w:color w:val="000000" w:themeColor="text1"/>
          <w:kern w:val="0"/>
          <w:lang w:eastAsia="en-GB"/>
          <w14:ligatures w14:val="none"/>
        </w:rPr>
        <w:t xml:space="preserve">Legal requirements </w:t>
      </w:r>
      <w:r w:rsidR="000C78C6" w:rsidRPr="009F0F71">
        <w:rPr>
          <w:rFonts w:ascii="Arial" w:eastAsia="Times New Roman" w:hAnsi="Arial" w:cs="Arial"/>
          <w:color w:val="000000" w:themeColor="text1"/>
          <w:kern w:val="0"/>
          <w:lang w:eastAsia="en-GB"/>
          <w14:ligatures w14:val="none"/>
        </w:rPr>
        <w:t xml:space="preserve">also </w:t>
      </w:r>
      <w:r w:rsidRPr="009F0F71">
        <w:rPr>
          <w:rFonts w:ascii="Arial" w:eastAsia="Times New Roman" w:hAnsi="Arial" w:cs="Arial"/>
          <w:color w:val="000000" w:themeColor="text1"/>
          <w:kern w:val="0"/>
          <w:lang w:eastAsia="en-GB"/>
          <w14:ligatures w14:val="none"/>
        </w:rPr>
        <w:t>differ widely across countries, shaping HR practices. In Europe, strict rules on employment protection, equality, and employee consultation apply, while other regions offer greater flexibility. HR managers must adjust recruitment, performance management, compensation</w:t>
      </w:r>
      <w:r w:rsidR="000379B3" w:rsidRPr="009F0F71">
        <w:rPr>
          <w:rFonts w:ascii="Arial" w:eastAsia="Times New Roman" w:hAnsi="Arial" w:cs="Arial"/>
          <w:color w:val="000000" w:themeColor="text1"/>
          <w:kern w:val="0"/>
          <w:lang w:eastAsia="en-GB"/>
          <w14:ligatures w14:val="none"/>
        </w:rPr>
        <w:t xml:space="preserve"> </w:t>
      </w:r>
      <w:r w:rsidR="00E54519" w:rsidRPr="009F0F71">
        <w:rPr>
          <w:rFonts w:ascii="Arial" w:eastAsia="Times New Roman" w:hAnsi="Arial" w:cs="Arial"/>
          <w:color w:val="000000" w:themeColor="text1"/>
          <w:kern w:val="0"/>
          <w:lang w:eastAsia="en-GB"/>
          <w14:ligatures w14:val="none"/>
        </w:rPr>
        <w:t>policies</w:t>
      </w:r>
      <w:r w:rsidRPr="009F0F71">
        <w:rPr>
          <w:rFonts w:ascii="Arial" w:eastAsia="Times New Roman" w:hAnsi="Arial" w:cs="Arial"/>
          <w:color w:val="000000" w:themeColor="text1"/>
          <w:kern w:val="0"/>
          <w:lang w:eastAsia="en-GB"/>
          <w14:ligatures w14:val="none"/>
        </w:rPr>
        <w:t xml:space="preserve">, and employee relations </w:t>
      </w:r>
      <w:r w:rsidR="00E54519" w:rsidRPr="009F0F71">
        <w:rPr>
          <w:rFonts w:ascii="Arial" w:eastAsia="Times New Roman" w:hAnsi="Arial" w:cs="Arial"/>
          <w:color w:val="000000" w:themeColor="text1"/>
          <w:kern w:val="0"/>
          <w:lang w:eastAsia="en-GB"/>
          <w14:ligatures w14:val="none"/>
        </w:rPr>
        <w:t xml:space="preserve">strategies </w:t>
      </w:r>
      <w:r w:rsidRPr="009F0F71">
        <w:rPr>
          <w:rFonts w:ascii="Arial" w:eastAsia="Times New Roman" w:hAnsi="Arial" w:cs="Arial"/>
          <w:color w:val="000000" w:themeColor="text1"/>
          <w:kern w:val="0"/>
          <w:lang w:eastAsia="en-GB"/>
          <w14:ligatures w14:val="none"/>
        </w:rPr>
        <w:t>to meet national laws while upholding GSK’s global ethical standards. Non</w:t>
      </w:r>
      <w:r w:rsidRPr="009F0F71">
        <w:rPr>
          <w:rFonts w:ascii="Cambria Math" w:eastAsia="Times New Roman" w:hAnsi="Cambria Math" w:cs="Cambria Math"/>
          <w:color w:val="000000" w:themeColor="text1"/>
          <w:kern w:val="0"/>
          <w:lang w:eastAsia="en-GB"/>
          <w14:ligatures w14:val="none"/>
        </w:rPr>
        <w:t>‑</w:t>
      </w:r>
      <w:r w:rsidRPr="009F0F71">
        <w:rPr>
          <w:rFonts w:ascii="Arial" w:eastAsia="Times New Roman" w:hAnsi="Arial" w:cs="Arial"/>
          <w:color w:val="000000" w:themeColor="text1"/>
          <w:kern w:val="0"/>
          <w:lang w:eastAsia="en-GB"/>
          <w14:ligatures w14:val="none"/>
        </w:rPr>
        <w:t>compliance risks legal sanctions, reputational harm, and reduced employee trust (Wilkinson, 2022).</w:t>
      </w:r>
    </w:p>
    <w:p w14:paraId="5C238549" w14:textId="58744225" w:rsidR="00F822FD" w:rsidRPr="009F0F71" w:rsidRDefault="00F822FD" w:rsidP="00133BDD">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9F0F71">
        <w:rPr>
          <w:rFonts w:ascii="Arial" w:eastAsia="Times New Roman" w:hAnsi="Arial" w:cs="Arial"/>
          <w:color w:val="000000" w:themeColor="text1"/>
          <w:kern w:val="0"/>
          <w:lang w:eastAsia="en-GB"/>
          <w14:ligatures w14:val="none"/>
        </w:rPr>
        <w:t xml:space="preserve">Economic conditions strongly influence HR effectiveness. In </w:t>
      </w:r>
      <w:r w:rsidR="00DE1701" w:rsidRPr="009F0F71">
        <w:rPr>
          <w:rFonts w:ascii="Arial" w:eastAsia="Times New Roman" w:hAnsi="Arial" w:cs="Arial"/>
          <w:color w:val="000000" w:themeColor="text1"/>
          <w:kern w:val="0"/>
          <w:lang w:eastAsia="en-GB"/>
          <w14:ligatures w14:val="none"/>
        </w:rPr>
        <w:t>developed</w:t>
      </w:r>
      <w:r w:rsidRPr="009F0F71">
        <w:rPr>
          <w:rFonts w:ascii="Arial" w:eastAsia="Times New Roman" w:hAnsi="Arial" w:cs="Arial"/>
          <w:color w:val="000000" w:themeColor="text1"/>
          <w:kern w:val="0"/>
          <w:lang w:eastAsia="en-GB"/>
          <w14:ligatures w14:val="none"/>
        </w:rPr>
        <w:t xml:space="preserve"> economies, labour shortages and ageing populations </w:t>
      </w:r>
      <w:r w:rsidR="00557FCD" w:rsidRPr="009F0F71">
        <w:rPr>
          <w:rFonts w:ascii="Arial" w:eastAsia="Times New Roman" w:hAnsi="Arial" w:cs="Arial"/>
          <w:color w:val="000000" w:themeColor="text1"/>
          <w:kern w:val="0"/>
          <w:lang w:eastAsia="en-GB"/>
          <w14:ligatures w14:val="none"/>
        </w:rPr>
        <w:t>increase</w:t>
      </w:r>
      <w:r w:rsidRPr="009F0F71">
        <w:rPr>
          <w:rFonts w:ascii="Arial" w:eastAsia="Times New Roman" w:hAnsi="Arial" w:cs="Arial"/>
          <w:color w:val="000000" w:themeColor="text1"/>
          <w:kern w:val="0"/>
          <w:lang w:eastAsia="en-GB"/>
          <w14:ligatures w14:val="none"/>
        </w:rPr>
        <w:t xml:space="preserve"> competition for skilled </w:t>
      </w:r>
      <w:r w:rsidR="00C40EC3" w:rsidRPr="009F0F71">
        <w:rPr>
          <w:rFonts w:ascii="Arial" w:eastAsia="Times New Roman" w:hAnsi="Arial" w:cs="Arial"/>
          <w:color w:val="000000" w:themeColor="text1"/>
          <w:kern w:val="0"/>
          <w:lang w:eastAsia="en-GB"/>
          <w14:ligatures w14:val="none"/>
        </w:rPr>
        <w:t>employees</w:t>
      </w:r>
      <w:r w:rsidRPr="009F0F71">
        <w:rPr>
          <w:rFonts w:ascii="Arial" w:eastAsia="Times New Roman" w:hAnsi="Arial" w:cs="Arial"/>
          <w:color w:val="000000" w:themeColor="text1"/>
          <w:kern w:val="0"/>
          <w:lang w:eastAsia="en-GB"/>
          <w14:ligatures w14:val="none"/>
        </w:rPr>
        <w:t xml:space="preserve">, </w:t>
      </w:r>
      <w:r w:rsidR="00472BB0" w:rsidRPr="009F0F71">
        <w:rPr>
          <w:rFonts w:ascii="Arial" w:eastAsia="Times New Roman" w:hAnsi="Arial" w:cs="Arial"/>
          <w:color w:val="000000" w:themeColor="text1"/>
          <w:kern w:val="0"/>
          <w:lang w:eastAsia="en-GB"/>
          <w14:ligatures w14:val="none"/>
        </w:rPr>
        <w:t>encouraging</w:t>
      </w:r>
      <w:r w:rsidRPr="009F0F71">
        <w:rPr>
          <w:rFonts w:ascii="Arial" w:eastAsia="Times New Roman" w:hAnsi="Arial" w:cs="Arial"/>
          <w:color w:val="000000" w:themeColor="text1"/>
          <w:kern w:val="0"/>
          <w:lang w:eastAsia="en-GB"/>
          <w14:ligatures w14:val="none"/>
        </w:rPr>
        <w:t xml:space="preserve"> GSK to offer attractive rewards, flexible work options, and leadership development. Emerging markets provide larger labour </w:t>
      </w:r>
      <w:r w:rsidR="00FC3E5F" w:rsidRPr="009F0F71">
        <w:rPr>
          <w:rFonts w:ascii="Arial" w:eastAsia="Times New Roman" w:hAnsi="Arial" w:cs="Arial"/>
          <w:color w:val="000000" w:themeColor="text1"/>
          <w:kern w:val="0"/>
          <w:lang w:eastAsia="en-GB"/>
          <w14:ligatures w14:val="none"/>
        </w:rPr>
        <w:t>force</w:t>
      </w:r>
      <w:r w:rsidRPr="009F0F71">
        <w:rPr>
          <w:rFonts w:ascii="Arial" w:eastAsia="Times New Roman" w:hAnsi="Arial" w:cs="Arial"/>
          <w:color w:val="000000" w:themeColor="text1"/>
          <w:kern w:val="0"/>
          <w:lang w:eastAsia="en-GB"/>
          <w14:ligatures w14:val="none"/>
        </w:rPr>
        <w:t xml:space="preserve"> but may face infrastructure, education, and capability challenges. HR managers must </w:t>
      </w:r>
      <w:r w:rsidR="0040781E" w:rsidRPr="009F0F71">
        <w:rPr>
          <w:rFonts w:ascii="Arial" w:eastAsia="Times New Roman" w:hAnsi="Arial" w:cs="Arial"/>
          <w:color w:val="000000" w:themeColor="text1"/>
          <w:kern w:val="0"/>
          <w:lang w:eastAsia="en-GB"/>
          <w14:ligatures w14:val="none"/>
        </w:rPr>
        <w:t>find</w:t>
      </w:r>
      <w:r w:rsidRPr="009F0F71">
        <w:rPr>
          <w:rFonts w:ascii="Arial" w:eastAsia="Times New Roman" w:hAnsi="Arial" w:cs="Arial"/>
          <w:color w:val="000000" w:themeColor="text1"/>
          <w:kern w:val="0"/>
          <w:lang w:eastAsia="en-GB"/>
          <w14:ligatures w14:val="none"/>
        </w:rPr>
        <w:t xml:space="preserve"> recruitment, training, and retention strategies to local economic </w:t>
      </w:r>
      <w:r w:rsidR="00796834" w:rsidRPr="009F0F71">
        <w:rPr>
          <w:rFonts w:ascii="Arial" w:eastAsia="Times New Roman" w:hAnsi="Arial" w:cs="Arial"/>
          <w:color w:val="000000" w:themeColor="text1"/>
          <w:kern w:val="0"/>
          <w:lang w:eastAsia="en-GB"/>
          <w14:ligatures w14:val="none"/>
        </w:rPr>
        <w:t>conditions</w:t>
      </w:r>
      <w:r w:rsidRPr="009F0F71">
        <w:rPr>
          <w:rFonts w:ascii="Arial" w:eastAsia="Times New Roman" w:hAnsi="Arial" w:cs="Arial"/>
          <w:color w:val="000000" w:themeColor="text1"/>
          <w:kern w:val="0"/>
          <w:lang w:eastAsia="en-GB"/>
          <w14:ligatures w14:val="none"/>
        </w:rPr>
        <w:t xml:space="preserve"> while securing talent </w:t>
      </w:r>
      <w:r w:rsidR="00D6695F" w:rsidRPr="009F0F71">
        <w:rPr>
          <w:rFonts w:ascii="Arial" w:eastAsia="Times New Roman" w:hAnsi="Arial" w:cs="Arial"/>
          <w:color w:val="000000" w:themeColor="text1"/>
          <w:kern w:val="0"/>
          <w:lang w:eastAsia="en-GB"/>
          <w14:ligatures w14:val="none"/>
        </w:rPr>
        <w:t xml:space="preserve">required to achieve its strategic objectives </w:t>
      </w:r>
      <w:r w:rsidRPr="009F0F71">
        <w:rPr>
          <w:rFonts w:ascii="Arial" w:eastAsia="Times New Roman" w:hAnsi="Arial" w:cs="Arial"/>
          <w:color w:val="000000" w:themeColor="text1"/>
          <w:kern w:val="0"/>
          <w:lang w:eastAsia="en-GB"/>
          <w14:ligatures w14:val="none"/>
        </w:rPr>
        <w:t>(Malik, 2018).</w:t>
      </w:r>
    </w:p>
    <w:p w14:paraId="2BB94890" w14:textId="785B48D5" w:rsidR="00737877" w:rsidRPr="00C423AA" w:rsidRDefault="002831BA" w:rsidP="00CC3F56">
      <w:pPr>
        <w:spacing w:before="100" w:beforeAutospacing="1" w:after="100" w:afterAutospacing="1" w:line="360" w:lineRule="auto"/>
        <w:ind w:left="284"/>
        <w:jc w:val="both"/>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Overall, the SWOT framework demonstrates that GSK's HR practices are shaped by the interaction of internal organisational capabilities and external environmental pressures. Although the company maintains globally consistent values and strategic objectives, HR managers must continually adapt recruitment, learning and development, performance management, and employee relations to accommodate national differences in culture, legislation, and economic conditions. This balance between global integration and local responsiveness enables GSK to develop a capable workforce, sustain innovation, and maintain its competitive position within the global biopharmaceutical industry.</w:t>
      </w:r>
    </w:p>
    <w:p w14:paraId="336D91B3" w14:textId="785B48D5" w:rsidR="00082CED" w:rsidRPr="00C423AA" w:rsidRDefault="00DA2D2E" w:rsidP="00687E29">
      <w:pPr>
        <w:pStyle w:val="Heading1"/>
        <w:rPr>
          <w:rFonts w:ascii="Arial" w:eastAsia="Times New Roman" w:hAnsi="Arial" w:cs="Arial"/>
          <w:b/>
          <w:bCs/>
          <w:color w:val="000000" w:themeColor="text1"/>
          <w:sz w:val="24"/>
          <w:szCs w:val="24"/>
          <w:lang w:eastAsia="en-GB"/>
        </w:rPr>
      </w:pPr>
      <w:bookmarkStart w:id="6" w:name="_Toc237898068"/>
      <w:r w:rsidRPr="00C423AA">
        <w:rPr>
          <w:rFonts w:ascii="Arial" w:eastAsia="Times New Roman" w:hAnsi="Arial" w:cs="Arial"/>
          <w:b/>
          <w:bCs/>
          <w:color w:val="000000" w:themeColor="text1"/>
          <w:sz w:val="24"/>
          <w:szCs w:val="24"/>
          <w:lang w:eastAsia="en-GB"/>
        </w:rPr>
        <w:lastRenderedPageBreak/>
        <w:t xml:space="preserve">5. </w:t>
      </w:r>
      <w:r w:rsidR="0074766B" w:rsidRPr="00C423AA">
        <w:rPr>
          <w:rFonts w:ascii="Arial" w:eastAsia="Times New Roman" w:hAnsi="Arial" w:cs="Arial"/>
          <w:b/>
          <w:bCs/>
          <w:color w:val="000000" w:themeColor="text1"/>
          <w:sz w:val="24"/>
          <w:szCs w:val="24"/>
          <w:lang w:eastAsia="en-GB"/>
        </w:rPr>
        <w:t>Summary</w:t>
      </w:r>
      <w:bookmarkEnd w:id="6"/>
    </w:p>
    <w:p w14:paraId="35E23E77" w14:textId="3A1957B1" w:rsidR="0074766B" w:rsidRPr="00C423AA" w:rsidRDefault="0074766B" w:rsidP="002E5078">
      <w:pPr>
        <w:pStyle w:val="NormalWeb"/>
        <w:spacing w:line="360" w:lineRule="auto"/>
        <w:ind w:left="284"/>
        <w:jc w:val="both"/>
        <w:rPr>
          <w:rFonts w:ascii="Arial" w:hAnsi="Arial" w:cs="Arial"/>
          <w:i/>
          <w:iCs/>
          <w:color w:val="000000" w:themeColor="text1"/>
        </w:rPr>
      </w:pPr>
      <w:r w:rsidRPr="00C423AA">
        <w:rPr>
          <w:rFonts w:ascii="Arial" w:hAnsi="Arial" w:cs="Arial"/>
          <w:color w:val="000000" w:themeColor="text1"/>
        </w:rPr>
        <w:t>The report emphasises that effective Human Resource Management (HRM) is increasingly shaped by both internal organisational dynamics and external environmental pressures. As HRM evolves into a strategic function, understanding these environmental factors becomes essential for aligning people practices with organisational goals. The document highlights that core HR activities</w:t>
      </w:r>
      <w:r w:rsidR="00B64AAA" w:rsidRPr="00C423AA">
        <w:rPr>
          <w:rFonts w:ascii="Arial" w:hAnsi="Arial" w:cs="Arial"/>
          <w:color w:val="000000" w:themeColor="text1"/>
        </w:rPr>
        <w:t xml:space="preserve"> </w:t>
      </w:r>
      <w:r w:rsidRPr="00C423AA">
        <w:rPr>
          <w:rFonts w:ascii="Arial" w:hAnsi="Arial" w:cs="Arial"/>
          <w:color w:val="000000" w:themeColor="text1"/>
        </w:rPr>
        <w:t>recruitment, training, performance management, and employee relations</w:t>
      </w:r>
      <w:r w:rsidR="00B64AAA" w:rsidRPr="00C423AA">
        <w:rPr>
          <w:rFonts w:ascii="Arial" w:hAnsi="Arial" w:cs="Arial"/>
          <w:color w:val="000000" w:themeColor="text1"/>
        </w:rPr>
        <w:t xml:space="preserve"> </w:t>
      </w:r>
      <w:r w:rsidRPr="00C423AA">
        <w:rPr>
          <w:rFonts w:ascii="Arial" w:hAnsi="Arial" w:cs="Arial"/>
          <w:color w:val="000000" w:themeColor="text1"/>
        </w:rPr>
        <w:t xml:space="preserve">must be responsive to technological change, globalisation, shifting workforce expectations, and regulatory developments. As stated in the report, </w:t>
      </w:r>
      <w:r w:rsidRPr="00C423AA">
        <w:rPr>
          <w:rStyle w:val="Emphasis"/>
          <w:rFonts w:ascii="Arial" w:eastAsiaTheme="majorEastAsia" w:hAnsi="Arial" w:cs="Arial"/>
          <w:i w:val="0"/>
          <w:iCs w:val="0"/>
          <w:color w:val="000000" w:themeColor="text1"/>
        </w:rPr>
        <w:t>organisations operate within dynamic environments characterised by economic conditions, labour market trends, technological innovation, changing legislation, demographic shifts, and competitive pressures.</w:t>
      </w:r>
    </w:p>
    <w:p w14:paraId="438335F8" w14:textId="14C18086" w:rsidR="0074766B" w:rsidRPr="00C423AA" w:rsidRDefault="0074766B" w:rsidP="002E5078">
      <w:pPr>
        <w:pStyle w:val="NormalWeb"/>
        <w:spacing w:line="360" w:lineRule="auto"/>
        <w:ind w:left="284"/>
        <w:jc w:val="both"/>
        <w:rPr>
          <w:rFonts w:ascii="Arial" w:hAnsi="Arial" w:cs="Arial"/>
          <w:i/>
          <w:iCs/>
          <w:color w:val="000000" w:themeColor="text1"/>
        </w:rPr>
      </w:pPr>
      <w:r w:rsidRPr="00C423AA">
        <w:rPr>
          <w:rFonts w:ascii="Arial" w:hAnsi="Arial" w:cs="Arial"/>
          <w:color w:val="000000" w:themeColor="text1"/>
        </w:rPr>
        <w:t>Using SWOT analysis, the report demonstrates how internal strengths such as culture, leadership, and workforce capability interact with external opportunities and threats to shape HR strategy. The GSK case study illustrates this interplay</w:t>
      </w:r>
      <w:r w:rsidR="001D7377">
        <w:rPr>
          <w:rFonts w:ascii="Arial" w:hAnsi="Arial" w:cs="Arial"/>
          <w:color w:val="000000" w:themeColor="text1"/>
        </w:rPr>
        <w:t>,</w:t>
      </w:r>
      <w:r w:rsidRPr="00C423AA">
        <w:rPr>
          <w:rFonts w:ascii="Arial" w:hAnsi="Arial" w:cs="Arial"/>
          <w:color w:val="000000" w:themeColor="text1"/>
        </w:rPr>
        <w:t xml:space="preserve"> the company leverages its global brand and strong </w:t>
      </w:r>
      <w:r w:rsidR="001D7377">
        <w:rPr>
          <w:rFonts w:ascii="Arial" w:hAnsi="Arial" w:cs="Arial"/>
          <w:color w:val="000000" w:themeColor="text1"/>
        </w:rPr>
        <w:t>research and development</w:t>
      </w:r>
      <w:r w:rsidRPr="00C423AA">
        <w:rPr>
          <w:rFonts w:ascii="Arial" w:hAnsi="Arial" w:cs="Arial"/>
          <w:color w:val="000000" w:themeColor="text1"/>
        </w:rPr>
        <w:t xml:space="preserve"> capability while addressing challenges such as digital skills shortages, global competition for talent, and varying national regulations. The report notes that </w:t>
      </w:r>
      <w:r w:rsidRPr="00C423AA">
        <w:rPr>
          <w:rStyle w:val="Emphasis"/>
          <w:rFonts w:ascii="Arial" w:eastAsiaTheme="majorEastAsia" w:hAnsi="Arial" w:cs="Arial"/>
          <w:i w:val="0"/>
          <w:iCs w:val="0"/>
          <w:color w:val="000000" w:themeColor="text1"/>
        </w:rPr>
        <w:t>HR managers must continually adapt recruitment, learning and development, performance management, and employee relations to accommodate national differences in culture, legislation, and economic conditions.</w:t>
      </w:r>
    </w:p>
    <w:p w14:paraId="65EB87E8" w14:textId="63FF3A58" w:rsidR="0046741B" w:rsidRPr="00C423AA" w:rsidRDefault="003F76CA" w:rsidP="00B7574E">
      <w:pPr>
        <w:pStyle w:val="NormalWeb"/>
        <w:spacing w:line="360" w:lineRule="auto"/>
        <w:ind w:left="284"/>
        <w:jc w:val="both"/>
        <w:rPr>
          <w:rFonts w:ascii="Arial" w:hAnsi="Arial" w:cs="Arial"/>
          <w:color w:val="000000" w:themeColor="text1"/>
        </w:rPr>
      </w:pPr>
      <w:r w:rsidRPr="00C423AA">
        <w:rPr>
          <w:rFonts w:ascii="Arial" w:hAnsi="Arial" w:cs="Arial"/>
          <w:color w:val="000000" w:themeColor="text1"/>
        </w:rPr>
        <w:t>Therefore</w:t>
      </w:r>
      <w:r w:rsidR="0074766B" w:rsidRPr="00C423AA">
        <w:rPr>
          <w:rFonts w:ascii="Arial" w:hAnsi="Arial" w:cs="Arial"/>
          <w:color w:val="000000" w:themeColor="text1"/>
        </w:rPr>
        <w:t>, HR managers in global organisations must adopt a future</w:t>
      </w:r>
      <w:r w:rsidR="00C9234A" w:rsidRPr="00C423AA">
        <w:rPr>
          <w:rFonts w:ascii="Arial" w:hAnsi="Arial" w:cs="Arial"/>
          <w:color w:val="000000" w:themeColor="text1"/>
        </w:rPr>
        <w:t xml:space="preserve"> </w:t>
      </w:r>
      <w:r w:rsidR="0074766B" w:rsidRPr="00C423AA">
        <w:rPr>
          <w:rFonts w:ascii="Arial" w:hAnsi="Arial" w:cs="Arial"/>
          <w:color w:val="000000" w:themeColor="text1"/>
        </w:rPr>
        <w:t>focused mindset. They will need to anticipate emerging skill requirements, navigate geopolitical and regulatory uncertainty, and balance global consistency with local responsiveness. Continuous environmental scanning, strategic workforce planning, and investment in digital capability will be critical</w:t>
      </w:r>
      <w:r w:rsidR="001A12B6">
        <w:rPr>
          <w:rFonts w:ascii="Arial" w:hAnsi="Arial" w:cs="Arial"/>
          <w:color w:val="000000" w:themeColor="text1"/>
        </w:rPr>
        <w:t xml:space="preserve"> (</w:t>
      </w:r>
      <w:r w:rsidR="00A03149" w:rsidRPr="00A03149">
        <w:rPr>
          <w:rFonts w:ascii="Arial" w:hAnsi="Arial" w:cs="Arial"/>
          <w:color w:val="000000" w:themeColor="text1"/>
        </w:rPr>
        <w:t>Storey and Wright, 2019</w:t>
      </w:r>
      <w:r w:rsidR="001A12B6">
        <w:rPr>
          <w:rFonts w:ascii="Arial" w:hAnsi="Arial" w:cs="Arial"/>
          <w:color w:val="000000" w:themeColor="text1"/>
        </w:rPr>
        <w:t>)</w:t>
      </w:r>
      <w:r w:rsidR="0074766B" w:rsidRPr="00C423AA">
        <w:rPr>
          <w:rFonts w:ascii="Arial" w:hAnsi="Arial" w:cs="Arial"/>
          <w:color w:val="000000" w:themeColor="text1"/>
        </w:rPr>
        <w:t>. Ultimately, the report underscores that HR’s ability to interpret and respond to environmental change will determine organisational resilience, innovation, and long</w:t>
      </w:r>
      <w:r w:rsidR="00A2480C">
        <w:rPr>
          <w:rFonts w:ascii="Arial" w:hAnsi="Arial" w:cs="Arial"/>
          <w:color w:val="000000" w:themeColor="text1"/>
        </w:rPr>
        <w:t xml:space="preserve"> </w:t>
      </w:r>
      <w:r w:rsidR="0074766B" w:rsidRPr="00C423AA">
        <w:rPr>
          <w:rFonts w:ascii="Arial" w:hAnsi="Arial" w:cs="Arial"/>
          <w:color w:val="000000" w:themeColor="text1"/>
        </w:rPr>
        <w:t>term competitiveness</w:t>
      </w:r>
      <w:r w:rsidR="003D4DF0">
        <w:rPr>
          <w:rFonts w:ascii="Arial" w:hAnsi="Arial" w:cs="Arial"/>
          <w:color w:val="000000" w:themeColor="text1"/>
        </w:rPr>
        <w:t>.</w:t>
      </w:r>
    </w:p>
    <w:p w14:paraId="72C7BEFB" w14:textId="77777777" w:rsidR="004B195D" w:rsidRPr="00C423AA" w:rsidRDefault="004B195D" w:rsidP="00FF29A8">
      <w:pPr>
        <w:pStyle w:val="NormalWeb"/>
        <w:spacing w:line="360" w:lineRule="auto"/>
        <w:jc w:val="both"/>
        <w:rPr>
          <w:rFonts w:ascii="Arial" w:hAnsi="Arial" w:cs="Arial"/>
          <w:color w:val="000000" w:themeColor="text1"/>
        </w:rPr>
      </w:pPr>
    </w:p>
    <w:p w14:paraId="50BEBABE" w14:textId="50B3242A" w:rsidR="00CE671B" w:rsidRPr="00A06184" w:rsidRDefault="005369F1" w:rsidP="00A06184">
      <w:pPr>
        <w:pStyle w:val="Heading1"/>
        <w:rPr>
          <w:rFonts w:ascii="Arial" w:eastAsia="Times New Roman" w:hAnsi="Arial" w:cs="Arial"/>
          <w:b/>
          <w:bCs/>
          <w:color w:val="000000" w:themeColor="text1"/>
          <w:kern w:val="0"/>
          <w:sz w:val="24"/>
          <w:szCs w:val="24"/>
          <w:lang w:eastAsia="en-GB"/>
          <w14:ligatures w14:val="none"/>
        </w:rPr>
      </w:pPr>
      <w:bookmarkStart w:id="7" w:name="_Toc237898069"/>
      <w:r>
        <w:rPr>
          <w:rFonts w:ascii="Arial" w:hAnsi="Arial" w:cs="Arial"/>
          <w:b/>
          <w:bCs/>
          <w:color w:val="000000" w:themeColor="text1"/>
          <w:sz w:val="24"/>
          <w:szCs w:val="24"/>
          <w:lang w:eastAsia="en-GB"/>
        </w:rPr>
        <w:lastRenderedPageBreak/>
        <w:t xml:space="preserve">6. </w:t>
      </w:r>
      <w:r w:rsidR="0046741B" w:rsidRPr="00C423AA">
        <w:rPr>
          <w:rFonts w:ascii="Arial" w:hAnsi="Arial" w:cs="Arial"/>
          <w:b/>
          <w:bCs/>
          <w:color w:val="000000" w:themeColor="text1"/>
          <w:sz w:val="24"/>
          <w:szCs w:val="24"/>
          <w:lang w:eastAsia="en-GB"/>
        </w:rPr>
        <w:t>References</w:t>
      </w:r>
      <w:bookmarkEnd w:id="7"/>
      <w:r w:rsidR="0046741B" w:rsidRPr="00C423AA">
        <w:rPr>
          <w:rFonts w:ascii="Arial" w:hAnsi="Arial" w:cs="Arial"/>
          <w:b/>
          <w:bCs/>
          <w:color w:val="000000" w:themeColor="text1"/>
          <w:sz w:val="24"/>
          <w:szCs w:val="24"/>
          <w:lang w:eastAsia="en-GB"/>
        </w:rPr>
        <w:t xml:space="preserve"> </w:t>
      </w:r>
      <w:r w:rsidR="00CE671B" w:rsidRPr="00C423AA">
        <w:rPr>
          <w:rFonts w:ascii="Arial" w:eastAsia="Times New Roman" w:hAnsi="Arial" w:cs="Arial"/>
          <w:color w:val="000000" w:themeColor="text1"/>
          <w:kern w:val="0"/>
          <w:lang w:eastAsia="en-GB"/>
          <w14:ligatures w14:val="none"/>
        </w:rPr>
        <w:t xml:space="preserve"> </w:t>
      </w:r>
    </w:p>
    <w:p w14:paraId="400EF366" w14:textId="7E39D685" w:rsidR="00CE671B" w:rsidRDefault="00CE671B" w:rsidP="005862CC">
      <w:pPr>
        <w:spacing w:before="100" w:beforeAutospacing="1" w:after="100" w:afterAutospacing="1" w:line="240" w:lineRule="auto"/>
        <w:ind w:left="284"/>
        <w:rPr>
          <w:rFonts w:ascii="Arial" w:eastAsia="Times New Roman" w:hAnsi="Arial" w:cs="Arial"/>
          <w:color w:val="000000" w:themeColor="text1"/>
          <w:kern w:val="0"/>
          <w:lang w:eastAsia="en-GB"/>
          <w14:ligatures w14:val="none"/>
        </w:rPr>
      </w:pPr>
      <w:r w:rsidRPr="008B3E98">
        <w:rPr>
          <w:rFonts w:ascii="Arial" w:eastAsia="Times New Roman" w:hAnsi="Arial" w:cs="Arial"/>
          <w:color w:val="000000" w:themeColor="text1"/>
          <w:kern w:val="0"/>
          <w:lang w:eastAsia="en-GB"/>
          <w14:ligatures w14:val="none"/>
        </w:rPr>
        <w:t xml:space="preserve">Asongwe, J.K. (2023). Strategic human resource planning in a turbulent business environment: A qualitative analysis, the case study of Tesco supermarket. [online] ResearchGate. Available at: </w:t>
      </w:r>
      <w:hyperlink r:id="rId9" w:history="1">
        <w:r w:rsidR="00A44E15" w:rsidRPr="00806964">
          <w:rPr>
            <w:rStyle w:val="Hyperlink"/>
            <w:rFonts w:ascii="Arial" w:eastAsia="Times New Roman" w:hAnsi="Arial" w:cs="Arial"/>
            <w:kern w:val="0"/>
            <w:lang w:eastAsia="en-GB"/>
            <w14:ligatures w14:val="none"/>
          </w:rPr>
          <w:t>https://www.researchgate.net/publication/369365635_Strategic_human_resource_planning_in_a_turbulent_business_environment_A_qualitative_analysis_the_case_study_of_Tesco_supermarket</w:t>
        </w:r>
      </w:hyperlink>
      <w:r w:rsidR="00A44E15">
        <w:rPr>
          <w:rFonts w:ascii="Arial" w:eastAsia="Times New Roman" w:hAnsi="Arial" w:cs="Arial"/>
          <w:color w:val="000000" w:themeColor="text1"/>
          <w:kern w:val="0"/>
          <w:lang w:eastAsia="en-GB"/>
          <w14:ligatures w14:val="none"/>
        </w:rPr>
        <w:t xml:space="preserve"> </w:t>
      </w:r>
      <w:r w:rsidRPr="008B3E98">
        <w:rPr>
          <w:rFonts w:ascii="Arial" w:eastAsia="Times New Roman" w:hAnsi="Arial" w:cs="Arial"/>
          <w:color w:val="000000" w:themeColor="text1"/>
          <w:kern w:val="0"/>
          <w:lang w:eastAsia="en-GB"/>
          <w14:ligatures w14:val="none"/>
        </w:rPr>
        <w:t>[Accessed 6 Aug. 2026].</w:t>
      </w:r>
      <w:r>
        <w:rPr>
          <w:rFonts w:ascii="Arial" w:eastAsia="Times New Roman" w:hAnsi="Arial" w:cs="Arial"/>
          <w:color w:val="000000" w:themeColor="text1"/>
          <w:kern w:val="0"/>
          <w:lang w:eastAsia="en-GB"/>
          <w14:ligatures w14:val="none"/>
        </w:rPr>
        <w:t xml:space="preserve"> </w:t>
      </w:r>
    </w:p>
    <w:p w14:paraId="189C6ADF" w14:textId="77777777" w:rsidR="00CE671B" w:rsidRPr="00C423AA" w:rsidRDefault="00CE671B" w:rsidP="005862CC">
      <w:pPr>
        <w:spacing w:before="100" w:beforeAutospacing="1" w:after="100" w:afterAutospacing="1" w:line="240" w:lineRule="auto"/>
        <w:ind w:left="284"/>
        <w:rPr>
          <w:rFonts w:ascii="Arial" w:hAnsi="Arial" w:cs="Arial"/>
          <w:color w:val="000000" w:themeColor="text1"/>
          <w:shd w:val="clear" w:color="auto" w:fill="FFFFFF"/>
        </w:rPr>
      </w:pPr>
      <w:r w:rsidRPr="00C423AA">
        <w:rPr>
          <w:rFonts w:ascii="Arial" w:hAnsi="Arial" w:cs="Arial"/>
          <w:color w:val="000000" w:themeColor="text1"/>
          <w:shd w:val="clear" w:color="auto" w:fill="FFFFFF"/>
        </w:rPr>
        <w:t>Chung, C. and Sparrow, P., (2024). Exploring the configuration of international HRM strategies for global integration and local responsiveness in MNEs. </w:t>
      </w:r>
      <w:r w:rsidRPr="00C423AA">
        <w:rPr>
          <w:rFonts w:ascii="Arial" w:hAnsi="Arial" w:cs="Arial"/>
          <w:i/>
          <w:iCs/>
          <w:color w:val="000000" w:themeColor="text1"/>
          <w:shd w:val="clear" w:color="auto" w:fill="FFFFFF"/>
        </w:rPr>
        <w:t>The International Journal of human resource management</w:t>
      </w:r>
      <w:r w:rsidRPr="00C423AA">
        <w:rPr>
          <w:rFonts w:ascii="Arial" w:hAnsi="Arial" w:cs="Arial"/>
          <w:color w:val="000000" w:themeColor="text1"/>
          <w:shd w:val="clear" w:color="auto" w:fill="FFFFFF"/>
        </w:rPr>
        <w:t>, </w:t>
      </w:r>
      <w:r w:rsidRPr="00C423AA">
        <w:rPr>
          <w:rFonts w:ascii="Arial" w:hAnsi="Arial" w:cs="Arial"/>
          <w:i/>
          <w:iCs/>
          <w:color w:val="000000" w:themeColor="text1"/>
          <w:shd w:val="clear" w:color="auto" w:fill="FFFFFF"/>
        </w:rPr>
        <w:t>35</w:t>
      </w:r>
      <w:r w:rsidRPr="00C423AA">
        <w:rPr>
          <w:rFonts w:ascii="Arial" w:hAnsi="Arial" w:cs="Arial"/>
          <w:color w:val="000000" w:themeColor="text1"/>
          <w:shd w:val="clear" w:color="auto" w:fill="FFFFFF"/>
        </w:rPr>
        <w:t xml:space="preserve">(11), pp.1943-1969. </w:t>
      </w:r>
    </w:p>
    <w:p w14:paraId="43BCA62F" w14:textId="77777777" w:rsidR="00CE671B" w:rsidRDefault="00CE671B" w:rsidP="005862CC">
      <w:pPr>
        <w:spacing w:before="100" w:beforeAutospacing="1" w:after="100" w:afterAutospacing="1" w:line="240" w:lineRule="auto"/>
        <w:ind w:left="284"/>
        <w:rPr>
          <w:rFonts w:ascii="Arial" w:eastAsia="Times New Roman" w:hAnsi="Arial" w:cs="Arial"/>
          <w:color w:val="000000" w:themeColor="text1"/>
          <w:kern w:val="0"/>
          <w:lang w:eastAsia="en-GB"/>
          <w14:ligatures w14:val="none"/>
        </w:rPr>
      </w:pPr>
      <w:r w:rsidRPr="00C423AA">
        <w:rPr>
          <w:rFonts w:ascii="Arial" w:eastAsia="Times New Roman" w:hAnsi="Arial" w:cs="Arial"/>
          <w:color w:val="000000" w:themeColor="text1"/>
          <w:kern w:val="0"/>
          <w:lang w:eastAsia="en-GB"/>
          <w14:ligatures w14:val="none"/>
        </w:rPr>
        <w:t>Collings, D.G., Scullion, H. and Vaiman, V., (2015). Talent management: Progress and prospects. </w:t>
      </w:r>
      <w:r w:rsidRPr="00C423AA">
        <w:rPr>
          <w:rFonts w:ascii="Arial" w:eastAsia="Times New Roman" w:hAnsi="Arial" w:cs="Arial"/>
          <w:i/>
          <w:iCs/>
          <w:color w:val="000000" w:themeColor="text1"/>
          <w:kern w:val="0"/>
          <w:lang w:eastAsia="en-GB"/>
          <w14:ligatures w14:val="none"/>
        </w:rPr>
        <w:t>Human Resource Management Review</w:t>
      </w:r>
      <w:r w:rsidRPr="00C423AA">
        <w:rPr>
          <w:rFonts w:ascii="Arial" w:eastAsia="Times New Roman" w:hAnsi="Arial" w:cs="Arial"/>
          <w:color w:val="000000" w:themeColor="text1"/>
          <w:kern w:val="0"/>
          <w:lang w:eastAsia="en-GB"/>
          <w14:ligatures w14:val="none"/>
        </w:rPr>
        <w:t>, </w:t>
      </w:r>
      <w:r w:rsidRPr="00C423AA">
        <w:rPr>
          <w:rFonts w:ascii="Arial" w:eastAsia="Times New Roman" w:hAnsi="Arial" w:cs="Arial"/>
          <w:i/>
          <w:iCs/>
          <w:color w:val="000000" w:themeColor="text1"/>
          <w:kern w:val="0"/>
          <w:lang w:eastAsia="en-GB"/>
          <w14:ligatures w14:val="none"/>
        </w:rPr>
        <w:t>25</w:t>
      </w:r>
      <w:r w:rsidRPr="00C423AA">
        <w:rPr>
          <w:rFonts w:ascii="Arial" w:eastAsia="Times New Roman" w:hAnsi="Arial" w:cs="Arial"/>
          <w:color w:val="000000" w:themeColor="text1"/>
          <w:kern w:val="0"/>
          <w:lang w:eastAsia="en-GB"/>
          <w14:ligatures w14:val="none"/>
        </w:rPr>
        <w:t xml:space="preserve">(3), pp.233-235. </w:t>
      </w:r>
    </w:p>
    <w:p w14:paraId="37402341" w14:textId="77777777" w:rsidR="00CE671B" w:rsidRPr="00C423AA" w:rsidRDefault="00CE671B" w:rsidP="005862CC">
      <w:pPr>
        <w:spacing w:before="100" w:beforeAutospacing="1" w:after="100" w:afterAutospacing="1" w:line="240" w:lineRule="auto"/>
        <w:ind w:left="284"/>
        <w:rPr>
          <w:rFonts w:ascii="Arial" w:eastAsia="Times New Roman" w:hAnsi="Arial" w:cs="Arial"/>
          <w:color w:val="000000" w:themeColor="text1"/>
          <w:kern w:val="0"/>
          <w:lang w:eastAsia="en-GB"/>
          <w14:ligatures w14:val="none"/>
        </w:rPr>
      </w:pPr>
      <w:r w:rsidRPr="00C423AA">
        <w:rPr>
          <w:rFonts w:ascii="Arial" w:hAnsi="Arial" w:cs="Arial"/>
          <w:color w:val="000000" w:themeColor="text1"/>
          <w:shd w:val="clear" w:color="auto" w:fill="FFFFFF"/>
        </w:rPr>
        <w:t>Cooke, F.L., Dickmann, M. and Parry, E., 2023. Building a sustainable ecosystem of human resource management research: reflections and suggestions. </w:t>
      </w:r>
      <w:r w:rsidRPr="00C423AA">
        <w:rPr>
          <w:rFonts w:ascii="Arial" w:hAnsi="Arial" w:cs="Arial"/>
          <w:i/>
          <w:iCs/>
          <w:color w:val="000000" w:themeColor="text1"/>
          <w:shd w:val="clear" w:color="auto" w:fill="FFFFFF"/>
        </w:rPr>
        <w:t>The International Journal of human resource management</w:t>
      </w:r>
      <w:r w:rsidRPr="00C423AA">
        <w:rPr>
          <w:rFonts w:ascii="Arial" w:hAnsi="Arial" w:cs="Arial"/>
          <w:color w:val="000000" w:themeColor="text1"/>
          <w:shd w:val="clear" w:color="auto" w:fill="FFFFFF"/>
        </w:rPr>
        <w:t>, </w:t>
      </w:r>
      <w:r w:rsidRPr="00C423AA">
        <w:rPr>
          <w:rFonts w:ascii="Arial" w:hAnsi="Arial" w:cs="Arial"/>
          <w:i/>
          <w:iCs/>
          <w:color w:val="000000" w:themeColor="text1"/>
          <w:shd w:val="clear" w:color="auto" w:fill="FFFFFF"/>
        </w:rPr>
        <w:t>34</w:t>
      </w:r>
      <w:r w:rsidRPr="00C423AA">
        <w:rPr>
          <w:rFonts w:ascii="Arial" w:hAnsi="Arial" w:cs="Arial"/>
          <w:color w:val="000000" w:themeColor="text1"/>
          <w:shd w:val="clear" w:color="auto" w:fill="FFFFFF"/>
        </w:rPr>
        <w:t xml:space="preserve">(3), pp.459-477. </w:t>
      </w:r>
    </w:p>
    <w:p w14:paraId="329547B6" w14:textId="77777777" w:rsidR="00CE671B" w:rsidRPr="009E6BAD" w:rsidRDefault="00CE671B" w:rsidP="005862CC">
      <w:pPr>
        <w:spacing w:before="100" w:beforeAutospacing="1" w:after="100" w:afterAutospacing="1" w:line="240" w:lineRule="auto"/>
        <w:ind w:left="284"/>
        <w:rPr>
          <w:rFonts w:ascii="Arial" w:hAnsi="Arial" w:cs="Arial"/>
          <w:color w:val="000000" w:themeColor="text1"/>
        </w:rPr>
      </w:pPr>
      <w:r w:rsidRPr="009E6BAD">
        <w:rPr>
          <w:rFonts w:ascii="Arial" w:hAnsi="Arial" w:cs="Arial"/>
          <w:color w:val="000000" w:themeColor="text1"/>
        </w:rPr>
        <w:t xml:space="preserve">Edgar, G. (2021). </w:t>
      </w:r>
      <w:r w:rsidRPr="009E6BAD">
        <w:rPr>
          <w:rFonts w:ascii="Arial" w:hAnsi="Arial" w:cs="Arial"/>
          <w:i/>
          <w:iCs/>
          <w:color w:val="000000" w:themeColor="text1"/>
        </w:rPr>
        <w:t>A look into how GSK provides a secure and comfortable culture in the workplace</w:t>
      </w:r>
      <w:r w:rsidRPr="009E6BAD">
        <w:rPr>
          <w:rFonts w:ascii="Arial" w:hAnsi="Arial" w:cs="Arial"/>
          <w:color w:val="000000" w:themeColor="text1"/>
        </w:rPr>
        <w:t xml:space="preserve">. [online] </w:t>
      </w:r>
      <w:r w:rsidRPr="009E6BAD">
        <w:rPr>
          <w:rFonts w:ascii="Arial" w:hAnsi="Arial" w:cs="Arial"/>
          <w:i/>
          <w:iCs/>
          <w:color w:val="000000" w:themeColor="text1"/>
        </w:rPr>
        <w:t>Women in Technology</w:t>
      </w:r>
      <w:r w:rsidRPr="009E6BAD">
        <w:rPr>
          <w:rFonts w:ascii="Arial" w:hAnsi="Arial" w:cs="Arial"/>
          <w:color w:val="000000" w:themeColor="text1"/>
        </w:rPr>
        <w:t xml:space="preserve">. Available at: </w:t>
      </w:r>
      <w:hyperlink r:id="rId10" w:history="1">
        <w:r w:rsidRPr="009E6BAD">
          <w:rPr>
            <w:rStyle w:val="Hyperlink"/>
            <w:rFonts w:ascii="Arial" w:hAnsi="Arial" w:cs="Arial"/>
            <w:color w:val="000000" w:themeColor="text1"/>
          </w:rPr>
          <w:t>https://www.womenintech.co.uk/a-look-into-how-gsk-provides-a-secure-and-comfortable-culture-in-the-workplace/</w:t>
        </w:r>
      </w:hyperlink>
      <w:r w:rsidRPr="00C423AA">
        <w:rPr>
          <w:rFonts w:ascii="Arial" w:hAnsi="Arial" w:cs="Arial"/>
          <w:color w:val="000000" w:themeColor="text1"/>
        </w:rPr>
        <w:t xml:space="preserve"> </w:t>
      </w:r>
      <w:r w:rsidRPr="009E6BAD">
        <w:rPr>
          <w:rFonts w:ascii="Arial" w:hAnsi="Arial" w:cs="Arial"/>
          <w:color w:val="000000" w:themeColor="text1"/>
        </w:rPr>
        <w:t>[Accessed 4 Aug. 2026].</w:t>
      </w:r>
    </w:p>
    <w:p w14:paraId="23ECD574" w14:textId="77777777" w:rsidR="00CE671B" w:rsidRPr="00C423AA" w:rsidRDefault="00CE671B" w:rsidP="005862CC">
      <w:pPr>
        <w:spacing w:before="100" w:beforeAutospacing="1" w:after="100" w:afterAutospacing="1" w:line="240" w:lineRule="auto"/>
        <w:ind w:left="284"/>
        <w:rPr>
          <w:rFonts w:ascii="Arial" w:hAnsi="Arial" w:cs="Arial"/>
          <w:color w:val="000000" w:themeColor="text1"/>
        </w:rPr>
      </w:pPr>
      <w:r w:rsidRPr="00ED234F">
        <w:rPr>
          <w:color w:val="000000" w:themeColor="text1"/>
        </w:rPr>
        <w:t xml:space="preserve">GSK (2024). </w:t>
      </w:r>
      <w:r w:rsidRPr="00ED234F">
        <w:rPr>
          <w:rFonts w:ascii="Arial" w:hAnsi="Arial" w:cs="Arial"/>
          <w:i/>
          <w:iCs/>
          <w:color w:val="000000" w:themeColor="text1"/>
        </w:rPr>
        <w:t>Responsibility reports | GSK</w:t>
      </w:r>
      <w:r w:rsidRPr="00ED234F">
        <w:rPr>
          <w:rFonts w:ascii="Arial" w:hAnsi="Arial" w:cs="Arial"/>
          <w:color w:val="000000" w:themeColor="text1"/>
        </w:rPr>
        <w:t xml:space="preserve">. [online] </w:t>
      </w:r>
      <w:r w:rsidRPr="00ED234F">
        <w:rPr>
          <w:rFonts w:ascii="Arial" w:hAnsi="Arial" w:cs="Arial"/>
          <w:i/>
          <w:iCs/>
          <w:color w:val="000000" w:themeColor="text1"/>
        </w:rPr>
        <w:t>Gsk.com</w:t>
      </w:r>
      <w:r w:rsidRPr="00ED234F">
        <w:rPr>
          <w:rFonts w:ascii="Arial" w:hAnsi="Arial" w:cs="Arial"/>
          <w:color w:val="000000" w:themeColor="text1"/>
        </w:rPr>
        <w:t xml:space="preserve">. Available at: </w:t>
      </w:r>
      <w:hyperlink r:id="rId11" w:history="1">
        <w:r w:rsidRPr="00ED234F">
          <w:rPr>
            <w:rStyle w:val="Hyperlink"/>
            <w:rFonts w:ascii="Arial" w:hAnsi="Arial" w:cs="Arial"/>
            <w:color w:val="000000" w:themeColor="text1"/>
          </w:rPr>
          <w:t>https://www.gsk.com/en-gb/responsibility/responsibility-reports/</w:t>
        </w:r>
      </w:hyperlink>
      <w:r w:rsidRPr="00C423AA">
        <w:rPr>
          <w:rFonts w:ascii="Arial" w:hAnsi="Arial" w:cs="Arial"/>
          <w:color w:val="000000" w:themeColor="text1"/>
        </w:rPr>
        <w:t xml:space="preserve"> </w:t>
      </w:r>
      <w:r w:rsidRPr="00ED234F">
        <w:rPr>
          <w:rFonts w:ascii="Arial" w:hAnsi="Arial" w:cs="Arial"/>
          <w:color w:val="000000" w:themeColor="text1"/>
        </w:rPr>
        <w:t>[Accessed 4 Aug. 2026].</w:t>
      </w:r>
    </w:p>
    <w:p w14:paraId="4FC58FCB" w14:textId="77777777" w:rsidR="00CE671B" w:rsidRPr="00C423AA" w:rsidRDefault="00CE671B" w:rsidP="005862CC">
      <w:pPr>
        <w:spacing w:before="100" w:beforeAutospacing="1" w:after="100" w:afterAutospacing="1" w:line="240" w:lineRule="auto"/>
        <w:ind w:left="284"/>
        <w:rPr>
          <w:rFonts w:ascii="Arial" w:eastAsia="Times New Roman" w:hAnsi="Arial" w:cs="Arial"/>
          <w:color w:val="000000" w:themeColor="text1"/>
          <w:kern w:val="0"/>
          <w:lang w:eastAsia="en-GB"/>
          <w14:ligatures w14:val="none"/>
        </w:rPr>
      </w:pPr>
      <w:r w:rsidRPr="00C423AA">
        <w:rPr>
          <w:rFonts w:ascii="Arial" w:hAnsi="Arial" w:cs="Arial"/>
          <w:color w:val="000000" w:themeColor="text1"/>
          <w:shd w:val="clear" w:color="auto" w:fill="FFFFFF"/>
        </w:rPr>
        <w:t>Gürel, E. and Tat, M., 2017. SWOT analysis: A theoretical review. </w:t>
      </w:r>
      <w:r w:rsidRPr="00C423AA">
        <w:rPr>
          <w:rFonts w:ascii="Arial" w:hAnsi="Arial" w:cs="Arial"/>
          <w:i/>
          <w:iCs/>
          <w:color w:val="000000" w:themeColor="text1"/>
          <w:shd w:val="clear" w:color="auto" w:fill="FFFFFF"/>
        </w:rPr>
        <w:t>Journal of International Social Research</w:t>
      </w:r>
      <w:r w:rsidRPr="00C423AA">
        <w:rPr>
          <w:rFonts w:ascii="Arial" w:hAnsi="Arial" w:cs="Arial"/>
          <w:color w:val="000000" w:themeColor="text1"/>
          <w:shd w:val="clear" w:color="auto" w:fill="FFFFFF"/>
        </w:rPr>
        <w:t>, </w:t>
      </w:r>
      <w:r w:rsidRPr="00C423AA">
        <w:rPr>
          <w:rFonts w:ascii="Arial" w:hAnsi="Arial" w:cs="Arial"/>
          <w:i/>
          <w:iCs/>
          <w:color w:val="000000" w:themeColor="text1"/>
          <w:shd w:val="clear" w:color="auto" w:fill="FFFFFF"/>
        </w:rPr>
        <w:t>10</w:t>
      </w:r>
      <w:r w:rsidRPr="00C423AA">
        <w:rPr>
          <w:rFonts w:ascii="Arial" w:hAnsi="Arial" w:cs="Arial"/>
          <w:color w:val="000000" w:themeColor="text1"/>
          <w:shd w:val="clear" w:color="auto" w:fill="FFFFFF"/>
        </w:rPr>
        <w:t xml:space="preserve">(51). </w:t>
      </w:r>
    </w:p>
    <w:p w14:paraId="692A319D" w14:textId="77777777" w:rsidR="00CE671B" w:rsidRDefault="00CE671B" w:rsidP="005862CC">
      <w:pPr>
        <w:spacing w:before="100" w:beforeAutospacing="1" w:after="100" w:afterAutospacing="1" w:line="240" w:lineRule="auto"/>
        <w:ind w:left="284"/>
        <w:rPr>
          <w:rFonts w:ascii="Arial" w:eastAsia="Times New Roman" w:hAnsi="Arial" w:cs="Arial"/>
          <w:color w:val="000000" w:themeColor="text1"/>
          <w:kern w:val="0"/>
          <w:lang w:eastAsia="en-GB"/>
          <w14:ligatures w14:val="none"/>
        </w:rPr>
      </w:pPr>
      <w:r w:rsidRPr="006B5828">
        <w:rPr>
          <w:rFonts w:ascii="Arial" w:eastAsia="Times New Roman" w:hAnsi="Arial" w:cs="Arial"/>
          <w:color w:val="000000" w:themeColor="text1"/>
          <w:kern w:val="0"/>
          <w:lang w:eastAsia="en-GB"/>
          <w14:ligatures w14:val="none"/>
        </w:rPr>
        <w:t xml:space="preserve">Komisarof, A. and Akaliyski, P. (2025). New developments in Hofstede’s individualism-collectivism: A guide for scholars, educators, trainers, and other practitioners. International Journal of Intercultural Relations, [online] 107, p.102200. </w:t>
      </w:r>
      <w:r>
        <w:rPr>
          <w:rFonts w:ascii="Arial" w:eastAsia="Times New Roman" w:hAnsi="Arial" w:cs="Arial"/>
          <w:color w:val="000000" w:themeColor="text1"/>
          <w:kern w:val="0"/>
          <w:lang w:eastAsia="en-GB"/>
          <w14:ligatures w14:val="none"/>
        </w:rPr>
        <w:t xml:space="preserve"> </w:t>
      </w:r>
    </w:p>
    <w:p w14:paraId="12BE5032" w14:textId="77777777" w:rsidR="00CE671B" w:rsidRPr="00C423AA" w:rsidRDefault="00CE671B" w:rsidP="005862CC">
      <w:pPr>
        <w:spacing w:before="100" w:beforeAutospacing="1" w:after="100" w:afterAutospacing="1" w:line="240" w:lineRule="auto"/>
        <w:ind w:left="284"/>
        <w:rPr>
          <w:rFonts w:ascii="Arial" w:eastAsia="Times New Roman" w:hAnsi="Arial" w:cs="Arial"/>
          <w:color w:val="000000" w:themeColor="text1"/>
          <w:kern w:val="0"/>
          <w:lang w:eastAsia="en-GB"/>
          <w14:ligatures w14:val="none"/>
        </w:rPr>
      </w:pPr>
      <w:r w:rsidRPr="00C423AA">
        <w:rPr>
          <w:rFonts w:ascii="Arial" w:hAnsi="Arial" w:cs="Arial"/>
          <w:color w:val="000000" w:themeColor="text1"/>
          <w:shd w:val="clear" w:color="auto" w:fill="FFFFFF"/>
        </w:rPr>
        <w:t>Malik, A., 2018. Strategic human resource management and employment relations. </w:t>
      </w:r>
      <w:r w:rsidRPr="00C423AA">
        <w:rPr>
          <w:rFonts w:ascii="Arial" w:hAnsi="Arial" w:cs="Arial"/>
          <w:i/>
          <w:iCs/>
          <w:color w:val="000000" w:themeColor="text1"/>
          <w:shd w:val="clear" w:color="auto" w:fill="FFFFFF"/>
        </w:rPr>
        <w:t>An International Perspective. Springer</w:t>
      </w:r>
      <w:r w:rsidRPr="00C423AA">
        <w:rPr>
          <w:rFonts w:ascii="Arial" w:hAnsi="Arial" w:cs="Arial"/>
          <w:color w:val="000000" w:themeColor="text1"/>
          <w:shd w:val="clear" w:color="auto" w:fill="FFFFFF"/>
        </w:rPr>
        <w:t>, </w:t>
      </w:r>
      <w:r w:rsidRPr="00C423AA">
        <w:rPr>
          <w:rFonts w:ascii="Arial" w:hAnsi="Arial" w:cs="Arial"/>
          <w:i/>
          <w:iCs/>
          <w:color w:val="000000" w:themeColor="text1"/>
          <w:shd w:val="clear" w:color="auto" w:fill="FFFFFF"/>
        </w:rPr>
        <w:t>10</w:t>
      </w:r>
      <w:r w:rsidRPr="00C423AA">
        <w:rPr>
          <w:rFonts w:ascii="Arial" w:hAnsi="Arial" w:cs="Arial"/>
          <w:color w:val="000000" w:themeColor="text1"/>
          <w:shd w:val="clear" w:color="auto" w:fill="FFFFFF"/>
        </w:rPr>
        <w:t xml:space="preserve">, pp.978-981. </w:t>
      </w:r>
    </w:p>
    <w:p w14:paraId="2A1740D1" w14:textId="77777777" w:rsidR="00CE671B" w:rsidRPr="00C423AA" w:rsidRDefault="00CE671B" w:rsidP="005862CC">
      <w:pPr>
        <w:tabs>
          <w:tab w:val="left" w:pos="6323"/>
        </w:tabs>
        <w:spacing w:line="360" w:lineRule="auto"/>
        <w:ind w:left="284"/>
        <w:rPr>
          <w:rFonts w:ascii="Arial" w:eastAsia="Times New Roman" w:hAnsi="Arial" w:cs="Arial"/>
          <w:color w:val="000000" w:themeColor="text1"/>
          <w:lang w:eastAsia="en-GB"/>
        </w:rPr>
      </w:pPr>
      <w:r w:rsidRPr="008E3717">
        <w:rPr>
          <w:rFonts w:ascii="Arial" w:eastAsia="Times New Roman" w:hAnsi="Arial" w:cs="Arial"/>
          <w:color w:val="000000" w:themeColor="text1"/>
          <w:lang w:eastAsia="en-GB"/>
        </w:rPr>
        <w:t xml:space="preserve">Peterdy, K. (2024). </w:t>
      </w:r>
      <w:r w:rsidRPr="008E3717">
        <w:rPr>
          <w:rFonts w:ascii="Arial" w:eastAsia="Times New Roman" w:hAnsi="Arial" w:cs="Arial"/>
          <w:i/>
          <w:iCs/>
          <w:color w:val="000000" w:themeColor="text1"/>
          <w:lang w:eastAsia="en-GB"/>
        </w:rPr>
        <w:t>SWOT analysis</w:t>
      </w:r>
      <w:r w:rsidRPr="008E3717">
        <w:rPr>
          <w:rFonts w:ascii="Arial" w:eastAsia="Times New Roman" w:hAnsi="Arial" w:cs="Arial"/>
          <w:color w:val="000000" w:themeColor="text1"/>
          <w:lang w:eastAsia="en-GB"/>
        </w:rPr>
        <w:t xml:space="preserve">. [online] Corporate Finance Institute. Available at: </w:t>
      </w:r>
      <w:hyperlink r:id="rId12" w:history="1">
        <w:r w:rsidRPr="008E3717">
          <w:rPr>
            <w:rStyle w:val="Hyperlink"/>
            <w:rFonts w:ascii="Arial" w:eastAsia="Times New Roman" w:hAnsi="Arial" w:cs="Arial"/>
            <w:color w:val="000000" w:themeColor="text1"/>
            <w:lang w:eastAsia="en-GB"/>
          </w:rPr>
          <w:t>https://corporatefinanceinstitute.com/resources/management/swot-analysis/</w:t>
        </w:r>
      </w:hyperlink>
      <w:r w:rsidRPr="008E3717">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 xml:space="preserve"> </w:t>
      </w:r>
      <w:r w:rsidRPr="008E3717">
        <w:rPr>
          <w:rFonts w:ascii="Arial" w:eastAsia="Times New Roman" w:hAnsi="Arial" w:cs="Arial"/>
          <w:color w:val="000000" w:themeColor="text1"/>
          <w:lang w:eastAsia="en-GB"/>
        </w:rPr>
        <w:t>[Accessed 14 Jul 2026].</w:t>
      </w:r>
    </w:p>
    <w:p w14:paraId="591E63AC" w14:textId="77777777" w:rsidR="00CE671B" w:rsidRPr="00C423AA" w:rsidRDefault="00CE671B" w:rsidP="005862CC">
      <w:pPr>
        <w:pStyle w:val="NormalWeb"/>
        <w:ind w:left="284"/>
        <w:rPr>
          <w:rFonts w:ascii="Arial" w:hAnsi="Arial" w:cs="Arial"/>
          <w:color w:val="000000" w:themeColor="text1"/>
          <w:shd w:val="clear" w:color="auto" w:fill="FFFFFF"/>
        </w:rPr>
      </w:pPr>
      <w:r w:rsidRPr="004C72A4">
        <w:rPr>
          <w:rFonts w:ascii="Arial" w:hAnsi="Arial" w:cs="Arial"/>
          <w:color w:val="000000" w:themeColor="text1"/>
          <w:shd w:val="clear" w:color="auto" w:fill="FFFFFF"/>
        </w:rPr>
        <w:t xml:space="preserve">Priyanka, R., Ravindran, K., </w:t>
      </w:r>
      <w:proofErr w:type="spellStart"/>
      <w:r w:rsidRPr="004C72A4">
        <w:rPr>
          <w:rFonts w:ascii="Arial" w:hAnsi="Arial" w:cs="Arial"/>
          <w:color w:val="000000" w:themeColor="text1"/>
          <w:shd w:val="clear" w:color="auto" w:fill="FFFFFF"/>
        </w:rPr>
        <w:t>Sankaranarayanan</w:t>
      </w:r>
      <w:proofErr w:type="spellEnd"/>
      <w:r w:rsidRPr="004C72A4">
        <w:rPr>
          <w:rFonts w:ascii="Arial" w:hAnsi="Arial" w:cs="Arial"/>
          <w:color w:val="000000" w:themeColor="text1"/>
          <w:shd w:val="clear" w:color="auto" w:fill="FFFFFF"/>
        </w:rPr>
        <w:t xml:space="preserve">, B. and Ali, S.M. (2023). A fuzzy DEMATEL decision modelling framework for identifying key human resources challenges in start-up companies: Implications for sustainable development. </w:t>
      </w:r>
      <w:r w:rsidRPr="004C72A4">
        <w:rPr>
          <w:rFonts w:ascii="Arial" w:hAnsi="Arial" w:cs="Arial"/>
          <w:i/>
          <w:iCs/>
          <w:color w:val="000000" w:themeColor="text1"/>
          <w:shd w:val="clear" w:color="auto" w:fill="FFFFFF"/>
        </w:rPr>
        <w:t>Decision Analytics Journal</w:t>
      </w:r>
      <w:r w:rsidRPr="004C72A4">
        <w:rPr>
          <w:rFonts w:ascii="Arial" w:hAnsi="Arial" w:cs="Arial"/>
          <w:color w:val="000000" w:themeColor="text1"/>
          <w:shd w:val="clear" w:color="auto" w:fill="FFFFFF"/>
        </w:rPr>
        <w:t xml:space="preserve">, [online] p.100192. Available at: </w:t>
      </w:r>
      <w:hyperlink r:id="rId13" w:history="1">
        <w:r w:rsidRPr="004C72A4">
          <w:rPr>
            <w:rStyle w:val="Hyperlink"/>
            <w:rFonts w:ascii="Arial" w:hAnsi="Arial" w:cs="Arial"/>
            <w:color w:val="000000" w:themeColor="text1"/>
            <w:shd w:val="clear" w:color="auto" w:fill="FFFFFF"/>
          </w:rPr>
          <w:t>https://www.sciencedirect.com/science/article/pii/S2772662223000322</w:t>
        </w:r>
      </w:hyperlink>
      <w:r w:rsidRPr="00C423AA">
        <w:rPr>
          <w:rFonts w:ascii="Arial" w:hAnsi="Arial" w:cs="Arial"/>
          <w:color w:val="000000" w:themeColor="text1"/>
          <w:shd w:val="clear" w:color="auto" w:fill="FFFFFF"/>
        </w:rPr>
        <w:t xml:space="preserve"> </w:t>
      </w:r>
      <w:r w:rsidRPr="004C72A4">
        <w:rPr>
          <w:rFonts w:ascii="Arial" w:hAnsi="Arial" w:cs="Arial"/>
          <w:color w:val="000000" w:themeColor="text1"/>
          <w:shd w:val="clear" w:color="auto" w:fill="FFFFFF"/>
        </w:rPr>
        <w:t>[Accessed 4 Aug. 2026].</w:t>
      </w:r>
    </w:p>
    <w:p w14:paraId="7DE29DD7" w14:textId="77777777" w:rsidR="00CE671B" w:rsidRPr="00D0641C" w:rsidRDefault="00CE671B" w:rsidP="005862CC">
      <w:pPr>
        <w:pStyle w:val="NormalWeb"/>
        <w:ind w:left="284"/>
        <w:rPr>
          <w:rFonts w:ascii="Arial" w:hAnsi="Arial" w:cs="Arial"/>
          <w:color w:val="000000" w:themeColor="text1"/>
        </w:rPr>
      </w:pPr>
      <w:r w:rsidRPr="00D0641C">
        <w:rPr>
          <w:rFonts w:ascii="Arial" w:hAnsi="Arial" w:cs="Arial"/>
          <w:color w:val="000000" w:themeColor="text1"/>
        </w:rPr>
        <w:t xml:space="preserve">Sachmajev, D. (2025). </w:t>
      </w:r>
      <w:r w:rsidRPr="00D0641C">
        <w:rPr>
          <w:rFonts w:ascii="Arial" w:hAnsi="Arial" w:cs="Arial"/>
          <w:i/>
          <w:iCs/>
          <w:color w:val="000000" w:themeColor="text1"/>
        </w:rPr>
        <w:t xml:space="preserve">GSK future </w:t>
      </w:r>
      <w:proofErr w:type="gramStart"/>
      <w:r w:rsidRPr="00D0641C">
        <w:rPr>
          <w:rFonts w:ascii="Arial" w:hAnsi="Arial" w:cs="Arial"/>
          <w:i/>
          <w:iCs/>
          <w:color w:val="000000" w:themeColor="text1"/>
        </w:rPr>
        <w:t>leaders</w:t>
      </w:r>
      <w:proofErr w:type="gramEnd"/>
      <w:r w:rsidRPr="00D0641C">
        <w:rPr>
          <w:rFonts w:ascii="Arial" w:hAnsi="Arial" w:cs="Arial"/>
          <w:i/>
          <w:iCs/>
          <w:color w:val="000000" w:themeColor="text1"/>
        </w:rPr>
        <w:t xml:space="preserve"> program 2025: Rotations, salaries, and how to get in</w:t>
      </w:r>
      <w:r w:rsidRPr="00D0641C">
        <w:rPr>
          <w:rFonts w:ascii="Arial" w:hAnsi="Arial" w:cs="Arial"/>
          <w:color w:val="000000" w:themeColor="text1"/>
        </w:rPr>
        <w:t xml:space="preserve">. [online] Getsmartresume.com. Available at: </w:t>
      </w:r>
      <w:hyperlink r:id="rId14" w:history="1">
        <w:r w:rsidRPr="00D0641C">
          <w:rPr>
            <w:rStyle w:val="Hyperlink"/>
            <w:rFonts w:ascii="Arial" w:hAnsi="Arial" w:cs="Arial"/>
            <w:color w:val="000000" w:themeColor="text1"/>
          </w:rPr>
          <w:t>https://www.getsmartresume.com/article/gsk-future-leaders-program</w:t>
        </w:r>
      </w:hyperlink>
      <w:r w:rsidRPr="00C423AA">
        <w:rPr>
          <w:rFonts w:ascii="Arial" w:hAnsi="Arial" w:cs="Arial"/>
          <w:color w:val="000000" w:themeColor="text1"/>
        </w:rPr>
        <w:t xml:space="preserve"> </w:t>
      </w:r>
      <w:r w:rsidRPr="00D0641C">
        <w:rPr>
          <w:rFonts w:ascii="Arial" w:hAnsi="Arial" w:cs="Arial"/>
          <w:color w:val="000000" w:themeColor="text1"/>
        </w:rPr>
        <w:t>[Accessed 3 Aug. 2026].</w:t>
      </w:r>
    </w:p>
    <w:p w14:paraId="79CE3192" w14:textId="77777777" w:rsidR="00CE671B" w:rsidRPr="00C423AA" w:rsidRDefault="00CE671B" w:rsidP="005862CC">
      <w:pPr>
        <w:spacing w:before="100" w:beforeAutospacing="1" w:after="100" w:afterAutospacing="1" w:line="240" w:lineRule="auto"/>
        <w:ind w:left="284"/>
        <w:rPr>
          <w:rFonts w:ascii="Arial" w:eastAsia="Times New Roman" w:hAnsi="Arial" w:cs="Arial"/>
          <w:color w:val="000000" w:themeColor="text1"/>
          <w:kern w:val="0"/>
          <w:lang w:eastAsia="en-GB"/>
          <w14:ligatures w14:val="none"/>
        </w:rPr>
      </w:pPr>
      <w:r w:rsidRPr="00C423AA">
        <w:rPr>
          <w:rFonts w:ascii="Arial" w:hAnsi="Arial" w:cs="Arial"/>
          <w:color w:val="000000" w:themeColor="text1"/>
          <w:shd w:val="clear" w:color="auto" w:fill="FFFFFF"/>
        </w:rPr>
        <w:t>Snell, S.A., Swart, J., Morris, S. and Boon, C., 2023. The HR ecosystem: Emerging trends and a future research agenda. </w:t>
      </w:r>
      <w:r w:rsidRPr="00C423AA">
        <w:rPr>
          <w:rFonts w:ascii="Arial" w:hAnsi="Arial" w:cs="Arial"/>
          <w:i/>
          <w:iCs/>
          <w:color w:val="000000" w:themeColor="text1"/>
          <w:shd w:val="clear" w:color="auto" w:fill="FFFFFF"/>
        </w:rPr>
        <w:t>Human Resource Management</w:t>
      </w:r>
      <w:r w:rsidRPr="00C423AA">
        <w:rPr>
          <w:rFonts w:ascii="Arial" w:hAnsi="Arial" w:cs="Arial"/>
          <w:color w:val="000000" w:themeColor="text1"/>
          <w:shd w:val="clear" w:color="auto" w:fill="FFFFFF"/>
        </w:rPr>
        <w:t>, </w:t>
      </w:r>
      <w:r w:rsidRPr="00C423AA">
        <w:rPr>
          <w:rFonts w:ascii="Arial" w:hAnsi="Arial" w:cs="Arial"/>
          <w:i/>
          <w:iCs/>
          <w:color w:val="000000" w:themeColor="text1"/>
          <w:shd w:val="clear" w:color="auto" w:fill="FFFFFF"/>
        </w:rPr>
        <w:t>62</w:t>
      </w:r>
      <w:r w:rsidRPr="00C423AA">
        <w:rPr>
          <w:rFonts w:ascii="Arial" w:hAnsi="Arial" w:cs="Arial"/>
          <w:color w:val="000000" w:themeColor="text1"/>
          <w:shd w:val="clear" w:color="auto" w:fill="FFFFFF"/>
        </w:rPr>
        <w:t xml:space="preserve">(1), pp.5-14. </w:t>
      </w:r>
    </w:p>
    <w:p w14:paraId="7650A09A" w14:textId="77777777" w:rsidR="00CE671B" w:rsidRPr="00C423AA" w:rsidRDefault="00CE671B" w:rsidP="005862CC">
      <w:pPr>
        <w:spacing w:before="100" w:beforeAutospacing="1" w:after="100" w:afterAutospacing="1" w:line="240" w:lineRule="auto"/>
        <w:ind w:left="284"/>
        <w:rPr>
          <w:rFonts w:ascii="Arial" w:eastAsia="Times New Roman" w:hAnsi="Arial" w:cs="Arial"/>
          <w:color w:val="000000" w:themeColor="text1"/>
          <w:kern w:val="0"/>
          <w:lang w:eastAsia="en-GB"/>
          <w14:ligatures w14:val="none"/>
        </w:rPr>
      </w:pPr>
      <w:r w:rsidRPr="00C423AA">
        <w:rPr>
          <w:rFonts w:ascii="Arial" w:hAnsi="Arial" w:cs="Arial"/>
          <w:color w:val="000000" w:themeColor="text1"/>
          <w:shd w:val="clear" w:color="auto" w:fill="FFFFFF"/>
        </w:rPr>
        <w:t>Storey, J., Ulrich, D. and Wright, P.M., 2019. </w:t>
      </w:r>
      <w:r w:rsidRPr="00C423AA">
        <w:rPr>
          <w:rFonts w:ascii="Arial" w:hAnsi="Arial" w:cs="Arial"/>
          <w:i/>
          <w:iCs/>
          <w:color w:val="000000" w:themeColor="text1"/>
          <w:shd w:val="clear" w:color="auto" w:fill="FFFFFF"/>
        </w:rPr>
        <w:t>Strategic human resource management: A research overview</w:t>
      </w:r>
      <w:r w:rsidRPr="00C423AA">
        <w:rPr>
          <w:rFonts w:ascii="Arial" w:hAnsi="Arial" w:cs="Arial"/>
          <w:color w:val="000000" w:themeColor="text1"/>
          <w:shd w:val="clear" w:color="auto" w:fill="FFFFFF"/>
        </w:rPr>
        <w:t xml:space="preserve">. Routledge. </w:t>
      </w:r>
    </w:p>
    <w:p w14:paraId="0E2E29D0" w14:textId="77777777" w:rsidR="00CE671B" w:rsidRPr="00C423AA" w:rsidRDefault="00CE671B" w:rsidP="005862CC">
      <w:pPr>
        <w:spacing w:before="100" w:beforeAutospacing="1" w:after="100" w:afterAutospacing="1" w:line="240" w:lineRule="auto"/>
        <w:ind w:left="284"/>
        <w:rPr>
          <w:rFonts w:ascii="Arial" w:eastAsia="Times New Roman" w:hAnsi="Arial" w:cs="Arial"/>
          <w:color w:val="000000" w:themeColor="text1"/>
          <w:kern w:val="0"/>
          <w:lang w:eastAsia="en-GB"/>
          <w14:ligatures w14:val="none"/>
        </w:rPr>
      </w:pPr>
      <w:r w:rsidRPr="00C423AA">
        <w:rPr>
          <w:rFonts w:ascii="Arial" w:hAnsi="Arial" w:cs="Arial"/>
          <w:color w:val="000000" w:themeColor="text1"/>
          <w:shd w:val="clear" w:color="auto" w:fill="FFFFFF"/>
        </w:rPr>
        <w:t xml:space="preserve">Van Beurden, J., Van Veldhoven, M. and Van de Voorde, K., 2022. A </w:t>
      </w:r>
      <w:proofErr w:type="gramStart"/>
      <w:r w:rsidRPr="00C423AA">
        <w:rPr>
          <w:rFonts w:ascii="Arial" w:hAnsi="Arial" w:cs="Arial"/>
          <w:color w:val="000000" w:themeColor="text1"/>
          <w:shd w:val="clear" w:color="auto" w:fill="FFFFFF"/>
        </w:rPr>
        <w:t>needs</w:t>
      </w:r>
      <w:proofErr w:type="gramEnd"/>
      <w:r w:rsidRPr="00C423AA">
        <w:rPr>
          <w:rFonts w:ascii="Arial" w:hAnsi="Arial" w:cs="Arial"/>
          <w:color w:val="000000" w:themeColor="text1"/>
          <w:shd w:val="clear" w:color="auto" w:fill="FFFFFF"/>
        </w:rPr>
        <w:t>–supplies fit perspective on employee perceptions of HR practices and their relationship with employee outcomes. </w:t>
      </w:r>
      <w:r w:rsidRPr="00C423AA">
        <w:rPr>
          <w:rFonts w:ascii="Arial" w:hAnsi="Arial" w:cs="Arial"/>
          <w:i/>
          <w:iCs/>
          <w:color w:val="000000" w:themeColor="text1"/>
          <w:shd w:val="clear" w:color="auto" w:fill="FFFFFF"/>
        </w:rPr>
        <w:t>Human Resource Management Journal</w:t>
      </w:r>
      <w:r w:rsidRPr="00C423AA">
        <w:rPr>
          <w:rFonts w:ascii="Arial" w:hAnsi="Arial" w:cs="Arial"/>
          <w:color w:val="000000" w:themeColor="text1"/>
          <w:shd w:val="clear" w:color="auto" w:fill="FFFFFF"/>
        </w:rPr>
        <w:t>, </w:t>
      </w:r>
      <w:r w:rsidRPr="00C423AA">
        <w:rPr>
          <w:rFonts w:ascii="Arial" w:hAnsi="Arial" w:cs="Arial"/>
          <w:i/>
          <w:iCs/>
          <w:color w:val="000000" w:themeColor="text1"/>
          <w:shd w:val="clear" w:color="auto" w:fill="FFFFFF"/>
        </w:rPr>
        <w:t>32</w:t>
      </w:r>
      <w:r w:rsidRPr="00C423AA">
        <w:rPr>
          <w:rFonts w:ascii="Arial" w:hAnsi="Arial" w:cs="Arial"/>
          <w:color w:val="000000" w:themeColor="text1"/>
          <w:shd w:val="clear" w:color="auto" w:fill="FFFFFF"/>
        </w:rPr>
        <w:t xml:space="preserve">(4), pp.928-948. </w:t>
      </w:r>
    </w:p>
    <w:p w14:paraId="1C06B967" w14:textId="77777777" w:rsidR="00CE671B" w:rsidRPr="00C423AA" w:rsidRDefault="00CE671B" w:rsidP="005862CC">
      <w:pPr>
        <w:spacing w:before="100" w:beforeAutospacing="1" w:after="100" w:afterAutospacing="1" w:line="240" w:lineRule="auto"/>
        <w:ind w:left="284"/>
        <w:rPr>
          <w:rFonts w:ascii="Arial" w:hAnsi="Arial" w:cs="Arial"/>
          <w:color w:val="000000" w:themeColor="text1"/>
          <w:shd w:val="clear" w:color="auto" w:fill="FFFFFF"/>
        </w:rPr>
      </w:pPr>
      <w:r w:rsidRPr="00C423AA">
        <w:rPr>
          <w:rFonts w:ascii="Arial" w:hAnsi="Arial" w:cs="Arial"/>
          <w:color w:val="000000" w:themeColor="text1"/>
          <w:shd w:val="clear" w:color="auto" w:fill="FFFFFF"/>
        </w:rPr>
        <w:t>Wilkinson, A., 2022. </w:t>
      </w:r>
      <w:r w:rsidRPr="00C423AA">
        <w:rPr>
          <w:rFonts w:ascii="Arial" w:hAnsi="Arial" w:cs="Arial"/>
          <w:i/>
          <w:iCs/>
          <w:color w:val="000000" w:themeColor="text1"/>
          <w:shd w:val="clear" w:color="auto" w:fill="FFFFFF"/>
        </w:rPr>
        <w:t>Human resource management: A very short introduction</w:t>
      </w:r>
      <w:r w:rsidRPr="00C423AA">
        <w:rPr>
          <w:rFonts w:ascii="Arial" w:hAnsi="Arial" w:cs="Arial"/>
          <w:color w:val="000000" w:themeColor="text1"/>
          <w:shd w:val="clear" w:color="auto" w:fill="FFFFFF"/>
        </w:rPr>
        <w:t xml:space="preserve"> (Vol. 699). Oxford University Press. </w:t>
      </w:r>
    </w:p>
    <w:p w14:paraId="1A117D75" w14:textId="4AC8BD5F" w:rsidR="006B5828" w:rsidRPr="00C423AA" w:rsidRDefault="006B5828" w:rsidP="00233C46">
      <w:pPr>
        <w:spacing w:before="100" w:beforeAutospacing="1" w:after="100" w:afterAutospacing="1" w:line="240" w:lineRule="auto"/>
        <w:rPr>
          <w:rFonts w:ascii="Arial" w:eastAsia="Times New Roman" w:hAnsi="Arial" w:cs="Arial"/>
          <w:color w:val="000000" w:themeColor="text1"/>
          <w:kern w:val="0"/>
          <w:lang w:eastAsia="en-GB"/>
          <w14:ligatures w14:val="none"/>
        </w:rPr>
      </w:pPr>
    </w:p>
    <w:sectPr w:rsidR="006B5828" w:rsidRPr="00C423A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0E8EF" w14:textId="77777777" w:rsidR="00397D57" w:rsidRDefault="00397D57" w:rsidP="004710EB">
      <w:pPr>
        <w:spacing w:after="0" w:line="240" w:lineRule="auto"/>
      </w:pPr>
      <w:r>
        <w:separator/>
      </w:r>
    </w:p>
  </w:endnote>
  <w:endnote w:type="continuationSeparator" w:id="0">
    <w:p w14:paraId="30A363FD" w14:textId="77777777" w:rsidR="00397D57" w:rsidRDefault="00397D57" w:rsidP="00471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480222"/>
      <w:docPartObj>
        <w:docPartGallery w:val="Page Numbers (Bottom of Page)"/>
        <w:docPartUnique/>
      </w:docPartObj>
    </w:sdtPr>
    <w:sdtContent>
      <w:sdt>
        <w:sdtPr>
          <w:id w:val="1728636285"/>
          <w:docPartObj>
            <w:docPartGallery w:val="Page Numbers (Top of Page)"/>
            <w:docPartUnique/>
          </w:docPartObj>
        </w:sdtPr>
        <w:sdtContent>
          <w:p w14:paraId="20B23110" w14:textId="45B939EE" w:rsidR="004710EB" w:rsidRDefault="004710EB">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F640F81" w14:textId="77777777" w:rsidR="004710EB" w:rsidRDefault="00471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1DF3B" w14:textId="77777777" w:rsidR="00397D57" w:rsidRDefault="00397D57" w:rsidP="004710EB">
      <w:pPr>
        <w:spacing w:after="0" w:line="240" w:lineRule="auto"/>
      </w:pPr>
      <w:r>
        <w:separator/>
      </w:r>
    </w:p>
  </w:footnote>
  <w:footnote w:type="continuationSeparator" w:id="0">
    <w:p w14:paraId="58430F68" w14:textId="77777777" w:rsidR="00397D57" w:rsidRDefault="00397D57" w:rsidP="004710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85E54"/>
    <w:multiLevelType w:val="multilevel"/>
    <w:tmpl w:val="EDD81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C51A8C"/>
    <w:multiLevelType w:val="multilevel"/>
    <w:tmpl w:val="31FCE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F91549"/>
    <w:multiLevelType w:val="multilevel"/>
    <w:tmpl w:val="73109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B932FE"/>
    <w:multiLevelType w:val="multilevel"/>
    <w:tmpl w:val="F9B43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2561078">
    <w:abstractNumId w:val="2"/>
  </w:num>
  <w:num w:numId="2" w16cid:durableId="981689213">
    <w:abstractNumId w:val="0"/>
  </w:num>
  <w:num w:numId="3" w16cid:durableId="574123998">
    <w:abstractNumId w:val="1"/>
  </w:num>
  <w:num w:numId="4" w16cid:durableId="3766679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34D"/>
    <w:rsid w:val="000168F6"/>
    <w:rsid w:val="0002202A"/>
    <w:rsid w:val="000250A4"/>
    <w:rsid w:val="000256BA"/>
    <w:rsid w:val="00026CC2"/>
    <w:rsid w:val="000379B3"/>
    <w:rsid w:val="0004036B"/>
    <w:rsid w:val="00040799"/>
    <w:rsid w:val="000443DA"/>
    <w:rsid w:val="00052BC4"/>
    <w:rsid w:val="00057D4C"/>
    <w:rsid w:val="0006155E"/>
    <w:rsid w:val="0006163D"/>
    <w:rsid w:val="0006362C"/>
    <w:rsid w:val="00082B71"/>
    <w:rsid w:val="00082CED"/>
    <w:rsid w:val="0008564F"/>
    <w:rsid w:val="000A0A23"/>
    <w:rsid w:val="000A3749"/>
    <w:rsid w:val="000A5248"/>
    <w:rsid w:val="000B3758"/>
    <w:rsid w:val="000C78C6"/>
    <w:rsid w:val="000D198D"/>
    <w:rsid w:val="000D5341"/>
    <w:rsid w:val="000D576E"/>
    <w:rsid w:val="000F089E"/>
    <w:rsid w:val="000F628B"/>
    <w:rsid w:val="00102945"/>
    <w:rsid w:val="00105A72"/>
    <w:rsid w:val="00117E26"/>
    <w:rsid w:val="00133628"/>
    <w:rsid w:val="00133BDD"/>
    <w:rsid w:val="00145E83"/>
    <w:rsid w:val="00152AB0"/>
    <w:rsid w:val="00155BAB"/>
    <w:rsid w:val="00156D65"/>
    <w:rsid w:val="001855E2"/>
    <w:rsid w:val="0018656A"/>
    <w:rsid w:val="001A12B6"/>
    <w:rsid w:val="001A4DCE"/>
    <w:rsid w:val="001A601E"/>
    <w:rsid w:val="001A6179"/>
    <w:rsid w:val="001B16DE"/>
    <w:rsid w:val="001B199F"/>
    <w:rsid w:val="001B7431"/>
    <w:rsid w:val="001C0FD7"/>
    <w:rsid w:val="001C158E"/>
    <w:rsid w:val="001C3010"/>
    <w:rsid w:val="001C33E8"/>
    <w:rsid w:val="001C7579"/>
    <w:rsid w:val="001D266A"/>
    <w:rsid w:val="001D7377"/>
    <w:rsid w:val="001E56F5"/>
    <w:rsid w:val="001F4CC9"/>
    <w:rsid w:val="001F6BB2"/>
    <w:rsid w:val="001F71BB"/>
    <w:rsid w:val="00215DD2"/>
    <w:rsid w:val="00221BC6"/>
    <w:rsid w:val="002226CC"/>
    <w:rsid w:val="00233C46"/>
    <w:rsid w:val="00250CCB"/>
    <w:rsid w:val="002530D2"/>
    <w:rsid w:val="002633A7"/>
    <w:rsid w:val="0026491C"/>
    <w:rsid w:val="0027428C"/>
    <w:rsid w:val="002831BA"/>
    <w:rsid w:val="00291802"/>
    <w:rsid w:val="00297496"/>
    <w:rsid w:val="002A3CDD"/>
    <w:rsid w:val="002A3DCB"/>
    <w:rsid w:val="002B150D"/>
    <w:rsid w:val="002C1BD0"/>
    <w:rsid w:val="002C4AED"/>
    <w:rsid w:val="002C53D4"/>
    <w:rsid w:val="002E5078"/>
    <w:rsid w:val="002F0D45"/>
    <w:rsid w:val="002F4F54"/>
    <w:rsid w:val="002F7F1B"/>
    <w:rsid w:val="003068D6"/>
    <w:rsid w:val="00311A87"/>
    <w:rsid w:val="003147B5"/>
    <w:rsid w:val="00325631"/>
    <w:rsid w:val="00332245"/>
    <w:rsid w:val="0033350D"/>
    <w:rsid w:val="003373D6"/>
    <w:rsid w:val="0033766D"/>
    <w:rsid w:val="00346FCD"/>
    <w:rsid w:val="00347618"/>
    <w:rsid w:val="00350817"/>
    <w:rsid w:val="003568A0"/>
    <w:rsid w:val="00366233"/>
    <w:rsid w:val="0037581B"/>
    <w:rsid w:val="00376685"/>
    <w:rsid w:val="00385FA4"/>
    <w:rsid w:val="00387AAE"/>
    <w:rsid w:val="00387F89"/>
    <w:rsid w:val="0039766B"/>
    <w:rsid w:val="00397D57"/>
    <w:rsid w:val="003A0797"/>
    <w:rsid w:val="003B6EB2"/>
    <w:rsid w:val="003B6EC5"/>
    <w:rsid w:val="003C3A7F"/>
    <w:rsid w:val="003D4DF0"/>
    <w:rsid w:val="003D5A01"/>
    <w:rsid w:val="003E1CDA"/>
    <w:rsid w:val="003E41EE"/>
    <w:rsid w:val="003F76CA"/>
    <w:rsid w:val="004047D5"/>
    <w:rsid w:val="0040511E"/>
    <w:rsid w:val="0040781E"/>
    <w:rsid w:val="00407986"/>
    <w:rsid w:val="00417B37"/>
    <w:rsid w:val="0043557F"/>
    <w:rsid w:val="00446F5B"/>
    <w:rsid w:val="00447893"/>
    <w:rsid w:val="00453ABE"/>
    <w:rsid w:val="00454111"/>
    <w:rsid w:val="0045497A"/>
    <w:rsid w:val="0046741B"/>
    <w:rsid w:val="00467AAC"/>
    <w:rsid w:val="004710EB"/>
    <w:rsid w:val="00472BB0"/>
    <w:rsid w:val="00480A53"/>
    <w:rsid w:val="0048234A"/>
    <w:rsid w:val="00492583"/>
    <w:rsid w:val="004A05A5"/>
    <w:rsid w:val="004A6986"/>
    <w:rsid w:val="004B029E"/>
    <w:rsid w:val="004B0828"/>
    <w:rsid w:val="004B195D"/>
    <w:rsid w:val="004B6BA0"/>
    <w:rsid w:val="004C72A4"/>
    <w:rsid w:val="004D421B"/>
    <w:rsid w:val="004D4A48"/>
    <w:rsid w:val="004D621E"/>
    <w:rsid w:val="004D7262"/>
    <w:rsid w:val="004E7CC8"/>
    <w:rsid w:val="004F17A7"/>
    <w:rsid w:val="004F2CBF"/>
    <w:rsid w:val="005021FE"/>
    <w:rsid w:val="00505F5F"/>
    <w:rsid w:val="005062B8"/>
    <w:rsid w:val="005170A5"/>
    <w:rsid w:val="005369F1"/>
    <w:rsid w:val="005577FB"/>
    <w:rsid w:val="00557FCD"/>
    <w:rsid w:val="00562786"/>
    <w:rsid w:val="005862CC"/>
    <w:rsid w:val="00586476"/>
    <w:rsid w:val="0059153F"/>
    <w:rsid w:val="00592F9E"/>
    <w:rsid w:val="005B49CF"/>
    <w:rsid w:val="005C15C6"/>
    <w:rsid w:val="005C29E9"/>
    <w:rsid w:val="005C397D"/>
    <w:rsid w:val="005D6874"/>
    <w:rsid w:val="005D704C"/>
    <w:rsid w:val="005E6196"/>
    <w:rsid w:val="005F0C66"/>
    <w:rsid w:val="005F134D"/>
    <w:rsid w:val="006014D2"/>
    <w:rsid w:val="006024F5"/>
    <w:rsid w:val="00605F3C"/>
    <w:rsid w:val="006132BB"/>
    <w:rsid w:val="00625C2F"/>
    <w:rsid w:val="0063055B"/>
    <w:rsid w:val="0064451B"/>
    <w:rsid w:val="00644BD4"/>
    <w:rsid w:val="00674B48"/>
    <w:rsid w:val="00687E29"/>
    <w:rsid w:val="006945D4"/>
    <w:rsid w:val="006A0F49"/>
    <w:rsid w:val="006A3F87"/>
    <w:rsid w:val="006B33B7"/>
    <w:rsid w:val="006B3913"/>
    <w:rsid w:val="006B5828"/>
    <w:rsid w:val="006B681A"/>
    <w:rsid w:val="006C6EE9"/>
    <w:rsid w:val="006D0ADB"/>
    <w:rsid w:val="006D1FB3"/>
    <w:rsid w:val="00706F22"/>
    <w:rsid w:val="007114C8"/>
    <w:rsid w:val="00715FDA"/>
    <w:rsid w:val="00716F93"/>
    <w:rsid w:val="00717FC3"/>
    <w:rsid w:val="00723AA5"/>
    <w:rsid w:val="00724314"/>
    <w:rsid w:val="00724C73"/>
    <w:rsid w:val="00737877"/>
    <w:rsid w:val="00737CC9"/>
    <w:rsid w:val="0074766B"/>
    <w:rsid w:val="0077400F"/>
    <w:rsid w:val="00774ECD"/>
    <w:rsid w:val="0079302F"/>
    <w:rsid w:val="00796834"/>
    <w:rsid w:val="00797E7B"/>
    <w:rsid w:val="007A36B5"/>
    <w:rsid w:val="007B250E"/>
    <w:rsid w:val="007C211F"/>
    <w:rsid w:val="007E2BF1"/>
    <w:rsid w:val="007E6D50"/>
    <w:rsid w:val="007F7778"/>
    <w:rsid w:val="00800D4D"/>
    <w:rsid w:val="00823B31"/>
    <w:rsid w:val="00823C66"/>
    <w:rsid w:val="00825D63"/>
    <w:rsid w:val="00830A44"/>
    <w:rsid w:val="00837398"/>
    <w:rsid w:val="00840671"/>
    <w:rsid w:val="00841DDC"/>
    <w:rsid w:val="00842F6E"/>
    <w:rsid w:val="00850C3D"/>
    <w:rsid w:val="00852F43"/>
    <w:rsid w:val="00855B68"/>
    <w:rsid w:val="00856836"/>
    <w:rsid w:val="008746B7"/>
    <w:rsid w:val="008818E7"/>
    <w:rsid w:val="0088210C"/>
    <w:rsid w:val="0088330E"/>
    <w:rsid w:val="00895666"/>
    <w:rsid w:val="008A10EE"/>
    <w:rsid w:val="008A40E7"/>
    <w:rsid w:val="008A450B"/>
    <w:rsid w:val="008A6808"/>
    <w:rsid w:val="008B1EE1"/>
    <w:rsid w:val="008B2C6E"/>
    <w:rsid w:val="008B3E98"/>
    <w:rsid w:val="008D228F"/>
    <w:rsid w:val="008E3717"/>
    <w:rsid w:val="008F2E36"/>
    <w:rsid w:val="008F76F4"/>
    <w:rsid w:val="00903FF2"/>
    <w:rsid w:val="00911CD2"/>
    <w:rsid w:val="009120CE"/>
    <w:rsid w:val="00924EEC"/>
    <w:rsid w:val="00932E16"/>
    <w:rsid w:val="0093643E"/>
    <w:rsid w:val="0094047D"/>
    <w:rsid w:val="00945DFB"/>
    <w:rsid w:val="00957995"/>
    <w:rsid w:val="00957BE7"/>
    <w:rsid w:val="00962AA0"/>
    <w:rsid w:val="00964ADB"/>
    <w:rsid w:val="00972FFB"/>
    <w:rsid w:val="00975682"/>
    <w:rsid w:val="00977D67"/>
    <w:rsid w:val="00980DFD"/>
    <w:rsid w:val="009836C5"/>
    <w:rsid w:val="00983EEA"/>
    <w:rsid w:val="009864AE"/>
    <w:rsid w:val="009864E4"/>
    <w:rsid w:val="00986FA0"/>
    <w:rsid w:val="00991585"/>
    <w:rsid w:val="009976AA"/>
    <w:rsid w:val="009A4CAF"/>
    <w:rsid w:val="009C3D73"/>
    <w:rsid w:val="009C5E9A"/>
    <w:rsid w:val="009C7332"/>
    <w:rsid w:val="009D08C3"/>
    <w:rsid w:val="009D5D73"/>
    <w:rsid w:val="009E2FFB"/>
    <w:rsid w:val="009E6BAD"/>
    <w:rsid w:val="009E790B"/>
    <w:rsid w:val="009F0F71"/>
    <w:rsid w:val="009F48F9"/>
    <w:rsid w:val="009F5EC3"/>
    <w:rsid w:val="00A00E4A"/>
    <w:rsid w:val="00A03149"/>
    <w:rsid w:val="00A06184"/>
    <w:rsid w:val="00A07F38"/>
    <w:rsid w:val="00A22AD0"/>
    <w:rsid w:val="00A2480C"/>
    <w:rsid w:val="00A26625"/>
    <w:rsid w:val="00A34CFA"/>
    <w:rsid w:val="00A421BF"/>
    <w:rsid w:val="00A44E15"/>
    <w:rsid w:val="00A4550B"/>
    <w:rsid w:val="00A86A83"/>
    <w:rsid w:val="00A92168"/>
    <w:rsid w:val="00AB1426"/>
    <w:rsid w:val="00AB35EE"/>
    <w:rsid w:val="00AB73C3"/>
    <w:rsid w:val="00AB7AE2"/>
    <w:rsid w:val="00AC58F5"/>
    <w:rsid w:val="00AC5FF0"/>
    <w:rsid w:val="00AC7240"/>
    <w:rsid w:val="00AD0A6F"/>
    <w:rsid w:val="00AD0B02"/>
    <w:rsid w:val="00AF3400"/>
    <w:rsid w:val="00B10DB3"/>
    <w:rsid w:val="00B1735F"/>
    <w:rsid w:val="00B2451D"/>
    <w:rsid w:val="00B24B11"/>
    <w:rsid w:val="00B24C49"/>
    <w:rsid w:val="00B31C9F"/>
    <w:rsid w:val="00B35CA8"/>
    <w:rsid w:val="00B44D21"/>
    <w:rsid w:val="00B4605F"/>
    <w:rsid w:val="00B462AC"/>
    <w:rsid w:val="00B50FCB"/>
    <w:rsid w:val="00B52D34"/>
    <w:rsid w:val="00B5382B"/>
    <w:rsid w:val="00B56687"/>
    <w:rsid w:val="00B64AAA"/>
    <w:rsid w:val="00B7574E"/>
    <w:rsid w:val="00B849D2"/>
    <w:rsid w:val="00BA0CA9"/>
    <w:rsid w:val="00BA3061"/>
    <w:rsid w:val="00BA784A"/>
    <w:rsid w:val="00BB18BD"/>
    <w:rsid w:val="00BC57DD"/>
    <w:rsid w:val="00BE02F4"/>
    <w:rsid w:val="00BE458D"/>
    <w:rsid w:val="00BE4711"/>
    <w:rsid w:val="00BF233C"/>
    <w:rsid w:val="00C000C7"/>
    <w:rsid w:val="00C052C6"/>
    <w:rsid w:val="00C101CF"/>
    <w:rsid w:val="00C23E6D"/>
    <w:rsid w:val="00C35EF8"/>
    <w:rsid w:val="00C40D30"/>
    <w:rsid w:val="00C40EC3"/>
    <w:rsid w:val="00C423AA"/>
    <w:rsid w:val="00C42E92"/>
    <w:rsid w:val="00C4363C"/>
    <w:rsid w:val="00C6481E"/>
    <w:rsid w:val="00C84EBC"/>
    <w:rsid w:val="00C9234A"/>
    <w:rsid w:val="00CA7A6C"/>
    <w:rsid w:val="00CC3F56"/>
    <w:rsid w:val="00CD1425"/>
    <w:rsid w:val="00CD4AD9"/>
    <w:rsid w:val="00CD583A"/>
    <w:rsid w:val="00CE405E"/>
    <w:rsid w:val="00CE671B"/>
    <w:rsid w:val="00CE6943"/>
    <w:rsid w:val="00CF259B"/>
    <w:rsid w:val="00CF4EFB"/>
    <w:rsid w:val="00D01B71"/>
    <w:rsid w:val="00D0641C"/>
    <w:rsid w:val="00D126C2"/>
    <w:rsid w:val="00D229B9"/>
    <w:rsid w:val="00D24ACD"/>
    <w:rsid w:val="00D4295C"/>
    <w:rsid w:val="00D57446"/>
    <w:rsid w:val="00D6695F"/>
    <w:rsid w:val="00D73BC7"/>
    <w:rsid w:val="00D7576A"/>
    <w:rsid w:val="00D86630"/>
    <w:rsid w:val="00D90EC9"/>
    <w:rsid w:val="00D97EE7"/>
    <w:rsid w:val="00DA0A57"/>
    <w:rsid w:val="00DA2D2E"/>
    <w:rsid w:val="00DA65B0"/>
    <w:rsid w:val="00DA6820"/>
    <w:rsid w:val="00DB07C7"/>
    <w:rsid w:val="00DB434A"/>
    <w:rsid w:val="00DC0909"/>
    <w:rsid w:val="00DC5FD8"/>
    <w:rsid w:val="00DC63AE"/>
    <w:rsid w:val="00DE1701"/>
    <w:rsid w:val="00DF1479"/>
    <w:rsid w:val="00DF35A2"/>
    <w:rsid w:val="00E022B0"/>
    <w:rsid w:val="00E027BA"/>
    <w:rsid w:val="00E04385"/>
    <w:rsid w:val="00E23743"/>
    <w:rsid w:val="00E43247"/>
    <w:rsid w:val="00E54437"/>
    <w:rsid w:val="00E54519"/>
    <w:rsid w:val="00E572C0"/>
    <w:rsid w:val="00E7034E"/>
    <w:rsid w:val="00E91D7E"/>
    <w:rsid w:val="00EA733D"/>
    <w:rsid w:val="00EC15E4"/>
    <w:rsid w:val="00ED1B48"/>
    <w:rsid w:val="00ED234F"/>
    <w:rsid w:val="00EE039E"/>
    <w:rsid w:val="00EE3012"/>
    <w:rsid w:val="00EF41ED"/>
    <w:rsid w:val="00EF53F6"/>
    <w:rsid w:val="00F0623B"/>
    <w:rsid w:val="00F066D1"/>
    <w:rsid w:val="00F11F37"/>
    <w:rsid w:val="00F16254"/>
    <w:rsid w:val="00F3158C"/>
    <w:rsid w:val="00F32734"/>
    <w:rsid w:val="00F40E8E"/>
    <w:rsid w:val="00F528EE"/>
    <w:rsid w:val="00F567B9"/>
    <w:rsid w:val="00F6257A"/>
    <w:rsid w:val="00F6682B"/>
    <w:rsid w:val="00F67B8A"/>
    <w:rsid w:val="00F71B4C"/>
    <w:rsid w:val="00F805F1"/>
    <w:rsid w:val="00F822FD"/>
    <w:rsid w:val="00F832DF"/>
    <w:rsid w:val="00F8390E"/>
    <w:rsid w:val="00F952D1"/>
    <w:rsid w:val="00F96DE9"/>
    <w:rsid w:val="00FA5FF5"/>
    <w:rsid w:val="00FC1870"/>
    <w:rsid w:val="00FC3E5F"/>
    <w:rsid w:val="00FD4F36"/>
    <w:rsid w:val="00FE2738"/>
    <w:rsid w:val="00FF0968"/>
    <w:rsid w:val="00FF2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D4DE8"/>
  <w15:chartTrackingRefBased/>
  <w15:docId w15:val="{63A8948A-0052-4651-BA8B-77EBE68EC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828"/>
  </w:style>
  <w:style w:type="paragraph" w:styleId="Heading1">
    <w:name w:val="heading 1"/>
    <w:basedOn w:val="Normal"/>
    <w:next w:val="Normal"/>
    <w:link w:val="Heading1Char"/>
    <w:uiPriority w:val="9"/>
    <w:qFormat/>
    <w:rsid w:val="005F13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13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13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13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13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13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3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3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3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3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13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13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13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13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1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34D"/>
    <w:rPr>
      <w:rFonts w:eastAsiaTheme="majorEastAsia" w:cstheme="majorBidi"/>
      <w:color w:val="272727" w:themeColor="text1" w:themeTint="D8"/>
    </w:rPr>
  </w:style>
  <w:style w:type="paragraph" w:styleId="Title">
    <w:name w:val="Title"/>
    <w:basedOn w:val="Normal"/>
    <w:next w:val="Normal"/>
    <w:link w:val="TitleChar"/>
    <w:uiPriority w:val="10"/>
    <w:qFormat/>
    <w:rsid w:val="005F13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3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3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3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34D"/>
    <w:pPr>
      <w:spacing w:before="160"/>
      <w:jc w:val="center"/>
    </w:pPr>
    <w:rPr>
      <w:i/>
      <w:iCs/>
      <w:color w:val="404040" w:themeColor="text1" w:themeTint="BF"/>
    </w:rPr>
  </w:style>
  <w:style w:type="character" w:customStyle="1" w:styleId="QuoteChar">
    <w:name w:val="Quote Char"/>
    <w:basedOn w:val="DefaultParagraphFont"/>
    <w:link w:val="Quote"/>
    <w:uiPriority w:val="29"/>
    <w:rsid w:val="005F134D"/>
    <w:rPr>
      <w:i/>
      <w:iCs/>
      <w:color w:val="404040" w:themeColor="text1" w:themeTint="BF"/>
    </w:rPr>
  </w:style>
  <w:style w:type="paragraph" w:styleId="ListParagraph">
    <w:name w:val="List Paragraph"/>
    <w:basedOn w:val="Normal"/>
    <w:uiPriority w:val="34"/>
    <w:qFormat/>
    <w:rsid w:val="005F134D"/>
    <w:pPr>
      <w:ind w:left="720"/>
      <w:contextualSpacing/>
    </w:pPr>
  </w:style>
  <w:style w:type="character" w:styleId="IntenseEmphasis">
    <w:name w:val="Intense Emphasis"/>
    <w:basedOn w:val="DefaultParagraphFont"/>
    <w:uiPriority w:val="21"/>
    <w:qFormat/>
    <w:rsid w:val="005F134D"/>
    <w:rPr>
      <w:i/>
      <w:iCs/>
      <w:color w:val="0F4761" w:themeColor="accent1" w:themeShade="BF"/>
    </w:rPr>
  </w:style>
  <w:style w:type="paragraph" w:styleId="IntenseQuote">
    <w:name w:val="Intense Quote"/>
    <w:basedOn w:val="Normal"/>
    <w:next w:val="Normal"/>
    <w:link w:val="IntenseQuoteChar"/>
    <w:uiPriority w:val="30"/>
    <w:qFormat/>
    <w:rsid w:val="005F13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34D"/>
    <w:rPr>
      <w:i/>
      <w:iCs/>
      <w:color w:val="0F4761" w:themeColor="accent1" w:themeShade="BF"/>
    </w:rPr>
  </w:style>
  <w:style w:type="character" w:styleId="IntenseReference">
    <w:name w:val="Intense Reference"/>
    <w:basedOn w:val="DefaultParagraphFont"/>
    <w:uiPriority w:val="32"/>
    <w:qFormat/>
    <w:rsid w:val="005F134D"/>
    <w:rPr>
      <w:b/>
      <w:bCs/>
      <w:smallCaps/>
      <w:color w:val="0F4761" w:themeColor="accent1" w:themeShade="BF"/>
      <w:spacing w:val="5"/>
    </w:rPr>
  </w:style>
  <w:style w:type="character" w:styleId="Hyperlink">
    <w:name w:val="Hyperlink"/>
    <w:basedOn w:val="DefaultParagraphFont"/>
    <w:uiPriority w:val="99"/>
    <w:unhideWhenUsed/>
    <w:rsid w:val="008A450B"/>
    <w:rPr>
      <w:color w:val="467886" w:themeColor="hyperlink"/>
      <w:u w:val="single"/>
    </w:rPr>
  </w:style>
  <w:style w:type="character" w:styleId="UnresolvedMention">
    <w:name w:val="Unresolved Mention"/>
    <w:basedOn w:val="DefaultParagraphFont"/>
    <w:uiPriority w:val="99"/>
    <w:semiHidden/>
    <w:unhideWhenUsed/>
    <w:rsid w:val="008A450B"/>
    <w:rPr>
      <w:color w:val="605E5C"/>
      <w:shd w:val="clear" w:color="auto" w:fill="E1DFDD"/>
    </w:rPr>
  </w:style>
  <w:style w:type="character" w:styleId="FollowedHyperlink">
    <w:name w:val="FollowedHyperlink"/>
    <w:basedOn w:val="DefaultParagraphFont"/>
    <w:uiPriority w:val="99"/>
    <w:semiHidden/>
    <w:unhideWhenUsed/>
    <w:rsid w:val="00F32734"/>
    <w:rPr>
      <w:color w:val="96607D" w:themeColor="followedHyperlink"/>
      <w:u w:val="single"/>
    </w:rPr>
  </w:style>
  <w:style w:type="paragraph" w:styleId="NormalWeb">
    <w:name w:val="Normal (Web)"/>
    <w:basedOn w:val="Normal"/>
    <w:uiPriority w:val="99"/>
    <w:unhideWhenUsed/>
    <w:rsid w:val="007476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4766B"/>
    <w:rPr>
      <w:b/>
      <w:bCs/>
    </w:rPr>
  </w:style>
  <w:style w:type="character" w:styleId="Emphasis">
    <w:name w:val="Emphasis"/>
    <w:basedOn w:val="DefaultParagraphFont"/>
    <w:uiPriority w:val="20"/>
    <w:qFormat/>
    <w:rsid w:val="0074766B"/>
    <w:rPr>
      <w:i/>
      <w:iCs/>
    </w:rPr>
  </w:style>
  <w:style w:type="paragraph" w:styleId="TOCHeading">
    <w:name w:val="TOC Heading"/>
    <w:basedOn w:val="Heading1"/>
    <w:next w:val="Normal"/>
    <w:uiPriority w:val="39"/>
    <w:unhideWhenUsed/>
    <w:qFormat/>
    <w:rsid w:val="00723AA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23AA5"/>
    <w:pPr>
      <w:spacing w:after="100"/>
    </w:pPr>
  </w:style>
  <w:style w:type="paragraph" w:styleId="Header">
    <w:name w:val="header"/>
    <w:basedOn w:val="Normal"/>
    <w:link w:val="HeaderChar"/>
    <w:uiPriority w:val="99"/>
    <w:unhideWhenUsed/>
    <w:rsid w:val="004710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0EB"/>
  </w:style>
  <w:style w:type="paragraph" w:styleId="Footer">
    <w:name w:val="footer"/>
    <w:basedOn w:val="Normal"/>
    <w:link w:val="FooterChar"/>
    <w:uiPriority w:val="99"/>
    <w:unhideWhenUsed/>
    <w:rsid w:val="004710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0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60518">
      <w:bodyDiv w:val="1"/>
      <w:marLeft w:val="0"/>
      <w:marRight w:val="0"/>
      <w:marTop w:val="0"/>
      <w:marBottom w:val="0"/>
      <w:divBdr>
        <w:top w:val="none" w:sz="0" w:space="0" w:color="auto"/>
        <w:left w:val="none" w:sz="0" w:space="0" w:color="auto"/>
        <w:bottom w:val="none" w:sz="0" w:space="0" w:color="auto"/>
        <w:right w:val="none" w:sz="0" w:space="0" w:color="auto"/>
      </w:divBdr>
    </w:div>
    <w:div w:id="78794622">
      <w:bodyDiv w:val="1"/>
      <w:marLeft w:val="0"/>
      <w:marRight w:val="0"/>
      <w:marTop w:val="0"/>
      <w:marBottom w:val="0"/>
      <w:divBdr>
        <w:top w:val="none" w:sz="0" w:space="0" w:color="auto"/>
        <w:left w:val="none" w:sz="0" w:space="0" w:color="auto"/>
        <w:bottom w:val="none" w:sz="0" w:space="0" w:color="auto"/>
        <w:right w:val="none" w:sz="0" w:space="0" w:color="auto"/>
      </w:divBdr>
    </w:div>
    <w:div w:id="298076012">
      <w:bodyDiv w:val="1"/>
      <w:marLeft w:val="0"/>
      <w:marRight w:val="0"/>
      <w:marTop w:val="0"/>
      <w:marBottom w:val="0"/>
      <w:divBdr>
        <w:top w:val="none" w:sz="0" w:space="0" w:color="auto"/>
        <w:left w:val="none" w:sz="0" w:space="0" w:color="auto"/>
        <w:bottom w:val="none" w:sz="0" w:space="0" w:color="auto"/>
        <w:right w:val="none" w:sz="0" w:space="0" w:color="auto"/>
      </w:divBdr>
      <w:divsChild>
        <w:div w:id="140924427">
          <w:marLeft w:val="0"/>
          <w:marRight w:val="0"/>
          <w:marTop w:val="0"/>
          <w:marBottom w:val="0"/>
          <w:divBdr>
            <w:top w:val="none" w:sz="0" w:space="0" w:color="auto"/>
            <w:left w:val="none" w:sz="0" w:space="0" w:color="auto"/>
            <w:bottom w:val="none" w:sz="0" w:space="0" w:color="auto"/>
            <w:right w:val="none" w:sz="0" w:space="0" w:color="auto"/>
          </w:divBdr>
        </w:div>
      </w:divsChild>
    </w:div>
    <w:div w:id="298727088">
      <w:bodyDiv w:val="1"/>
      <w:marLeft w:val="0"/>
      <w:marRight w:val="0"/>
      <w:marTop w:val="0"/>
      <w:marBottom w:val="0"/>
      <w:divBdr>
        <w:top w:val="none" w:sz="0" w:space="0" w:color="auto"/>
        <w:left w:val="none" w:sz="0" w:space="0" w:color="auto"/>
        <w:bottom w:val="none" w:sz="0" w:space="0" w:color="auto"/>
        <w:right w:val="none" w:sz="0" w:space="0" w:color="auto"/>
      </w:divBdr>
    </w:div>
    <w:div w:id="589196684">
      <w:bodyDiv w:val="1"/>
      <w:marLeft w:val="0"/>
      <w:marRight w:val="0"/>
      <w:marTop w:val="0"/>
      <w:marBottom w:val="0"/>
      <w:divBdr>
        <w:top w:val="none" w:sz="0" w:space="0" w:color="auto"/>
        <w:left w:val="none" w:sz="0" w:space="0" w:color="auto"/>
        <w:bottom w:val="none" w:sz="0" w:space="0" w:color="auto"/>
        <w:right w:val="none" w:sz="0" w:space="0" w:color="auto"/>
      </w:divBdr>
      <w:divsChild>
        <w:div w:id="926382833">
          <w:marLeft w:val="0"/>
          <w:marRight w:val="0"/>
          <w:marTop w:val="0"/>
          <w:marBottom w:val="0"/>
          <w:divBdr>
            <w:top w:val="none" w:sz="0" w:space="0" w:color="auto"/>
            <w:left w:val="none" w:sz="0" w:space="0" w:color="auto"/>
            <w:bottom w:val="none" w:sz="0" w:space="0" w:color="auto"/>
            <w:right w:val="none" w:sz="0" w:space="0" w:color="auto"/>
          </w:divBdr>
        </w:div>
      </w:divsChild>
    </w:div>
    <w:div w:id="635574504">
      <w:bodyDiv w:val="1"/>
      <w:marLeft w:val="0"/>
      <w:marRight w:val="0"/>
      <w:marTop w:val="0"/>
      <w:marBottom w:val="0"/>
      <w:divBdr>
        <w:top w:val="none" w:sz="0" w:space="0" w:color="auto"/>
        <w:left w:val="none" w:sz="0" w:space="0" w:color="auto"/>
        <w:bottom w:val="none" w:sz="0" w:space="0" w:color="auto"/>
        <w:right w:val="none" w:sz="0" w:space="0" w:color="auto"/>
      </w:divBdr>
      <w:divsChild>
        <w:div w:id="77410422">
          <w:marLeft w:val="0"/>
          <w:marRight w:val="0"/>
          <w:marTop w:val="0"/>
          <w:marBottom w:val="0"/>
          <w:divBdr>
            <w:top w:val="none" w:sz="0" w:space="0" w:color="auto"/>
            <w:left w:val="none" w:sz="0" w:space="0" w:color="auto"/>
            <w:bottom w:val="none" w:sz="0" w:space="0" w:color="auto"/>
            <w:right w:val="none" w:sz="0" w:space="0" w:color="auto"/>
          </w:divBdr>
        </w:div>
      </w:divsChild>
    </w:div>
    <w:div w:id="781194042">
      <w:bodyDiv w:val="1"/>
      <w:marLeft w:val="0"/>
      <w:marRight w:val="0"/>
      <w:marTop w:val="0"/>
      <w:marBottom w:val="0"/>
      <w:divBdr>
        <w:top w:val="none" w:sz="0" w:space="0" w:color="auto"/>
        <w:left w:val="none" w:sz="0" w:space="0" w:color="auto"/>
        <w:bottom w:val="none" w:sz="0" w:space="0" w:color="auto"/>
        <w:right w:val="none" w:sz="0" w:space="0" w:color="auto"/>
      </w:divBdr>
      <w:divsChild>
        <w:div w:id="17699912">
          <w:marLeft w:val="0"/>
          <w:marRight w:val="0"/>
          <w:marTop w:val="0"/>
          <w:marBottom w:val="0"/>
          <w:divBdr>
            <w:top w:val="none" w:sz="0" w:space="0" w:color="auto"/>
            <w:left w:val="none" w:sz="0" w:space="0" w:color="auto"/>
            <w:bottom w:val="none" w:sz="0" w:space="0" w:color="auto"/>
            <w:right w:val="none" w:sz="0" w:space="0" w:color="auto"/>
          </w:divBdr>
        </w:div>
      </w:divsChild>
    </w:div>
    <w:div w:id="927541905">
      <w:bodyDiv w:val="1"/>
      <w:marLeft w:val="0"/>
      <w:marRight w:val="0"/>
      <w:marTop w:val="0"/>
      <w:marBottom w:val="0"/>
      <w:divBdr>
        <w:top w:val="none" w:sz="0" w:space="0" w:color="auto"/>
        <w:left w:val="none" w:sz="0" w:space="0" w:color="auto"/>
        <w:bottom w:val="none" w:sz="0" w:space="0" w:color="auto"/>
        <w:right w:val="none" w:sz="0" w:space="0" w:color="auto"/>
      </w:divBdr>
    </w:div>
    <w:div w:id="941841549">
      <w:bodyDiv w:val="1"/>
      <w:marLeft w:val="0"/>
      <w:marRight w:val="0"/>
      <w:marTop w:val="0"/>
      <w:marBottom w:val="0"/>
      <w:divBdr>
        <w:top w:val="none" w:sz="0" w:space="0" w:color="auto"/>
        <w:left w:val="none" w:sz="0" w:space="0" w:color="auto"/>
        <w:bottom w:val="none" w:sz="0" w:space="0" w:color="auto"/>
        <w:right w:val="none" w:sz="0" w:space="0" w:color="auto"/>
      </w:divBdr>
      <w:divsChild>
        <w:div w:id="779185114">
          <w:marLeft w:val="0"/>
          <w:marRight w:val="0"/>
          <w:marTop w:val="0"/>
          <w:marBottom w:val="0"/>
          <w:divBdr>
            <w:top w:val="none" w:sz="0" w:space="0" w:color="auto"/>
            <w:left w:val="none" w:sz="0" w:space="0" w:color="auto"/>
            <w:bottom w:val="none" w:sz="0" w:space="0" w:color="auto"/>
            <w:right w:val="none" w:sz="0" w:space="0" w:color="auto"/>
          </w:divBdr>
        </w:div>
      </w:divsChild>
    </w:div>
    <w:div w:id="965505916">
      <w:bodyDiv w:val="1"/>
      <w:marLeft w:val="0"/>
      <w:marRight w:val="0"/>
      <w:marTop w:val="0"/>
      <w:marBottom w:val="0"/>
      <w:divBdr>
        <w:top w:val="none" w:sz="0" w:space="0" w:color="auto"/>
        <w:left w:val="none" w:sz="0" w:space="0" w:color="auto"/>
        <w:bottom w:val="none" w:sz="0" w:space="0" w:color="auto"/>
        <w:right w:val="none" w:sz="0" w:space="0" w:color="auto"/>
      </w:divBdr>
      <w:divsChild>
        <w:div w:id="574048526">
          <w:marLeft w:val="0"/>
          <w:marRight w:val="0"/>
          <w:marTop w:val="0"/>
          <w:marBottom w:val="0"/>
          <w:divBdr>
            <w:top w:val="none" w:sz="0" w:space="0" w:color="auto"/>
            <w:left w:val="none" w:sz="0" w:space="0" w:color="auto"/>
            <w:bottom w:val="none" w:sz="0" w:space="0" w:color="auto"/>
            <w:right w:val="none" w:sz="0" w:space="0" w:color="auto"/>
          </w:divBdr>
          <w:divsChild>
            <w:div w:id="1994139688">
              <w:marLeft w:val="0"/>
              <w:marRight w:val="0"/>
              <w:marTop w:val="0"/>
              <w:marBottom w:val="0"/>
              <w:divBdr>
                <w:top w:val="none" w:sz="0" w:space="0" w:color="auto"/>
                <w:left w:val="none" w:sz="0" w:space="0" w:color="auto"/>
                <w:bottom w:val="none" w:sz="0" w:space="0" w:color="auto"/>
                <w:right w:val="none" w:sz="0" w:space="0" w:color="auto"/>
              </w:divBdr>
              <w:divsChild>
                <w:div w:id="204598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044729">
      <w:bodyDiv w:val="1"/>
      <w:marLeft w:val="0"/>
      <w:marRight w:val="0"/>
      <w:marTop w:val="0"/>
      <w:marBottom w:val="0"/>
      <w:divBdr>
        <w:top w:val="none" w:sz="0" w:space="0" w:color="auto"/>
        <w:left w:val="none" w:sz="0" w:space="0" w:color="auto"/>
        <w:bottom w:val="none" w:sz="0" w:space="0" w:color="auto"/>
        <w:right w:val="none" w:sz="0" w:space="0" w:color="auto"/>
      </w:divBdr>
      <w:divsChild>
        <w:div w:id="1261723506">
          <w:marLeft w:val="0"/>
          <w:marRight w:val="0"/>
          <w:marTop w:val="0"/>
          <w:marBottom w:val="0"/>
          <w:divBdr>
            <w:top w:val="none" w:sz="0" w:space="0" w:color="auto"/>
            <w:left w:val="none" w:sz="0" w:space="0" w:color="auto"/>
            <w:bottom w:val="none" w:sz="0" w:space="0" w:color="auto"/>
            <w:right w:val="none" w:sz="0" w:space="0" w:color="auto"/>
          </w:divBdr>
        </w:div>
      </w:divsChild>
    </w:div>
    <w:div w:id="1055423318">
      <w:bodyDiv w:val="1"/>
      <w:marLeft w:val="0"/>
      <w:marRight w:val="0"/>
      <w:marTop w:val="0"/>
      <w:marBottom w:val="0"/>
      <w:divBdr>
        <w:top w:val="none" w:sz="0" w:space="0" w:color="auto"/>
        <w:left w:val="none" w:sz="0" w:space="0" w:color="auto"/>
        <w:bottom w:val="none" w:sz="0" w:space="0" w:color="auto"/>
        <w:right w:val="none" w:sz="0" w:space="0" w:color="auto"/>
      </w:divBdr>
      <w:divsChild>
        <w:div w:id="545802166">
          <w:marLeft w:val="0"/>
          <w:marRight w:val="0"/>
          <w:marTop w:val="0"/>
          <w:marBottom w:val="0"/>
          <w:divBdr>
            <w:top w:val="none" w:sz="0" w:space="0" w:color="auto"/>
            <w:left w:val="none" w:sz="0" w:space="0" w:color="auto"/>
            <w:bottom w:val="none" w:sz="0" w:space="0" w:color="auto"/>
            <w:right w:val="none" w:sz="0" w:space="0" w:color="auto"/>
          </w:divBdr>
        </w:div>
      </w:divsChild>
    </w:div>
    <w:div w:id="1099175459">
      <w:bodyDiv w:val="1"/>
      <w:marLeft w:val="0"/>
      <w:marRight w:val="0"/>
      <w:marTop w:val="0"/>
      <w:marBottom w:val="0"/>
      <w:divBdr>
        <w:top w:val="none" w:sz="0" w:space="0" w:color="auto"/>
        <w:left w:val="none" w:sz="0" w:space="0" w:color="auto"/>
        <w:bottom w:val="none" w:sz="0" w:space="0" w:color="auto"/>
        <w:right w:val="none" w:sz="0" w:space="0" w:color="auto"/>
      </w:divBdr>
    </w:div>
    <w:div w:id="1371302711">
      <w:bodyDiv w:val="1"/>
      <w:marLeft w:val="0"/>
      <w:marRight w:val="0"/>
      <w:marTop w:val="0"/>
      <w:marBottom w:val="0"/>
      <w:divBdr>
        <w:top w:val="none" w:sz="0" w:space="0" w:color="auto"/>
        <w:left w:val="none" w:sz="0" w:space="0" w:color="auto"/>
        <w:bottom w:val="none" w:sz="0" w:space="0" w:color="auto"/>
        <w:right w:val="none" w:sz="0" w:space="0" w:color="auto"/>
      </w:divBdr>
    </w:div>
    <w:div w:id="1411854961">
      <w:bodyDiv w:val="1"/>
      <w:marLeft w:val="0"/>
      <w:marRight w:val="0"/>
      <w:marTop w:val="0"/>
      <w:marBottom w:val="0"/>
      <w:divBdr>
        <w:top w:val="none" w:sz="0" w:space="0" w:color="auto"/>
        <w:left w:val="none" w:sz="0" w:space="0" w:color="auto"/>
        <w:bottom w:val="none" w:sz="0" w:space="0" w:color="auto"/>
        <w:right w:val="none" w:sz="0" w:space="0" w:color="auto"/>
      </w:divBdr>
    </w:div>
    <w:div w:id="1953589661">
      <w:bodyDiv w:val="1"/>
      <w:marLeft w:val="0"/>
      <w:marRight w:val="0"/>
      <w:marTop w:val="0"/>
      <w:marBottom w:val="0"/>
      <w:divBdr>
        <w:top w:val="none" w:sz="0" w:space="0" w:color="auto"/>
        <w:left w:val="none" w:sz="0" w:space="0" w:color="auto"/>
        <w:bottom w:val="none" w:sz="0" w:space="0" w:color="auto"/>
        <w:right w:val="none" w:sz="0" w:space="0" w:color="auto"/>
      </w:divBdr>
    </w:div>
    <w:div w:id="2111047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277266222300032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financeinstitute.com/resources/management/swot-analysi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sk.com/en-gb/responsibility/responsibility-report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womenintech.co.uk/a-look-into-how-gsk-provides-a-secure-and-comfortable-culture-in-the-workplace/" TargetMode="External"/><Relationship Id="rId4" Type="http://schemas.openxmlformats.org/officeDocument/2006/relationships/settings" Target="settings.xml"/><Relationship Id="rId9" Type="http://schemas.openxmlformats.org/officeDocument/2006/relationships/hyperlink" Target="https://www.researchgate.net/publication/369365635_Strategic_human_resource_planning_in_a_turbulent_business_environment_A_qualitative_analysis_the_case_study_of_Tesco_supermarket" TargetMode="External"/><Relationship Id="rId14" Type="http://schemas.openxmlformats.org/officeDocument/2006/relationships/hyperlink" Target="https://www.getsmartresume.com/article/gsk-future-leaders-progr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39196-BF53-4660-86BB-23FF37D7C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12</Pages>
  <Words>3382</Words>
  <Characters>19278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 Keanene</dc:creator>
  <cp:keywords/>
  <dc:description/>
  <cp:lastModifiedBy>Badru Keanene</cp:lastModifiedBy>
  <cp:revision>14</cp:revision>
  <dcterms:created xsi:type="dcterms:W3CDTF">2026-08-17T03:09:00Z</dcterms:created>
  <dcterms:modified xsi:type="dcterms:W3CDTF">2026-08-17T22:26:00Z</dcterms:modified>
</cp:coreProperties>
</file>