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EDC16" w14:textId="76CE7AD4" w:rsidR="009D423B" w:rsidRPr="006A0202" w:rsidRDefault="0057097C" w:rsidP="009D423B">
      <w:pPr>
        <w:pStyle w:val="BodyText2"/>
        <w:rPr>
          <w:rFonts w:ascii="Century Gothic" w:hAnsi="Century Gothic"/>
          <w:bCs/>
          <w:sz w:val="20"/>
        </w:rPr>
      </w:pPr>
      <w:r>
        <w:rPr>
          <w:rFonts w:ascii="Century Gothic" w:hAnsi="Century Gothic"/>
          <w:bCs/>
          <w:szCs w:val="22"/>
        </w:rPr>
        <w:t>CONTEXTUALISING</w:t>
      </w:r>
      <w:bookmarkStart w:id="0" w:name="_GoBack"/>
      <w:bookmarkEnd w:id="0"/>
      <w:r w:rsidR="009D423B" w:rsidRPr="006A0202">
        <w:rPr>
          <w:rFonts w:ascii="Century Gothic" w:hAnsi="Century Gothic"/>
          <w:bCs/>
          <w:szCs w:val="22"/>
        </w:rPr>
        <w:t xml:space="preserve"> DEINDUSTRIALISATION</w:t>
      </w:r>
      <w:r w:rsidR="009D423B" w:rsidRPr="006A0202">
        <w:rPr>
          <w:rFonts w:ascii="Century Gothic" w:hAnsi="Century Gothic"/>
          <w:bCs/>
          <w:sz w:val="20"/>
        </w:rPr>
        <w:t xml:space="preserve"> - </w:t>
      </w:r>
      <w:r w:rsidR="009D423B" w:rsidRPr="006A0202">
        <w:rPr>
          <w:rFonts w:ascii="Century Gothic" w:hAnsi="Century Gothic"/>
          <w:bCs/>
          <w:szCs w:val="22"/>
        </w:rPr>
        <w:t>MASCULINITY AND HISTORY</w:t>
      </w:r>
    </w:p>
    <w:p w14:paraId="79AE2323" w14:textId="77777777" w:rsidR="009D423B" w:rsidRPr="006A0202" w:rsidRDefault="009D423B" w:rsidP="00035F45">
      <w:pPr>
        <w:pStyle w:val="BodyText2"/>
        <w:ind w:left="720"/>
        <w:rPr>
          <w:rFonts w:ascii="Century Gothic" w:hAnsi="Century Gothic"/>
          <w:bCs/>
          <w:i/>
          <w:szCs w:val="22"/>
          <w:u w:val="single"/>
        </w:rPr>
      </w:pPr>
      <w:r w:rsidRPr="006A0202">
        <w:rPr>
          <w:rFonts w:ascii="Century Gothic" w:hAnsi="Century Gothic"/>
          <w:b/>
          <w:szCs w:val="22"/>
        </w:rPr>
        <w:t xml:space="preserve">      </w:t>
      </w:r>
      <w:r w:rsidR="006A0202">
        <w:rPr>
          <w:rFonts w:ascii="Century Gothic" w:hAnsi="Century Gothic"/>
          <w:b/>
          <w:szCs w:val="22"/>
        </w:rPr>
        <w:tab/>
      </w:r>
      <w:r w:rsidR="006A0202">
        <w:rPr>
          <w:rFonts w:ascii="Century Gothic" w:hAnsi="Century Gothic"/>
          <w:b/>
          <w:szCs w:val="22"/>
        </w:rPr>
        <w:tab/>
      </w:r>
      <w:r w:rsidR="006A0202">
        <w:rPr>
          <w:rFonts w:ascii="Century Gothic" w:hAnsi="Century Gothic"/>
          <w:b/>
          <w:szCs w:val="22"/>
        </w:rPr>
        <w:tab/>
      </w:r>
      <w:r w:rsidR="006A0202">
        <w:rPr>
          <w:rFonts w:ascii="Century Gothic" w:hAnsi="Century Gothic"/>
          <w:b/>
          <w:szCs w:val="22"/>
        </w:rPr>
        <w:tab/>
        <w:t xml:space="preserve">      </w:t>
      </w:r>
      <w:r w:rsidRPr="006A0202">
        <w:rPr>
          <w:rFonts w:ascii="Century Gothic" w:hAnsi="Century Gothic"/>
          <w:bCs/>
          <w:szCs w:val="22"/>
          <w:u w:val="single"/>
        </w:rPr>
        <w:t xml:space="preserve">Chris Meredith, </w:t>
      </w:r>
      <w:r w:rsidRPr="006A0202">
        <w:rPr>
          <w:rFonts w:ascii="Century Gothic" w:hAnsi="Century Gothic"/>
          <w:bCs/>
          <w:i/>
          <w:szCs w:val="22"/>
          <w:u w:val="single"/>
        </w:rPr>
        <w:t>Shifts</w:t>
      </w:r>
    </w:p>
    <w:p w14:paraId="2886EC2E" w14:textId="77777777" w:rsidR="006A0202" w:rsidRPr="006A0202" w:rsidRDefault="006A0202" w:rsidP="00614116">
      <w:pPr>
        <w:rPr>
          <w:rFonts w:ascii="Century Gothic" w:hAnsi="Century Gothic"/>
          <w:sz w:val="12"/>
          <w:szCs w:val="12"/>
        </w:rPr>
      </w:pPr>
    </w:p>
    <w:p w14:paraId="5B1F5AEE" w14:textId="77777777" w:rsidR="006A0202" w:rsidRDefault="006A0202" w:rsidP="00614116">
      <w:pPr>
        <w:rPr>
          <w:rFonts w:ascii="Century Gothic" w:hAnsi="Century Gothic"/>
          <w:sz w:val="22"/>
          <w:szCs w:val="22"/>
        </w:rPr>
      </w:pPr>
      <w:r>
        <w:rPr>
          <w:rFonts w:ascii="Century Gothic" w:hAnsi="Century Gothic"/>
          <w:sz w:val="22"/>
          <w:szCs w:val="22"/>
        </w:rPr>
        <w:t xml:space="preserve">- </w:t>
      </w:r>
      <w:r w:rsidRPr="006A0202">
        <w:rPr>
          <w:rFonts w:ascii="Century Gothic" w:hAnsi="Century Gothic"/>
          <w:sz w:val="22"/>
          <w:szCs w:val="22"/>
        </w:rPr>
        <w:t>What is it to be a ‘man’</w:t>
      </w:r>
      <w:r>
        <w:rPr>
          <w:rFonts w:ascii="Century Gothic" w:hAnsi="Century Gothic"/>
          <w:sz w:val="22"/>
          <w:szCs w:val="22"/>
        </w:rPr>
        <w:t>?</w:t>
      </w:r>
    </w:p>
    <w:p w14:paraId="5CF03B78" w14:textId="77777777" w:rsidR="006A0202" w:rsidRDefault="006A0202" w:rsidP="00614116">
      <w:pPr>
        <w:rPr>
          <w:rFonts w:ascii="Century Gothic" w:hAnsi="Century Gothic"/>
          <w:sz w:val="22"/>
          <w:szCs w:val="22"/>
        </w:rPr>
      </w:pPr>
      <w:r>
        <w:rPr>
          <w:rFonts w:ascii="Century Gothic" w:hAnsi="Century Gothic"/>
          <w:sz w:val="22"/>
          <w:szCs w:val="22"/>
        </w:rPr>
        <w:t xml:space="preserve">- </w:t>
      </w:r>
      <w:r w:rsidR="009D423B" w:rsidRPr="006A0202">
        <w:rPr>
          <w:rFonts w:ascii="Century Gothic" w:hAnsi="Century Gothic"/>
          <w:sz w:val="22"/>
          <w:szCs w:val="22"/>
        </w:rPr>
        <w:t xml:space="preserve">Background of </w:t>
      </w:r>
      <w:r w:rsidR="009D423B" w:rsidRPr="006A0202">
        <w:rPr>
          <w:rFonts w:ascii="Century Gothic" w:hAnsi="Century Gothic"/>
          <w:i/>
          <w:sz w:val="22"/>
          <w:szCs w:val="22"/>
        </w:rPr>
        <w:t>How Green</w:t>
      </w:r>
      <w:r w:rsidR="009D423B" w:rsidRPr="006A0202">
        <w:rPr>
          <w:rFonts w:ascii="Century Gothic" w:hAnsi="Century Gothic"/>
          <w:sz w:val="22"/>
          <w:szCs w:val="22"/>
        </w:rPr>
        <w:t xml:space="preserve"> on the one hand and industrial action on the other.</w:t>
      </w:r>
      <w:r>
        <w:rPr>
          <w:rFonts w:ascii="Century Gothic" w:hAnsi="Century Gothic"/>
          <w:sz w:val="22"/>
          <w:szCs w:val="22"/>
        </w:rPr>
        <w:t xml:space="preserve"> </w:t>
      </w:r>
    </w:p>
    <w:p w14:paraId="072650BA" w14:textId="77777777" w:rsidR="009D423B" w:rsidRPr="006A0202" w:rsidRDefault="006A0202" w:rsidP="00614116">
      <w:pPr>
        <w:rPr>
          <w:rFonts w:ascii="Century Gothic" w:hAnsi="Century Gothic"/>
          <w:sz w:val="22"/>
          <w:szCs w:val="22"/>
        </w:rPr>
      </w:pPr>
      <w:r>
        <w:rPr>
          <w:rFonts w:ascii="Century Gothic" w:hAnsi="Century Gothic"/>
          <w:sz w:val="22"/>
          <w:szCs w:val="22"/>
        </w:rPr>
        <w:t xml:space="preserve">- </w:t>
      </w:r>
      <w:r w:rsidR="009D423B" w:rsidRPr="006A0202">
        <w:rPr>
          <w:rFonts w:ascii="Century Gothic" w:hAnsi="Century Gothic"/>
          <w:sz w:val="22"/>
          <w:szCs w:val="22"/>
        </w:rPr>
        <w:t>Different versions/ different selves.</w:t>
      </w:r>
    </w:p>
    <w:p w14:paraId="63F392C9" w14:textId="77777777" w:rsidR="009D423B" w:rsidRPr="006A0202" w:rsidRDefault="006A0202" w:rsidP="00614116">
      <w:pPr>
        <w:rPr>
          <w:rFonts w:ascii="Century Gothic" w:hAnsi="Century Gothic"/>
          <w:sz w:val="22"/>
          <w:szCs w:val="22"/>
        </w:rPr>
      </w:pPr>
      <w:r>
        <w:rPr>
          <w:rFonts w:ascii="Century Gothic" w:hAnsi="Century Gothic"/>
          <w:sz w:val="22"/>
          <w:szCs w:val="22"/>
        </w:rPr>
        <w:t xml:space="preserve">- </w:t>
      </w:r>
      <w:r w:rsidR="009D423B" w:rsidRPr="006A0202">
        <w:rPr>
          <w:rFonts w:ascii="Century Gothic" w:hAnsi="Century Gothic"/>
          <w:sz w:val="22"/>
          <w:szCs w:val="22"/>
        </w:rPr>
        <w:t>The value – or otherwise of Grand Narratives</w:t>
      </w:r>
    </w:p>
    <w:p w14:paraId="12531119" w14:textId="77777777" w:rsidR="009D423B" w:rsidRPr="006A0202" w:rsidRDefault="009D423B" w:rsidP="00614116">
      <w:pPr>
        <w:rPr>
          <w:rFonts w:ascii="Century Gothic" w:hAnsi="Century Gothic"/>
          <w:sz w:val="12"/>
          <w:szCs w:val="12"/>
        </w:rPr>
      </w:pPr>
    </w:p>
    <w:p w14:paraId="17C3AB06" w14:textId="77777777" w:rsidR="00614116" w:rsidRPr="006A0202" w:rsidRDefault="00614116" w:rsidP="00614116">
      <w:pPr>
        <w:rPr>
          <w:rFonts w:ascii="Century Gothic" w:hAnsi="Century Gothic"/>
        </w:rPr>
      </w:pPr>
      <w:r w:rsidRPr="006A0202">
        <w:rPr>
          <w:rFonts w:ascii="Century Gothic" w:hAnsi="Century Gothic"/>
        </w:rPr>
        <w:t>A. CULTURE</w:t>
      </w:r>
    </w:p>
    <w:p w14:paraId="4884CED6" w14:textId="77777777" w:rsidR="00614116" w:rsidRPr="006A0202" w:rsidRDefault="00614116" w:rsidP="00614116">
      <w:pPr>
        <w:numPr>
          <w:ilvl w:val="0"/>
          <w:numId w:val="4"/>
        </w:numPr>
        <w:rPr>
          <w:rFonts w:ascii="Century Gothic" w:hAnsi="Century Gothic"/>
          <w:sz w:val="20"/>
        </w:rPr>
      </w:pPr>
      <w:r w:rsidRPr="006A0202">
        <w:rPr>
          <w:rFonts w:ascii="Century Gothic" w:hAnsi="Century Gothic"/>
          <w:sz w:val="20"/>
        </w:rPr>
        <w:t xml:space="preserve">If, deliberately or not, we totalise all the constituents of English Literature, and if, as both traditional literary history and post-structuralist criticism have done all too often, we ignore matters of origin, then we perform an act of naïve cultural imperialism, acting as if books grew not out of particular conditions in Nottingham, Dublin, St Lucia, or Salem, Massachusetts, but out of the bland uniformity of airport departure lounges. </w:t>
      </w:r>
      <w:r w:rsidRPr="006A0202">
        <w:rPr>
          <w:rFonts w:ascii="Century Gothic" w:hAnsi="Century Gothic"/>
          <w:sz w:val="20"/>
          <w:u w:val="single"/>
        </w:rPr>
        <w:t>The act of inscription is not a simple entry into the delocalized, pure medium of language;</w:t>
      </w:r>
      <w:r w:rsidRPr="006A0202">
        <w:rPr>
          <w:rFonts w:ascii="Century Gothic" w:hAnsi="Century Gothic"/>
          <w:sz w:val="20"/>
        </w:rPr>
        <w:t xml:space="preserve"> </w:t>
      </w:r>
      <w:r w:rsidRPr="006A0202">
        <w:rPr>
          <w:rFonts w:ascii="Century Gothic" w:hAnsi="Century Gothic"/>
          <w:sz w:val="20"/>
          <w:u w:val="single"/>
        </w:rPr>
        <w:t>it is constantly, often deliberately, an act which speaks of its local origins, of points of departure never fully left behind</w:t>
      </w:r>
    </w:p>
    <w:p w14:paraId="29FFB06D" w14:textId="77777777" w:rsidR="00614116" w:rsidRPr="006A0202" w:rsidRDefault="00614116" w:rsidP="00614116">
      <w:pPr>
        <w:numPr>
          <w:ilvl w:val="1"/>
          <w:numId w:val="4"/>
        </w:numPr>
        <w:rPr>
          <w:rFonts w:ascii="Century Gothic" w:hAnsi="Century Gothic"/>
          <w:sz w:val="18"/>
          <w:szCs w:val="18"/>
        </w:rPr>
      </w:pPr>
      <w:r w:rsidRPr="006A0202">
        <w:rPr>
          <w:rFonts w:ascii="Century Gothic" w:hAnsi="Century Gothic"/>
          <w:sz w:val="18"/>
          <w:szCs w:val="18"/>
        </w:rPr>
        <w:t xml:space="preserve">Robert Crawford, </w:t>
      </w:r>
      <w:r w:rsidRPr="006A0202">
        <w:rPr>
          <w:rFonts w:ascii="Century Gothic" w:hAnsi="Century Gothic"/>
          <w:i/>
          <w:sz w:val="18"/>
          <w:szCs w:val="18"/>
        </w:rPr>
        <w:t>Devolving English Literature</w:t>
      </w:r>
      <w:r w:rsidRPr="006A0202">
        <w:rPr>
          <w:rFonts w:ascii="Century Gothic" w:hAnsi="Century Gothic"/>
          <w:sz w:val="18"/>
          <w:szCs w:val="18"/>
        </w:rPr>
        <w:t xml:space="preserve">, Oxford, Clarendon Press, 1992, p.7 </w:t>
      </w:r>
    </w:p>
    <w:p w14:paraId="5120006A" w14:textId="77777777" w:rsidR="00614116" w:rsidRPr="006A0202" w:rsidRDefault="00614116" w:rsidP="00614116">
      <w:pPr>
        <w:ind w:left="360"/>
        <w:rPr>
          <w:rFonts w:ascii="Century Gothic" w:hAnsi="Century Gothic"/>
          <w:sz w:val="12"/>
          <w:szCs w:val="12"/>
        </w:rPr>
      </w:pPr>
    </w:p>
    <w:p w14:paraId="53BCD2E6" w14:textId="77777777" w:rsidR="00614116" w:rsidRPr="006A0202" w:rsidRDefault="00614116" w:rsidP="00614116">
      <w:pPr>
        <w:numPr>
          <w:ilvl w:val="0"/>
          <w:numId w:val="4"/>
        </w:numPr>
        <w:rPr>
          <w:rFonts w:ascii="Century Gothic" w:hAnsi="Century Gothic"/>
          <w:sz w:val="22"/>
          <w:szCs w:val="22"/>
        </w:rPr>
      </w:pPr>
      <w:r w:rsidRPr="006A0202">
        <w:rPr>
          <w:rFonts w:ascii="Century Gothic" w:hAnsi="Century Gothic"/>
          <w:sz w:val="20"/>
        </w:rPr>
        <w:t xml:space="preserve">It’s how and where most people in Wales are living, and in relation to which most meanings and values are in practice found. </w:t>
      </w:r>
      <w:r w:rsidRPr="006A0202">
        <w:rPr>
          <w:rFonts w:ascii="Century Gothic" w:hAnsi="Century Gothic"/>
          <w:sz w:val="20"/>
          <w:u w:val="single"/>
        </w:rPr>
        <w:t xml:space="preserve">Depopulation, unemployment, exploitation, </w:t>
      </w:r>
      <w:proofErr w:type="gramStart"/>
      <w:r w:rsidRPr="006A0202">
        <w:rPr>
          <w:rFonts w:ascii="Century Gothic" w:hAnsi="Century Gothic"/>
          <w:sz w:val="20"/>
          <w:u w:val="single"/>
        </w:rPr>
        <w:t>poverty :</w:t>
      </w:r>
      <w:proofErr w:type="gramEnd"/>
      <w:r w:rsidRPr="006A0202">
        <w:rPr>
          <w:rFonts w:ascii="Century Gothic" w:hAnsi="Century Gothic"/>
          <w:sz w:val="20"/>
          <w:u w:val="single"/>
        </w:rPr>
        <w:t xml:space="preserve"> If these are not part of Welsh culture we are denying large parts of our experience</w:t>
      </w:r>
      <w:r w:rsidRPr="006A0202">
        <w:rPr>
          <w:rFonts w:ascii="Century Gothic" w:hAnsi="Century Gothic"/>
          <w:sz w:val="22"/>
          <w:szCs w:val="22"/>
        </w:rPr>
        <w:t xml:space="preserve">. </w:t>
      </w:r>
    </w:p>
    <w:p w14:paraId="0DF3AD15" w14:textId="77777777" w:rsidR="00614116" w:rsidRPr="006A0202" w:rsidRDefault="00614116" w:rsidP="00614116">
      <w:pPr>
        <w:numPr>
          <w:ilvl w:val="1"/>
          <w:numId w:val="4"/>
        </w:numPr>
        <w:rPr>
          <w:rFonts w:ascii="Century Gothic" w:hAnsi="Century Gothic"/>
          <w:sz w:val="18"/>
          <w:szCs w:val="18"/>
        </w:rPr>
      </w:pPr>
      <w:r w:rsidRPr="006A0202">
        <w:rPr>
          <w:rFonts w:ascii="Century Gothic" w:hAnsi="Century Gothic"/>
          <w:sz w:val="18"/>
          <w:szCs w:val="18"/>
        </w:rPr>
        <w:t xml:space="preserve">Raymond Williams </w:t>
      </w:r>
      <w:r w:rsidRPr="006A0202">
        <w:rPr>
          <w:rFonts w:ascii="Century Gothic" w:hAnsi="Century Gothic"/>
          <w:i/>
          <w:sz w:val="18"/>
          <w:szCs w:val="18"/>
        </w:rPr>
        <w:t>Who speaks for Wales?</w:t>
      </w:r>
      <w:r w:rsidRPr="006A0202">
        <w:rPr>
          <w:rFonts w:ascii="Century Gothic" w:hAnsi="Century Gothic"/>
          <w:sz w:val="18"/>
          <w:szCs w:val="18"/>
        </w:rPr>
        <w:t xml:space="preserve"> ed Daniel Williams. Cardiff: University of Wales press.2003, p5.</w:t>
      </w:r>
    </w:p>
    <w:p w14:paraId="5843A4D7" w14:textId="77777777" w:rsidR="00614116" w:rsidRPr="00FA722D" w:rsidRDefault="00614116" w:rsidP="00614116">
      <w:pPr>
        <w:rPr>
          <w:rFonts w:ascii="Century Gothic" w:hAnsi="Century Gothic"/>
          <w:sz w:val="12"/>
          <w:szCs w:val="22"/>
        </w:rPr>
      </w:pPr>
    </w:p>
    <w:p w14:paraId="3617BE5F" w14:textId="77777777" w:rsidR="00614116" w:rsidRPr="006A0202" w:rsidRDefault="00614116" w:rsidP="00614116">
      <w:pPr>
        <w:numPr>
          <w:ilvl w:val="0"/>
          <w:numId w:val="4"/>
        </w:numPr>
        <w:rPr>
          <w:rFonts w:ascii="Century Gothic" w:hAnsi="Century Gothic"/>
          <w:color w:val="000000"/>
          <w:sz w:val="20"/>
        </w:rPr>
      </w:pPr>
      <w:r w:rsidRPr="006A0202">
        <w:rPr>
          <w:rFonts w:ascii="Century Gothic" w:hAnsi="Century Gothic"/>
          <w:color w:val="000000"/>
          <w:sz w:val="20"/>
        </w:rPr>
        <w:t xml:space="preserve"> [Mikhail Bakhtin’s work] allows us to conceive of identity in terms of an ongoing (and by nature, fluid) dialogue, rather than in terms of a fixed and unchanging monologue</w:t>
      </w:r>
      <w:r w:rsidR="00035F45" w:rsidRPr="006A0202">
        <w:rPr>
          <w:rFonts w:ascii="Century Gothic" w:hAnsi="Century Gothic"/>
          <w:color w:val="000000"/>
          <w:sz w:val="20"/>
        </w:rPr>
        <w:endnoteReference w:customMarkFollows="1" w:id="1"/>
        <w:t xml:space="preserve">. </w:t>
      </w:r>
    </w:p>
    <w:p w14:paraId="47EF1C6D" w14:textId="77777777" w:rsidR="00614116" w:rsidRPr="006A0202" w:rsidRDefault="00614116" w:rsidP="00614116">
      <w:pPr>
        <w:ind w:left="720"/>
        <w:rPr>
          <w:rFonts w:ascii="Century Gothic" w:hAnsi="Century Gothic"/>
          <w:sz w:val="18"/>
          <w:szCs w:val="18"/>
        </w:rPr>
      </w:pPr>
      <w:r w:rsidRPr="006A0202">
        <w:rPr>
          <w:rFonts w:ascii="Century Gothic" w:hAnsi="Century Gothic"/>
          <w:color w:val="000000"/>
          <w:sz w:val="18"/>
          <w:szCs w:val="18"/>
        </w:rPr>
        <w:t xml:space="preserve">- Robert Crawford Quoted in M Wynn Thomas, </w:t>
      </w:r>
      <w:r w:rsidRPr="006A0202">
        <w:rPr>
          <w:rFonts w:ascii="Century Gothic" w:hAnsi="Century Gothic"/>
          <w:i/>
          <w:iCs/>
          <w:color w:val="000000"/>
          <w:sz w:val="18"/>
          <w:szCs w:val="18"/>
        </w:rPr>
        <w:t xml:space="preserve">Corresponding Cultures: the Two Literatures of Wales, </w:t>
      </w:r>
      <w:r w:rsidRPr="006A0202">
        <w:rPr>
          <w:rFonts w:ascii="Century Gothic" w:hAnsi="Century Gothic"/>
          <w:color w:val="000000"/>
          <w:sz w:val="18"/>
          <w:szCs w:val="18"/>
        </w:rPr>
        <w:t>(Cardiff: University of Wales Press, 1999), p.3</w:t>
      </w:r>
    </w:p>
    <w:p w14:paraId="3B225A3D" w14:textId="77777777" w:rsidR="00614116" w:rsidRPr="006A0202" w:rsidRDefault="00614116" w:rsidP="00614116">
      <w:pPr>
        <w:rPr>
          <w:rFonts w:ascii="Century Gothic" w:hAnsi="Century Gothic"/>
          <w:b/>
          <w:sz w:val="12"/>
          <w:szCs w:val="12"/>
        </w:rPr>
      </w:pPr>
    </w:p>
    <w:p w14:paraId="2FECAB6E" w14:textId="77777777" w:rsidR="00614116" w:rsidRPr="006A0202" w:rsidRDefault="00614116" w:rsidP="00614116">
      <w:pPr>
        <w:rPr>
          <w:rFonts w:ascii="Century Gothic" w:hAnsi="Century Gothic"/>
          <w:bCs/>
          <w:sz w:val="22"/>
          <w:szCs w:val="22"/>
        </w:rPr>
      </w:pPr>
      <w:r w:rsidRPr="006A0202">
        <w:rPr>
          <w:rFonts w:ascii="Century Gothic" w:hAnsi="Century Gothic"/>
          <w:bCs/>
          <w:sz w:val="22"/>
          <w:szCs w:val="22"/>
        </w:rPr>
        <w:t xml:space="preserve">B. HISTORY </w:t>
      </w:r>
    </w:p>
    <w:p w14:paraId="25796990" w14:textId="77777777" w:rsidR="00614116" w:rsidRPr="006A0202" w:rsidRDefault="009D423B" w:rsidP="00035F45">
      <w:pPr>
        <w:ind w:left="720" w:hanging="720"/>
        <w:rPr>
          <w:rFonts w:ascii="Century Gothic" w:hAnsi="Century Gothic" w:cs="Arial"/>
          <w:bCs/>
          <w:sz w:val="22"/>
          <w:szCs w:val="22"/>
        </w:rPr>
      </w:pPr>
      <w:r w:rsidRPr="006A0202">
        <w:rPr>
          <w:rFonts w:ascii="Century Gothic" w:hAnsi="Century Gothic" w:cs="Arial"/>
          <w:bCs/>
          <w:sz w:val="20"/>
        </w:rPr>
        <w:t xml:space="preserve">V </w:t>
      </w:r>
      <w:r w:rsidR="00035F45" w:rsidRPr="006A0202">
        <w:rPr>
          <w:rFonts w:ascii="Century Gothic" w:hAnsi="Century Gothic" w:cs="Arial"/>
          <w:bCs/>
          <w:sz w:val="20"/>
        </w:rPr>
        <w:tab/>
      </w:r>
      <w:r w:rsidRPr="006A0202">
        <w:rPr>
          <w:rFonts w:ascii="Century Gothic" w:hAnsi="Century Gothic" w:cs="Arial"/>
          <w:bCs/>
          <w:sz w:val="20"/>
        </w:rPr>
        <w:t xml:space="preserve">The true picture of the past flits by. The past can be seized only as an image which flashes up at the instant when it can be recognized and is never seen again. ‘The truth will not run away from us’: in the historical outlook of historicism these words of Gottfried Keller mark the exact point where historical materialism cuts through historicism. </w:t>
      </w:r>
      <w:r w:rsidRPr="006A0202">
        <w:rPr>
          <w:rFonts w:ascii="Century Gothic" w:hAnsi="Century Gothic" w:cs="Arial"/>
          <w:bCs/>
          <w:sz w:val="20"/>
          <w:u w:val="single"/>
        </w:rPr>
        <w:t>For every image of the past that is not recognized by the present as one of its own concerns threatens to disappear irretrievably</w:t>
      </w:r>
      <w:r w:rsidRPr="006A0202">
        <w:rPr>
          <w:rFonts w:ascii="Century Gothic" w:hAnsi="Century Gothic" w:cs="Arial"/>
          <w:bCs/>
          <w:sz w:val="20"/>
        </w:rPr>
        <w:t>. (The good tidings which the historian of the past brings with throbbing heart may be lost in a void the very moment he opens his mouth.)</w:t>
      </w:r>
    </w:p>
    <w:p w14:paraId="3DD3818B" w14:textId="77777777" w:rsidR="009D423B" w:rsidRPr="006A0202" w:rsidRDefault="009D423B" w:rsidP="00035F45">
      <w:pPr>
        <w:rPr>
          <w:rFonts w:ascii="Century Gothic" w:hAnsi="Century Gothic" w:cs="Arial"/>
          <w:bCs/>
          <w:sz w:val="20"/>
        </w:rPr>
      </w:pPr>
      <w:r w:rsidRPr="006A0202">
        <w:rPr>
          <w:rFonts w:ascii="Century Gothic" w:hAnsi="Century Gothic" w:cs="Arial"/>
          <w:bCs/>
          <w:sz w:val="20"/>
        </w:rPr>
        <w:t xml:space="preserve">VI </w:t>
      </w:r>
    </w:p>
    <w:p w14:paraId="761D8F3A" w14:textId="77777777" w:rsidR="00614116" w:rsidRPr="006A0202" w:rsidRDefault="009D423B" w:rsidP="009D423B">
      <w:pPr>
        <w:ind w:left="720"/>
        <w:rPr>
          <w:rFonts w:ascii="Century Gothic" w:hAnsi="Century Gothic" w:cs="Arial"/>
          <w:bCs/>
          <w:sz w:val="20"/>
        </w:rPr>
      </w:pPr>
      <w:r w:rsidRPr="006A0202">
        <w:rPr>
          <w:rFonts w:ascii="Century Gothic" w:hAnsi="Century Gothic" w:cs="Arial"/>
          <w:bCs/>
          <w:sz w:val="20"/>
        </w:rPr>
        <w:t>To articulate the past historically does not mean to recognize it ‘the way it really was’ (Ranke). It means to seize hold of a memory as it flashes up at a moment of danger. Historical materialism wishes to retain that image of the past which unexpectedly appears to man singled out by history at a moment of danger</w:t>
      </w:r>
      <w:r w:rsidRPr="006A0202">
        <w:rPr>
          <w:rFonts w:ascii="Century Gothic" w:hAnsi="Century Gothic" w:cs="Arial"/>
          <w:bCs/>
          <w:sz w:val="20"/>
          <w:u w:val="single"/>
        </w:rPr>
        <w:t>. The danger affects both the content of the tradition and its receivers. The same threat hangs over both: that of becoming a tool of the ruling classes. In every era the attempt must be made anew to wrest tradition away from a conformism that is about to overpower it</w:t>
      </w:r>
      <w:r w:rsidRPr="006A0202">
        <w:rPr>
          <w:rFonts w:ascii="Century Gothic" w:hAnsi="Century Gothic" w:cs="Arial"/>
          <w:bCs/>
          <w:sz w:val="20"/>
        </w:rPr>
        <w:t xml:space="preserve">. The Messiah comes not only as the redeemer, he comes as the </w:t>
      </w:r>
      <w:proofErr w:type="spellStart"/>
      <w:r w:rsidRPr="006A0202">
        <w:rPr>
          <w:rFonts w:ascii="Century Gothic" w:hAnsi="Century Gothic" w:cs="Arial"/>
          <w:bCs/>
          <w:sz w:val="20"/>
        </w:rPr>
        <w:t>subduer</w:t>
      </w:r>
      <w:proofErr w:type="spellEnd"/>
      <w:r w:rsidRPr="006A0202">
        <w:rPr>
          <w:rFonts w:ascii="Century Gothic" w:hAnsi="Century Gothic" w:cs="Arial"/>
          <w:bCs/>
          <w:sz w:val="20"/>
        </w:rPr>
        <w:t xml:space="preserve"> of Antichrist. Only that historian will have the gift of fanning the spark of hope in the past who is firmly convinced that </w:t>
      </w:r>
      <w:r w:rsidRPr="006A0202">
        <w:rPr>
          <w:rFonts w:ascii="Century Gothic" w:hAnsi="Century Gothic" w:cs="Arial"/>
          <w:bCs/>
          <w:i/>
          <w:iCs/>
          <w:sz w:val="20"/>
        </w:rPr>
        <w:t>even the dead</w:t>
      </w:r>
      <w:r w:rsidRPr="006A0202">
        <w:rPr>
          <w:rFonts w:ascii="Century Gothic" w:hAnsi="Century Gothic" w:cs="Arial"/>
          <w:bCs/>
          <w:sz w:val="20"/>
        </w:rPr>
        <w:t xml:space="preserve"> will not be safe from the enemy if he wins. And this enemy has not ceased to be victorious</w:t>
      </w:r>
    </w:p>
    <w:p w14:paraId="670CAD30" w14:textId="77777777" w:rsidR="009D423B" w:rsidRPr="006A0202" w:rsidRDefault="009D423B" w:rsidP="009D423B">
      <w:pPr>
        <w:numPr>
          <w:ilvl w:val="0"/>
          <w:numId w:val="6"/>
        </w:numPr>
        <w:rPr>
          <w:rFonts w:ascii="Century Gothic" w:hAnsi="Century Gothic" w:cs="Arial"/>
          <w:bCs/>
          <w:i/>
          <w:sz w:val="18"/>
          <w:szCs w:val="18"/>
        </w:rPr>
      </w:pPr>
      <w:r w:rsidRPr="006A0202">
        <w:rPr>
          <w:rFonts w:ascii="Century Gothic" w:hAnsi="Century Gothic" w:cs="Arial"/>
          <w:bCs/>
          <w:sz w:val="18"/>
          <w:szCs w:val="18"/>
        </w:rPr>
        <w:t xml:space="preserve">Walter Benjamin, </w:t>
      </w:r>
      <w:r w:rsidRPr="006A0202">
        <w:rPr>
          <w:rFonts w:ascii="Century Gothic" w:hAnsi="Century Gothic" w:cs="Arial"/>
          <w:bCs/>
          <w:i/>
          <w:sz w:val="18"/>
          <w:szCs w:val="18"/>
        </w:rPr>
        <w:t>Theses on the Philosophy of History</w:t>
      </w:r>
    </w:p>
    <w:p w14:paraId="6C5CF3DC" w14:textId="77777777" w:rsidR="00614116" w:rsidRDefault="009D423B" w:rsidP="006A0202">
      <w:pPr>
        <w:ind w:left="720"/>
        <w:rPr>
          <w:rFonts w:ascii="Century Gothic" w:hAnsi="Century Gothic" w:cs="Arial"/>
          <w:bCs/>
          <w:sz w:val="18"/>
          <w:szCs w:val="18"/>
        </w:rPr>
      </w:pPr>
      <w:r w:rsidRPr="006A0202">
        <w:rPr>
          <w:rFonts w:ascii="Century Gothic" w:hAnsi="Century Gothic" w:cs="Arial"/>
          <w:bCs/>
          <w:sz w:val="18"/>
          <w:szCs w:val="18"/>
        </w:rPr>
        <w:t>(</w:t>
      </w:r>
      <w:hyperlink r:id="rId7" w:history="1">
        <w:r w:rsidRPr="006A0202">
          <w:rPr>
            <w:rStyle w:val="Hyperlink"/>
            <w:rFonts w:ascii="Century Gothic" w:hAnsi="Century Gothic" w:cs="Arial"/>
            <w:bCs/>
            <w:sz w:val="18"/>
            <w:szCs w:val="18"/>
          </w:rPr>
          <w:t>www.leedstrinity.ac.uk/depart/media/staff/ls/WBenjamin/CONCEPT2.html</w:t>
        </w:r>
      </w:hyperlink>
      <w:r w:rsidRPr="006A0202">
        <w:rPr>
          <w:rFonts w:ascii="Century Gothic" w:hAnsi="Century Gothic" w:cs="Arial"/>
          <w:bCs/>
          <w:sz w:val="18"/>
          <w:szCs w:val="18"/>
        </w:rPr>
        <w:t xml:space="preserve"> </w:t>
      </w:r>
    </w:p>
    <w:p w14:paraId="45042E91" w14:textId="77777777" w:rsidR="006A0202" w:rsidRPr="006A0202" w:rsidRDefault="006A0202" w:rsidP="006A0202">
      <w:pPr>
        <w:ind w:left="720"/>
        <w:rPr>
          <w:rFonts w:ascii="Garamond" w:hAnsi="Garamond"/>
          <w:sz w:val="12"/>
          <w:szCs w:val="12"/>
        </w:rPr>
      </w:pPr>
    </w:p>
    <w:p w14:paraId="4C7B3D07" w14:textId="77777777" w:rsidR="00614116" w:rsidRPr="006A0202" w:rsidRDefault="00614116">
      <w:pPr>
        <w:rPr>
          <w:rFonts w:ascii="Century Gothic" w:hAnsi="Century Gothic"/>
          <w:bCs/>
          <w:sz w:val="22"/>
          <w:szCs w:val="22"/>
        </w:rPr>
      </w:pPr>
      <w:r w:rsidRPr="006A0202">
        <w:rPr>
          <w:rFonts w:ascii="Century Gothic" w:hAnsi="Century Gothic"/>
          <w:bCs/>
          <w:sz w:val="22"/>
          <w:szCs w:val="22"/>
        </w:rPr>
        <w:t xml:space="preserve">C. GENDER </w:t>
      </w:r>
    </w:p>
    <w:p w14:paraId="2EE112E8" w14:textId="77777777" w:rsidR="00FA722D" w:rsidRPr="00FA722D" w:rsidRDefault="00FA722D" w:rsidP="006A0202">
      <w:pPr>
        <w:ind w:left="720"/>
        <w:rPr>
          <w:rFonts w:ascii="Century Gothic" w:hAnsi="Century Gothic"/>
          <w:sz w:val="12"/>
          <w:szCs w:val="12"/>
        </w:rPr>
      </w:pPr>
    </w:p>
    <w:p w14:paraId="0B9F0E33" w14:textId="77777777" w:rsidR="005B7100" w:rsidRPr="006A0202" w:rsidRDefault="00614116" w:rsidP="006A0202">
      <w:pPr>
        <w:ind w:left="720"/>
        <w:rPr>
          <w:rFonts w:ascii="Century Gothic" w:hAnsi="Century Gothic"/>
          <w:sz w:val="20"/>
        </w:rPr>
      </w:pPr>
      <w:r w:rsidRPr="006A0202">
        <w:rPr>
          <w:rFonts w:ascii="Century Gothic" w:hAnsi="Century Gothic"/>
          <w:sz w:val="20"/>
        </w:rPr>
        <w:lastRenderedPageBreak/>
        <w:t>[t]he public sphere belonged to men: it was the sphere of business and money-making, of politics and empire building, of industry and struggle.  The private sphere, on the other hand, was considered to be a feminine preserve: it was the space of the home and the hearth, of sympathy and nurture, of simple piety and childrearing.</w:t>
      </w:r>
      <w:r w:rsidR="006A0202">
        <w:rPr>
          <w:rFonts w:ascii="Century Gothic" w:hAnsi="Century Gothic"/>
          <w:sz w:val="20"/>
        </w:rPr>
        <w:t xml:space="preserve"> (</w:t>
      </w:r>
      <w:r w:rsidRPr="006A0202">
        <w:rPr>
          <w:rFonts w:ascii="Century Gothic" w:hAnsi="Century Gothic"/>
          <w:sz w:val="20"/>
        </w:rPr>
        <w:t xml:space="preserve">Emily Allen and Dino </w:t>
      </w:r>
      <w:proofErr w:type="spellStart"/>
      <w:r w:rsidRPr="006A0202">
        <w:rPr>
          <w:rFonts w:ascii="Century Gothic" w:hAnsi="Century Gothic"/>
          <w:sz w:val="20"/>
        </w:rPr>
        <w:t>Felluga</w:t>
      </w:r>
      <w:proofErr w:type="spellEnd"/>
      <w:r w:rsidR="006A0202">
        <w:rPr>
          <w:rFonts w:ascii="Century Gothic" w:hAnsi="Century Gothic"/>
          <w:sz w:val="20"/>
        </w:rPr>
        <w:t>)</w:t>
      </w:r>
    </w:p>
    <w:p w14:paraId="6FF06BAD" w14:textId="77777777" w:rsidR="009D423B" w:rsidRPr="006A0202" w:rsidRDefault="009D423B" w:rsidP="009D423B">
      <w:pPr>
        <w:ind w:left="720"/>
        <w:rPr>
          <w:rFonts w:ascii="Garamond" w:hAnsi="Garamond"/>
          <w:sz w:val="12"/>
          <w:szCs w:val="12"/>
        </w:rPr>
      </w:pPr>
    </w:p>
    <w:p w14:paraId="755FD20B" w14:textId="77777777" w:rsidR="006729B9" w:rsidRPr="006A0202" w:rsidRDefault="006729B9" w:rsidP="00FA722D">
      <w:pPr>
        <w:rPr>
          <w:rFonts w:ascii="Century Gothic" w:hAnsi="Century Gothic"/>
          <w:bCs/>
          <w:sz w:val="22"/>
          <w:szCs w:val="22"/>
        </w:rPr>
      </w:pPr>
      <w:r w:rsidRPr="006A0202">
        <w:rPr>
          <w:rFonts w:ascii="Century Gothic" w:hAnsi="Century Gothic"/>
          <w:bCs/>
          <w:sz w:val="22"/>
          <w:szCs w:val="22"/>
        </w:rPr>
        <w:t>D. NATIONS AND NARRATIONS</w:t>
      </w:r>
    </w:p>
    <w:p w14:paraId="7809D61F" w14:textId="77777777" w:rsidR="00FA722D" w:rsidRPr="00FA722D" w:rsidRDefault="00FA722D" w:rsidP="00FA722D">
      <w:pPr>
        <w:pStyle w:val="NormalWeb"/>
        <w:spacing w:before="0" w:beforeAutospacing="0" w:after="0" w:afterAutospacing="0"/>
        <w:rPr>
          <w:rFonts w:ascii="Century Gothic" w:hAnsi="Century Gothic"/>
          <w:sz w:val="12"/>
          <w:szCs w:val="12"/>
          <w:u w:val="single"/>
        </w:rPr>
      </w:pPr>
    </w:p>
    <w:p w14:paraId="2C685348" w14:textId="77777777" w:rsidR="006729B9" w:rsidRPr="006A0202" w:rsidRDefault="006729B9" w:rsidP="00FA722D">
      <w:pPr>
        <w:pStyle w:val="NormalWeb"/>
        <w:spacing w:before="0" w:beforeAutospacing="0" w:after="120" w:afterAutospacing="0"/>
        <w:rPr>
          <w:rFonts w:ascii="Century Gothic" w:hAnsi="Century Gothic"/>
          <w:sz w:val="20"/>
          <w:szCs w:val="20"/>
        </w:rPr>
      </w:pPr>
      <w:r w:rsidRPr="006A0202">
        <w:rPr>
          <w:rFonts w:ascii="Century Gothic" w:hAnsi="Century Gothic"/>
          <w:sz w:val="20"/>
          <w:szCs w:val="20"/>
          <w:u w:val="single"/>
        </w:rPr>
        <w:t>Nations, like narrative, lose their origins in the myths of time and only fully realize their horizons in the mind's eye</w:t>
      </w:r>
      <w:r w:rsidRPr="006A0202">
        <w:rPr>
          <w:rFonts w:ascii="Century Gothic" w:hAnsi="Century Gothic"/>
          <w:sz w:val="20"/>
          <w:szCs w:val="20"/>
        </w:rPr>
        <w:t xml:space="preserve">. Such an image of the nation--or narration--might seem impossibly romantic and excessively metaphorical, but it is from those traditions of political thought and literary language that the nation emerges as a powerful historical idea in the west. An idea whose cultural compulsion lies in the impossible unity of the nation as a symbolic force. This is not to deny </w:t>
      </w:r>
      <w:r w:rsidRPr="006A0202">
        <w:rPr>
          <w:rFonts w:ascii="Century Gothic" w:hAnsi="Century Gothic"/>
          <w:sz w:val="20"/>
          <w:szCs w:val="20"/>
          <w:u w:val="single"/>
        </w:rPr>
        <w:t>the attempt by nationalist discourses persistently to produce the idea of the nation as a continuous narrative of nation progress, the narcissism of self-generation, the primeval present of the Volk</w:t>
      </w:r>
      <w:r w:rsidRPr="006A0202">
        <w:rPr>
          <w:rFonts w:ascii="Century Gothic" w:hAnsi="Century Gothic"/>
          <w:sz w:val="20"/>
          <w:szCs w:val="20"/>
        </w:rPr>
        <w:t xml:space="preserve">. .... </w:t>
      </w:r>
    </w:p>
    <w:p w14:paraId="394FB9EA" w14:textId="77777777" w:rsidR="006729B9" w:rsidRPr="006A0202" w:rsidRDefault="006729B9" w:rsidP="00FA722D">
      <w:pPr>
        <w:pStyle w:val="NormalWeb"/>
        <w:spacing w:before="0" w:beforeAutospacing="0" w:after="120" w:afterAutospacing="0"/>
        <w:rPr>
          <w:rFonts w:ascii="Century Gothic" w:hAnsi="Century Gothic"/>
          <w:sz w:val="20"/>
          <w:szCs w:val="20"/>
        </w:rPr>
      </w:pPr>
      <w:r w:rsidRPr="006A0202">
        <w:rPr>
          <w:rFonts w:ascii="Century Gothic" w:hAnsi="Century Gothic"/>
          <w:sz w:val="20"/>
          <w:szCs w:val="20"/>
        </w:rPr>
        <w:t xml:space="preserve">What I want to emphasize in that large and liminal image of the nation with which I began is a particular ambivalence that haunts the idea of the nation, the language of those who write of it and the lives of those who live it. It is an ambivalence that emerges from a growing awareness that, despite the certainty with which historians speak of the 'origins' of nation as a sign of the 'modernity' of society, the cultural temporality of the nation inscribes a much more transitional social reality. </w:t>
      </w:r>
    </w:p>
    <w:p w14:paraId="429C07CC" w14:textId="77777777" w:rsidR="006729B9" w:rsidRPr="006A0202" w:rsidRDefault="006729B9" w:rsidP="00FA722D">
      <w:pPr>
        <w:pStyle w:val="NormalWeb"/>
        <w:spacing w:before="0" w:beforeAutospacing="0" w:after="120" w:afterAutospacing="0"/>
        <w:rPr>
          <w:rFonts w:ascii="Century Gothic" w:hAnsi="Century Gothic"/>
          <w:sz w:val="20"/>
          <w:szCs w:val="20"/>
        </w:rPr>
      </w:pPr>
      <w:r w:rsidRPr="006A0202">
        <w:rPr>
          <w:rFonts w:ascii="Century Gothic" w:hAnsi="Century Gothic"/>
          <w:sz w:val="20"/>
          <w:szCs w:val="20"/>
        </w:rPr>
        <w:t xml:space="preserve">Benedict Anderson [in his book </w:t>
      </w:r>
      <w:r w:rsidRPr="006A0202">
        <w:rPr>
          <w:rFonts w:ascii="Century Gothic" w:hAnsi="Century Gothic"/>
          <w:bCs/>
          <w:i/>
          <w:sz w:val="20"/>
          <w:szCs w:val="20"/>
        </w:rPr>
        <w:t>Imagined Communities</w:t>
      </w:r>
      <w:r w:rsidRPr="006A0202">
        <w:rPr>
          <w:rFonts w:ascii="Century Gothic" w:hAnsi="Century Gothic"/>
          <w:sz w:val="20"/>
          <w:szCs w:val="20"/>
        </w:rPr>
        <w:t xml:space="preserve">] expresses the nation's ambivalent emergence with great clarity: </w:t>
      </w:r>
    </w:p>
    <w:p w14:paraId="76E3E304" w14:textId="77777777" w:rsidR="006729B9" w:rsidRPr="006A0202" w:rsidRDefault="006729B9" w:rsidP="00FA722D">
      <w:pPr>
        <w:pStyle w:val="NormalWeb"/>
        <w:spacing w:before="0" w:beforeAutospacing="0" w:after="120" w:afterAutospacing="0"/>
        <w:rPr>
          <w:rFonts w:ascii="Century Gothic" w:hAnsi="Century Gothic"/>
          <w:sz w:val="20"/>
          <w:szCs w:val="20"/>
        </w:rPr>
      </w:pPr>
      <w:r w:rsidRPr="006A0202">
        <w:rPr>
          <w:rFonts w:ascii="Century Gothic" w:hAnsi="Century Gothic"/>
          <w:sz w:val="20"/>
          <w:szCs w:val="20"/>
        </w:rPr>
        <w:t>The century of the Enlightenment, of rationalist secularism, brought with it its own modern darkness</w:t>
      </w:r>
      <w:proofErr w:type="gramStart"/>
      <w:r w:rsidRPr="006A0202">
        <w:rPr>
          <w:rFonts w:ascii="Century Gothic" w:hAnsi="Century Gothic"/>
          <w:sz w:val="20"/>
          <w:szCs w:val="20"/>
        </w:rPr>
        <w:t>...[</w:t>
      </w:r>
      <w:proofErr w:type="gramEnd"/>
      <w:r w:rsidRPr="006A0202">
        <w:rPr>
          <w:rFonts w:ascii="Century Gothic" w:hAnsi="Century Gothic"/>
          <w:sz w:val="20"/>
          <w:szCs w:val="20"/>
        </w:rPr>
        <w:t>Few] things were (are) suited to this end better than the idea of nation. If nation states are widely considered to be 'new' and 'historical', the nation states to which they give political expression always loom out of an immemorial past and.</w:t>
      </w:r>
      <w:proofErr w:type="gramStart"/>
      <w:r w:rsidRPr="006A0202">
        <w:rPr>
          <w:rFonts w:ascii="Century Gothic" w:hAnsi="Century Gothic"/>
          <w:sz w:val="20"/>
          <w:szCs w:val="20"/>
        </w:rPr>
        <w:t>..glide</w:t>
      </w:r>
      <w:proofErr w:type="gramEnd"/>
      <w:r w:rsidRPr="006A0202">
        <w:rPr>
          <w:rFonts w:ascii="Century Gothic" w:hAnsi="Century Gothic"/>
          <w:sz w:val="20"/>
          <w:szCs w:val="20"/>
        </w:rPr>
        <w:t xml:space="preserve"> into a limitless future. What I am proposing is that Nationalism has to be understood, by aligning it not with self-consciously held political ideologies, but with large cultural systems that preceded it, out of which--as well as against which--it came into being. (19) </w:t>
      </w:r>
    </w:p>
    <w:p w14:paraId="1F88FC5A" w14:textId="77777777" w:rsidR="006729B9" w:rsidRPr="006A0202" w:rsidRDefault="006729B9" w:rsidP="00FA722D">
      <w:pPr>
        <w:pStyle w:val="NormalWeb"/>
        <w:spacing w:before="0" w:beforeAutospacing="0" w:after="120" w:afterAutospacing="0"/>
        <w:rPr>
          <w:rFonts w:ascii="Century Gothic" w:hAnsi="Century Gothic"/>
          <w:sz w:val="20"/>
          <w:szCs w:val="20"/>
        </w:rPr>
      </w:pPr>
      <w:r w:rsidRPr="006A0202">
        <w:rPr>
          <w:rFonts w:ascii="Century Gothic" w:hAnsi="Century Gothic"/>
          <w:sz w:val="20"/>
          <w:szCs w:val="20"/>
        </w:rPr>
        <w:t xml:space="preserve">The nation's 'coming into being' as a system of cultural signification, as the representation of social life rather than the discipline of social polity, emphasizes this instability of knowledge....In Hannah Arendt's view, the society of the nation in the modern world is 'that curiously hybrid realm where private interests assume public significance' and the two realms flows unceasingly and uncertainly into each other 'like waves in the never ending stream of the life-process itself'. No less certain is Tom Nairn, in naming the nation 'the modern Janus', that the 'uneven development' of capitalism inscribes both progression and regression, political rationality and irrationality in the very genetic code of the nation. This is a structural fact to which there are no exceptions and 'in this sense, it is an exact (not a rhetorical) statement about nationalism to say that it is by nature ambivalent.' </w:t>
      </w:r>
    </w:p>
    <w:p w14:paraId="6545D1C0" w14:textId="77777777" w:rsidR="006729B9" w:rsidRPr="006A0202" w:rsidRDefault="006729B9" w:rsidP="006729B9">
      <w:pPr>
        <w:pStyle w:val="NormalWeb"/>
        <w:ind w:left="720"/>
        <w:rPr>
          <w:rFonts w:ascii="Century Gothic" w:hAnsi="Century Gothic"/>
          <w:sz w:val="18"/>
          <w:szCs w:val="18"/>
        </w:rPr>
      </w:pPr>
      <w:r w:rsidRPr="006A0202">
        <w:rPr>
          <w:rFonts w:ascii="Century Gothic" w:hAnsi="Century Gothic"/>
          <w:sz w:val="18"/>
          <w:szCs w:val="18"/>
        </w:rPr>
        <w:t xml:space="preserve">From "Introduction: narrating the nation" by </w:t>
      </w:r>
      <w:proofErr w:type="spellStart"/>
      <w:r w:rsidRPr="006A0202">
        <w:rPr>
          <w:rFonts w:ascii="Century Gothic" w:hAnsi="Century Gothic"/>
          <w:sz w:val="18"/>
          <w:szCs w:val="18"/>
        </w:rPr>
        <w:t>Homi</w:t>
      </w:r>
      <w:proofErr w:type="spellEnd"/>
      <w:r w:rsidRPr="006A0202">
        <w:rPr>
          <w:rFonts w:ascii="Century Gothic" w:hAnsi="Century Gothic"/>
          <w:sz w:val="18"/>
          <w:szCs w:val="18"/>
        </w:rPr>
        <w:t xml:space="preserve"> K. Bhabha, in </w:t>
      </w:r>
      <w:r w:rsidRPr="006A0202">
        <w:rPr>
          <w:rFonts w:ascii="Century Gothic" w:hAnsi="Century Gothic"/>
          <w:bCs/>
          <w:i/>
          <w:sz w:val="18"/>
          <w:szCs w:val="18"/>
        </w:rPr>
        <w:t>Nation and Narration</w:t>
      </w:r>
      <w:r w:rsidRPr="006A0202">
        <w:rPr>
          <w:rFonts w:ascii="Century Gothic" w:hAnsi="Century Gothic"/>
          <w:sz w:val="18"/>
          <w:szCs w:val="18"/>
        </w:rPr>
        <w:t xml:space="preserve">, ed. </w:t>
      </w:r>
      <w:proofErr w:type="spellStart"/>
      <w:r w:rsidRPr="006A0202">
        <w:rPr>
          <w:rFonts w:ascii="Century Gothic" w:hAnsi="Century Gothic"/>
          <w:sz w:val="18"/>
          <w:szCs w:val="18"/>
        </w:rPr>
        <w:t>Homi</w:t>
      </w:r>
      <w:proofErr w:type="spellEnd"/>
      <w:r w:rsidRPr="006A0202">
        <w:rPr>
          <w:rFonts w:ascii="Century Gothic" w:hAnsi="Century Gothic"/>
          <w:sz w:val="18"/>
          <w:szCs w:val="18"/>
        </w:rPr>
        <w:t xml:space="preserve"> K. Bhabha (New York: Routledge and Keegan Paul, 1990) [selected by Randy Bass, Assistant Professor of English, Georgetown University]</w:t>
      </w:r>
    </w:p>
    <w:p w14:paraId="428C9069" w14:textId="77777777" w:rsidR="009D423B" w:rsidRDefault="00127ED5" w:rsidP="00FA722D">
      <w:pPr>
        <w:ind w:firstLine="720"/>
        <w:rPr>
          <w:rFonts w:ascii="Garamond" w:hAnsi="Garamond"/>
          <w:sz w:val="22"/>
          <w:szCs w:val="22"/>
        </w:rPr>
      </w:pPr>
      <w:hyperlink r:id="rId8" w:history="1">
        <w:r w:rsidR="006729B9" w:rsidRPr="00BF3364">
          <w:rPr>
            <w:rStyle w:val="Hyperlink"/>
            <w:rFonts w:ascii="Garamond" w:hAnsi="Garamond"/>
            <w:sz w:val="22"/>
            <w:szCs w:val="22"/>
          </w:rPr>
          <w:t>www.scholars.nus.edu.sg/post/poldiscourse/bhabha/nationconstr.html</w:t>
        </w:r>
      </w:hyperlink>
    </w:p>
    <w:p w14:paraId="258CE7EF" w14:textId="77777777" w:rsidR="00FA722D" w:rsidRDefault="00FA722D" w:rsidP="00FA722D">
      <w:pPr>
        <w:ind w:firstLine="720"/>
        <w:rPr>
          <w:rFonts w:ascii="Garamond" w:hAnsi="Garamond"/>
          <w:sz w:val="22"/>
          <w:szCs w:val="22"/>
        </w:rPr>
      </w:pPr>
    </w:p>
    <w:p w14:paraId="29AA82DC" w14:textId="77777777" w:rsidR="00FA722D" w:rsidRDefault="00FA722D" w:rsidP="00FA722D">
      <w:pPr>
        <w:ind w:firstLine="720"/>
        <w:rPr>
          <w:rFonts w:ascii="Garamond" w:hAnsi="Garamond"/>
          <w:sz w:val="22"/>
          <w:szCs w:val="22"/>
        </w:rPr>
      </w:pPr>
    </w:p>
    <w:p w14:paraId="0D6AECE5" w14:textId="77777777" w:rsidR="00FA722D" w:rsidRDefault="00FA722D" w:rsidP="00FA722D">
      <w:pPr>
        <w:ind w:firstLine="720"/>
        <w:rPr>
          <w:rFonts w:ascii="Garamond" w:hAnsi="Garamond"/>
          <w:sz w:val="22"/>
          <w:szCs w:val="22"/>
        </w:rPr>
      </w:pPr>
    </w:p>
    <w:sectPr w:rsidR="00FA722D" w:rsidSect="00FA722D">
      <w:pgSz w:w="12240" w:h="15840"/>
      <w:pgMar w:top="851" w:right="1800" w:bottom="993"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EB9B3F" w14:textId="77777777" w:rsidR="00127ED5" w:rsidRDefault="00127ED5">
      <w:r>
        <w:separator/>
      </w:r>
    </w:p>
  </w:endnote>
  <w:endnote w:type="continuationSeparator" w:id="0">
    <w:p w14:paraId="16DAD216" w14:textId="77777777" w:rsidR="00127ED5" w:rsidRDefault="00127ED5">
      <w:r>
        <w:continuationSeparator/>
      </w:r>
    </w:p>
  </w:endnote>
  <w:endnote w:id="1">
    <w:p w14:paraId="167C3491" w14:textId="77777777" w:rsidR="00035F45" w:rsidRDefault="00035F45" w:rsidP="00614116">
      <w:pPr>
        <w:rPr>
          <w:color w:val="000000"/>
          <w:sz w:val="20"/>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A0270" w14:textId="77777777" w:rsidR="00127ED5" w:rsidRDefault="00127ED5">
      <w:r>
        <w:separator/>
      </w:r>
    </w:p>
  </w:footnote>
  <w:footnote w:type="continuationSeparator" w:id="0">
    <w:p w14:paraId="503DB1EB" w14:textId="77777777" w:rsidR="00127ED5" w:rsidRDefault="00127E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A06D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0FF3710"/>
    <w:multiLevelType w:val="hybridMultilevel"/>
    <w:tmpl w:val="17AEB430"/>
    <w:lvl w:ilvl="0" w:tplc="B664B354">
      <w:start w:val="2"/>
      <w:numFmt w:val="bullet"/>
      <w:lvlText w:val="-"/>
      <w:lvlJc w:val="left"/>
      <w:pPr>
        <w:tabs>
          <w:tab w:val="num" w:pos="1080"/>
        </w:tabs>
        <w:ind w:left="1080" w:hanging="360"/>
      </w:pPr>
      <w:rPr>
        <w:rFonts w:ascii="Garamond" w:eastAsia="Times New Roman" w:hAnsi="Garamond" w:cs="Arial" w:hint="default"/>
        <w:i w:val="0"/>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 w15:restartNumberingAfterBreak="0">
    <w:nsid w:val="2B3C4A8C"/>
    <w:multiLevelType w:val="hybridMultilevel"/>
    <w:tmpl w:val="4DD0A9F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47F0769B"/>
    <w:multiLevelType w:val="hybridMultilevel"/>
    <w:tmpl w:val="DF36C6C2"/>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644209EA"/>
    <w:multiLevelType w:val="hybridMultilevel"/>
    <w:tmpl w:val="41441DC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6BF61149"/>
    <w:multiLevelType w:val="hybridMultilevel"/>
    <w:tmpl w:val="9A08A61E"/>
    <w:lvl w:ilvl="0" w:tplc="0809000F">
      <w:start w:val="1"/>
      <w:numFmt w:val="decimal"/>
      <w:lvlText w:val="%1."/>
      <w:lvlJc w:val="left"/>
      <w:pPr>
        <w:tabs>
          <w:tab w:val="num" w:pos="720"/>
        </w:tabs>
        <w:ind w:left="720" w:hanging="360"/>
      </w:pPr>
    </w:lvl>
    <w:lvl w:ilvl="1" w:tplc="5F944B76">
      <w:numFmt w:val="bullet"/>
      <w:lvlText w:val="-"/>
      <w:lvlJc w:val="left"/>
      <w:pPr>
        <w:tabs>
          <w:tab w:val="num" w:pos="1440"/>
        </w:tabs>
        <w:ind w:left="1440" w:hanging="360"/>
      </w:pPr>
      <w:rPr>
        <w:rFonts w:ascii="Times New Roman" w:eastAsia="Times New Roman" w:hAnsi="Times New Roman" w:cs="Times New Roman" w:hint="default"/>
        <w:sz w:val="22"/>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4"/>
  </w:num>
  <w:num w:numId="2">
    <w:abstractNumId w:val="0"/>
  </w:num>
  <w:num w:numId="3">
    <w:abstractNumId w:val="2"/>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B7100"/>
    <w:rsid w:val="00035709"/>
    <w:rsid w:val="00035F45"/>
    <w:rsid w:val="00127ED5"/>
    <w:rsid w:val="001F2FC4"/>
    <w:rsid w:val="00464B4F"/>
    <w:rsid w:val="0057097C"/>
    <w:rsid w:val="005B7100"/>
    <w:rsid w:val="00614116"/>
    <w:rsid w:val="006729B9"/>
    <w:rsid w:val="006A0202"/>
    <w:rsid w:val="007E15CD"/>
    <w:rsid w:val="009D423B"/>
    <w:rsid w:val="00B4294D"/>
    <w:rsid w:val="00BE4AEE"/>
    <w:rsid w:val="00C7216E"/>
    <w:rsid w:val="00D21D70"/>
    <w:rsid w:val="00DC79A7"/>
    <w:rsid w:val="00FA7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0B9BF0"/>
  <w15:docId w15:val="{937B0C9E-FE59-4DA9-B2C1-56D136DC5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D423B"/>
    <w:rPr>
      <w:color w:val="0000FF"/>
      <w:u w:val="single"/>
    </w:rPr>
  </w:style>
  <w:style w:type="paragraph" w:styleId="BodyText2">
    <w:name w:val="Body Text 2"/>
    <w:basedOn w:val="Normal"/>
    <w:rsid w:val="009D423B"/>
    <w:rPr>
      <w:sz w:val="22"/>
    </w:rPr>
  </w:style>
  <w:style w:type="paragraph" w:styleId="NormalWeb">
    <w:name w:val="Normal (Web)"/>
    <w:basedOn w:val="Normal"/>
    <w:rsid w:val="006729B9"/>
    <w:pPr>
      <w:spacing w:before="100" w:beforeAutospacing="1" w:after="100" w:afterAutospacing="1"/>
    </w:pPr>
    <w:rPr>
      <w:szCs w:val="24"/>
    </w:rPr>
  </w:style>
  <w:style w:type="paragraph" w:styleId="EndnoteText">
    <w:name w:val="endnote text"/>
    <w:basedOn w:val="Normal"/>
    <w:semiHidden/>
    <w:rsid w:val="00035F45"/>
    <w:rPr>
      <w:sz w:val="20"/>
    </w:rPr>
  </w:style>
  <w:style w:type="paragraph" w:styleId="FootnoteText">
    <w:name w:val="footnote text"/>
    <w:basedOn w:val="Normal"/>
    <w:semiHidden/>
    <w:rsid w:val="00035F45"/>
    <w:rPr>
      <w:sz w:val="20"/>
    </w:rPr>
  </w:style>
  <w:style w:type="character" w:styleId="EndnoteReference">
    <w:name w:val="endnote reference"/>
    <w:semiHidden/>
    <w:rsid w:val="00035F45"/>
    <w:rPr>
      <w:vertAlign w:val="superscript"/>
    </w:rPr>
  </w:style>
  <w:style w:type="character" w:styleId="FootnoteReference">
    <w:name w:val="footnote reference"/>
    <w:semiHidden/>
    <w:rsid w:val="00035F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6845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scholars.nus.edu.sg/post/poldiscourse/bhabha/nationconstr.html" TargetMode="External"/><Relationship Id="rId3" Type="http://schemas.openxmlformats.org/officeDocument/2006/relationships/settings" Target="settings.xml"/><Relationship Id="rId7" Type="http://schemas.openxmlformats.org/officeDocument/2006/relationships/hyperlink" Target="http://www.leedstrinity.ac.uk/depart/media/staff/ls/WBenjamin/CONCEPT2.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1062</Words>
  <Characters>6057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If, deliberately or not, we totalise all the constituents of English Literature, and if, as both traditional literary history and post-structuralist criticism have done all too often, we ignore matters of origin, then we perform an act of naïve cultural</vt:lpstr>
    </vt:vector>
  </TitlesOfParts>
  <Company>CYD</Company>
  <LinksUpToDate>false</LinksUpToDate>
  <CharactersWithSpaces>7105</CharactersWithSpaces>
  <SharedDoc>false</SharedDoc>
  <HLinks>
    <vt:vector size="12" baseType="variant">
      <vt:variant>
        <vt:i4>1245190</vt:i4>
      </vt:variant>
      <vt:variant>
        <vt:i4>3</vt:i4>
      </vt:variant>
      <vt:variant>
        <vt:i4>0</vt:i4>
      </vt:variant>
      <vt:variant>
        <vt:i4>5</vt:i4>
      </vt:variant>
      <vt:variant>
        <vt:lpwstr>http://www.scholars.nus.edu.sg/post/poldiscourse/bhabha/nationconstr.html</vt:lpwstr>
      </vt:variant>
      <vt:variant>
        <vt:lpwstr/>
      </vt:variant>
      <vt:variant>
        <vt:i4>6357089</vt:i4>
      </vt:variant>
      <vt:variant>
        <vt:i4>0</vt:i4>
      </vt:variant>
      <vt:variant>
        <vt:i4>0</vt:i4>
      </vt:variant>
      <vt:variant>
        <vt:i4>5</vt:i4>
      </vt:variant>
      <vt:variant>
        <vt:lpwstr>http://www.leedstrinity.ac.uk/depart/media/staff/ls/WBenjamin/CONCEPT2.html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If, deliberately or not, we totalise all the constituents of English Literature, and if, as both traditional literary history and post-structuralist criticism have done all too often, we ignore matters of origin, then we perform an act of naïve cultural</dc:title>
  <dc:creator>PROTOUSER</dc:creator>
  <cp:lastModifiedBy>Admin</cp:lastModifiedBy>
  <cp:revision>2</cp:revision>
  <cp:lastPrinted>2015-02-05T12:58:00Z</cp:lastPrinted>
  <dcterms:created xsi:type="dcterms:W3CDTF">2019-12-26T20:36:00Z</dcterms:created>
  <dcterms:modified xsi:type="dcterms:W3CDTF">2019-12-26T20:36:00Z</dcterms:modified>
</cp:coreProperties>
</file>