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6"/>
          <w:szCs w:val="26"/>
        </w:rPr>
      </w:pPr>
      <w:r w:rsidDel="00000000" w:rsidR="00000000" w:rsidRPr="00000000">
        <w:rPr>
          <w:sz w:val="26"/>
          <w:szCs w:val="26"/>
          <w:rtl w:val="0"/>
        </w:rPr>
        <w:t xml:space="preserve">Catullus 64. 47-75</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spacing w:line="480" w:lineRule="auto"/>
        <w:jc w:val="both"/>
        <w:rPr>
          <w:sz w:val="24"/>
          <w:szCs w:val="24"/>
        </w:rPr>
      </w:pPr>
      <w:r w:rsidDel="00000000" w:rsidR="00000000" w:rsidRPr="00000000">
        <w:rPr>
          <w:sz w:val="24"/>
          <w:szCs w:val="24"/>
          <w:rtl w:val="0"/>
        </w:rPr>
        <w:t xml:space="preserve">Catullus 64 lines 47 - 75 features one of the most well known characters and stories. I’m going to cover the various ways this passage has been analysed which features some of Catullus best storytelling techniques. This part of poem 64 is an ekphrasis within a wider story and in this essay I discuss how multiple scholars have viewed the reason for this digression from the main story, what is it meant to convey to the reader and what does it tell us about Catullus and his own personal values about love and relationships. Although many studies have similar conclusions on themes and representations in the poem, I have made sure to include the less common opinions on Catullus’ work which uncover a new perspective on his work. I also add my own interpretations at certain scenes, especially on ideas that are not mentioned in much detail in the historiography of Catullus 64.</w:t>
      </w:r>
    </w:p>
    <w:p w:rsidR="00000000" w:rsidDel="00000000" w:rsidP="00000000" w:rsidRDefault="00000000" w:rsidRPr="00000000" w14:paraId="00000004">
      <w:pPr>
        <w:spacing w:line="480" w:lineRule="auto"/>
        <w:jc w:val="both"/>
        <w:rPr>
          <w:sz w:val="24"/>
          <w:szCs w:val="24"/>
        </w:rPr>
      </w:pPr>
      <w:r w:rsidDel="00000000" w:rsidR="00000000" w:rsidRPr="00000000">
        <w:rPr>
          <w:rtl w:val="0"/>
        </w:rPr>
      </w:r>
    </w:p>
    <w:p w:rsidR="00000000" w:rsidDel="00000000" w:rsidP="00000000" w:rsidRDefault="00000000" w:rsidRPr="00000000" w14:paraId="00000005">
      <w:pPr>
        <w:spacing w:line="480" w:lineRule="auto"/>
        <w:jc w:val="both"/>
        <w:rPr>
          <w:sz w:val="24"/>
          <w:szCs w:val="24"/>
        </w:rPr>
      </w:pPr>
      <w:r w:rsidDel="00000000" w:rsidR="00000000" w:rsidRPr="00000000">
        <w:rPr>
          <w:sz w:val="24"/>
          <w:szCs w:val="24"/>
          <w:rtl w:val="0"/>
        </w:rPr>
        <w:t xml:space="preserve">There is plenty of literature on the theme of gazing in this section. The passage has often been quoted for its vivid imagery and paint-like descriptions. As Ariadne gazes at Theseus sailing away on his ship, the reader is also meant to be gazing at Ariadne (Elsner, 2007, p. 22). The theme of gazing is amplified by the description of Ariadne as an object, or statue Bacchante, we have the description of her clothes, hair in depth and detail, as if she is the focal point of a painting. While there are many themes of gazing throughout 64, including Theseus' father gazing at sea for his arrival, and Ariadne gazing at him and falling in love, this scene has longing and desperation undertones (Elsner, 2007, p. 23). The juxtaposition in the scene highlights the gaze of Ariadne for Theseus and the gaze of the reader on Ariadne. This silent peaceful action contrasts sharply with the raging turmoil in Ariadne’s heart. She is no longer aware of herself or her surroundings as her clothes slip and fall off her into the waves </w:t>
      </w:r>
      <w:r w:rsidDel="00000000" w:rsidR="00000000" w:rsidRPr="00000000">
        <w:rPr>
          <w:i w:val="1"/>
          <w:sz w:val="24"/>
          <w:szCs w:val="24"/>
          <w:rtl w:val="0"/>
        </w:rPr>
        <w:t xml:space="preserve">sed neque tum mitrae neque tum fluitantis amictus illa uicem curans toto ex te pectore </w:t>
      </w:r>
      <w:r w:rsidDel="00000000" w:rsidR="00000000" w:rsidRPr="00000000">
        <w:rPr>
          <w:sz w:val="24"/>
          <w:szCs w:val="24"/>
          <w:highlight w:val="white"/>
          <w:rtl w:val="0"/>
        </w:rPr>
        <w:t xml:space="preserve">(Mynors, 1958, line 69)</w:t>
      </w:r>
      <w:r w:rsidDel="00000000" w:rsidR="00000000" w:rsidRPr="00000000">
        <w:rPr>
          <w:i w:val="1"/>
          <w:sz w:val="24"/>
          <w:szCs w:val="24"/>
          <w:rtl w:val="0"/>
        </w:rPr>
        <w:t xml:space="preserve">. </w:t>
      </w:r>
      <w:r w:rsidDel="00000000" w:rsidR="00000000" w:rsidRPr="00000000">
        <w:rPr>
          <w:sz w:val="24"/>
          <w:szCs w:val="24"/>
          <w:rtl w:val="0"/>
        </w:rPr>
        <w:t xml:space="preserve">No one has died but she is constantly in mourning </w:t>
      </w:r>
      <w:r w:rsidDel="00000000" w:rsidR="00000000" w:rsidRPr="00000000">
        <w:rPr>
          <w:i w:val="1"/>
          <w:sz w:val="24"/>
          <w:szCs w:val="24"/>
          <w:rtl w:val="0"/>
        </w:rPr>
        <w:t xml:space="preserve">serens in pectore curas </w:t>
      </w:r>
      <w:r w:rsidDel="00000000" w:rsidR="00000000" w:rsidRPr="00000000">
        <w:rPr>
          <w:sz w:val="24"/>
          <w:szCs w:val="24"/>
          <w:highlight w:val="white"/>
          <w:rtl w:val="0"/>
        </w:rPr>
        <w:t xml:space="preserve">(Mynors, 1958, line 72)</w:t>
      </w:r>
      <w:r w:rsidDel="00000000" w:rsidR="00000000" w:rsidRPr="00000000">
        <w:rPr>
          <w:sz w:val="24"/>
          <w:szCs w:val="24"/>
          <w:rtl w:val="0"/>
        </w:rPr>
        <w:t xml:space="preserve">. Catullus is attempting to show that she has been left almost for dead, as if Theseus snatched her ‘heart, spirit, mind’ away from her  </w:t>
      </w:r>
      <w:r w:rsidDel="00000000" w:rsidR="00000000" w:rsidRPr="00000000">
        <w:rPr>
          <w:i w:val="1"/>
          <w:sz w:val="24"/>
          <w:szCs w:val="24"/>
          <w:rtl w:val="0"/>
        </w:rPr>
        <w:t xml:space="preserve">toto animo, tota pendebat perdita mente </w:t>
      </w:r>
      <w:r w:rsidDel="00000000" w:rsidR="00000000" w:rsidRPr="00000000">
        <w:rPr>
          <w:sz w:val="24"/>
          <w:szCs w:val="24"/>
          <w:highlight w:val="white"/>
          <w:rtl w:val="0"/>
        </w:rPr>
        <w:t xml:space="preserve">(Mynors, 1958, line 70)</w:t>
      </w:r>
      <w:r w:rsidDel="00000000" w:rsidR="00000000" w:rsidRPr="00000000">
        <w:rPr>
          <w:i w:val="1"/>
          <w:sz w:val="24"/>
          <w:szCs w:val="24"/>
          <w:rtl w:val="0"/>
        </w:rPr>
        <w:t xml:space="preserve">. </w:t>
      </w:r>
      <w:r w:rsidDel="00000000" w:rsidR="00000000" w:rsidRPr="00000000">
        <w:rPr>
          <w:sz w:val="24"/>
          <w:szCs w:val="24"/>
          <w:rtl w:val="0"/>
        </w:rPr>
        <w:t xml:space="preserve">There is a constant contrast of her mourning and deep overwhelming emotions, but also mentions of the waves </w:t>
      </w:r>
      <w:r w:rsidDel="00000000" w:rsidR="00000000" w:rsidRPr="00000000">
        <w:rPr>
          <w:i w:val="1"/>
          <w:sz w:val="24"/>
          <w:szCs w:val="24"/>
          <w:rtl w:val="0"/>
        </w:rPr>
        <w:t xml:space="preserve">fluentisono</w:t>
      </w:r>
      <w:r w:rsidDel="00000000" w:rsidR="00000000" w:rsidRPr="00000000">
        <w:rPr>
          <w:sz w:val="24"/>
          <w:szCs w:val="24"/>
          <w:rtl w:val="0"/>
        </w:rPr>
        <w:t xml:space="preserve">, salt sea </w:t>
      </w:r>
      <w:r w:rsidDel="00000000" w:rsidR="00000000" w:rsidRPr="00000000">
        <w:rPr>
          <w:i w:val="1"/>
          <w:sz w:val="24"/>
          <w:szCs w:val="24"/>
          <w:rtl w:val="0"/>
        </w:rPr>
        <w:t xml:space="preserve">fluctus salis </w:t>
      </w:r>
      <w:r w:rsidDel="00000000" w:rsidR="00000000" w:rsidRPr="00000000">
        <w:rPr>
          <w:sz w:val="24"/>
          <w:szCs w:val="24"/>
          <w:highlight w:val="white"/>
          <w:rtl w:val="0"/>
        </w:rPr>
        <w:t xml:space="preserve">(Mynors, 1958, line 67)</w:t>
      </w:r>
      <w:r w:rsidDel="00000000" w:rsidR="00000000" w:rsidRPr="00000000">
        <w:rPr>
          <w:i w:val="1"/>
          <w:sz w:val="24"/>
          <w:szCs w:val="24"/>
          <w:rtl w:val="0"/>
        </w:rPr>
        <w:t xml:space="preserve">, </w:t>
      </w:r>
      <w:r w:rsidDel="00000000" w:rsidR="00000000" w:rsidRPr="00000000">
        <w:rPr>
          <w:sz w:val="24"/>
          <w:szCs w:val="24"/>
          <w:rtl w:val="0"/>
        </w:rPr>
        <w:t xml:space="preserve">this could also be used as a simile to depict how Ariadne is drowning in a storm of emotions. It’s as if the scenery around her reflects the state of her heart. Just as Theseus strikes the water with the paddle </w:t>
      </w:r>
      <w:r w:rsidDel="00000000" w:rsidR="00000000" w:rsidRPr="00000000">
        <w:rPr>
          <w:i w:val="1"/>
          <w:sz w:val="24"/>
          <w:szCs w:val="24"/>
          <w:rtl w:val="0"/>
        </w:rPr>
        <w:t xml:space="preserve">immemor at iuuenis fugiens pellit uada remis </w:t>
      </w:r>
      <w:r w:rsidDel="00000000" w:rsidR="00000000" w:rsidRPr="00000000">
        <w:rPr>
          <w:sz w:val="24"/>
          <w:szCs w:val="24"/>
          <w:highlight w:val="white"/>
          <w:rtl w:val="0"/>
        </w:rPr>
        <w:t xml:space="preserve">(Mynors, 1958, line 58)</w:t>
      </w:r>
      <w:r w:rsidDel="00000000" w:rsidR="00000000" w:rsidRPr="00000000">
        <w:rPr>
          <w:i w:val="1"/>
          <w:sz w:val="24"/>
          <w:szCs w:val="24"/>
          <w:rtl w:val="0"/>
        </w:rPr>
        <w:t xml:space="preserve">, </w:t>
      </w:r>
      <w:r w:rsidDel="00000000" w:rsidR="00000000" w:rsidRPr="00000000">
        <w:rPr>
          <w:sz w:val="24"/>
          <w:szCs w:val="24"/>
          <w:rtl w:val="0"/>
        </w:rPr>
        <w:t xml:space="preserve">and as the water reflects her heart, it reflects the pain he inflicted on Ariadne, and as it were striking at her heart. The reference to Ariadne looking like a Bacchant is referencing her future marriage to Bacchus (Elsner, 2007, p. 22). So although she is mourning and feels as if she is dying, this emotion is only temporary just like the storm</w:t>
      </w:r>
      <w:r w:rsidDel="00000000" w:rsidR="00000000" w:rsidRPr="00000000">
        <w:rPr>
          <w:i w:val="1"/>
          <w:sz w:val="24"/>
          <w:szCs w:val="24"/>
          <w:rtl w:val="0"/>
        </w:rPr>
        <w:t xml:space="preserve"> irrita uentosae linquens </w:t>
      </w:r>
      <w:r w:rsidDel="00000000" w:rsidR="00000000" w:rsidRPr="00000000">
        <w:rPr>
          <w:sz w:val="24"/>
          <w:szCs w:val="24"/>
          <w:highlight w:val="white"/>
          <w:rtl w:val="0"/>
        </w:rPr>
        <w:t xml:space="preserve">(Mynors, 1958, line 59) it will pass</w:t>
      </w:r>
      <w:r w:rsidDel="00000000" w:rsidR="00000000" w:rsidRPr="00000000">
        <w:rPr>
          <w:sz w:val="24"/>
          <w:szCs w:val="24"/>
          <w:rtl w:val="0"/>
        </w:rPr>
        <w:t xml:space="preserve">. Another aspect that signifies the storm is a representation of Ariadne’s emotion is the description of Theseus casting his vain promises to the stormy winds </w:t>
      </w:r>
      <w:r w:rsidDel="00000000" w:rsidR="00000000" w:rsidRPr="00000000">
        <w:rPr>
          <w:i w:val="1"/>
          <w:sz w:val="24"/>
          <w:szCs w:val="24"/>
          <w:rtl w:val="0"/>
        </w:rPr>
        <w:t xml:space="preserve">irrita uentosae linquens promissa procellae</w:t>
      </w:r>
      <w:r w:rsidDel="00000000" w:rsidR="00000000" w:rsidRPr="00000000">
        <w:rPr>
          <w:sz w:val="24"/>
          <w:szCs w:val="24"/>
          <w:rtl w:val="0"/>
        </w:rPr>
        <w:t xml:space="preserve"> </w:t>
      </w:r>
      <w:r w:rsidDel="00000000" w:rsidR="00000000" w:rsidRPr="00000000">
        <w:rPr>
          <w:sz w:val="24"/>
          <w:szCs w:val="24"/>
          <w:highlight w:val="white"/>
          <w:rtl w:val="0"/>
        </w:rPr>
        <w:t xml:space="preserve">(Mynors, 1958, line 59)</w:t>
      </w:r>
      <w:r w:rsidDel="00000000" w:rsidR="00000000" w:rsidRPr="00000000">
        <w:rPr>
          <w:i w:val="1"/>
          <w:sz w:val="24"/>
          <w:szCs w:val="24"/>
          <w:rtl w:val="0"/>
        </w:rPr>
        <w:t xml:space="preserve">.</w:t>
      </w:r>
      <w:r w:rsidDel="00000000" w:rsidR="00000000" w:rsidRPr="00000000">
        <w:rPr>
          <w:sz w:val="24"/>
          <w:szCs w:val="24"/>
          <w:rtl w:val="0"/>
        </w:rPr>
        <w:t xml:space="preserve"> The reader knows that Theseus is not addressing the storms but rather Ariadne, so this sentence shows the similarities between the weather conditions and Ariadne’s heart.</w:t>
      </w:r>
    </w:p>
    <w:p w:rsidR="00000000" w:rsidDel="00000000" w:rsidP="00000000" w:rsidRDefault="00000000" w:rsidRPr="00000000" w14:paraId="00000006">
      <w:pPr>
        <w:spacing w:line="480" w:lineRule="auto"/>
        <w:jc w:val="both"/>
        <w:rPr>
          <w:sz w:val="24"/>
          <w:szCs w:val="24"/>
        </w:rPr>
      </w:pPr>
      <w:r w:rsidDel="00000000" w:rsidR="00000000" w:rsidRPr="00000000">
        <w:rPr>
          <w:rtl w:val="0"/>
        </w:rPr>
      </w:r>
    </w:p>
    <w:p w:rsidR="00000000" w:rsidDel="00000000" w:rsidP="00000000" w:rsidRDefault="00000000" w:rsidRPr="00000000" w14:paraId="00000007">
      <w:pPr>
        <w:spacing w:line="480" w:lineRule="auto"/>
        <w:jc w:val="both"/>
        <w:rPr>
          <w:sz w:val="24"/>
          <w:szCs w:val="24"/>
        </w:rPr>
      </w:pPr>
      <w:r w:rsidDel="00000000" w:rsidR="00000000" w:rsidRPr="00000000">
        <w:rPr>
          <w:sz w:val="24"/>
          <w:szCs w:val="24"/>
          <w:rtl w:val="0"/>
        </w:rPr>
        <w:t xml:space="preserve">Putnam highlights how this scene expresses the pain of the sudden letdown.</w:t>
      </w:r>
      <w:r w:rsidDel="00000000" w:rsidR="00000000" w:rsidRPr="00000000">
        <w:rPr>
          <w:i w:val="1"/>
          <w:sz w:val="24"/>
          <w:szCs w:val="24"/>
          <w:rtl w:val="0"/>
        </w:rPr>
        <w:t xml:space="preserve"> necdum etiam sese quae uisit uisere credit </w:t>
      </w:r>
      <w:r w:rsidDel="00000000" w:rsidR="00000000" w:rsidRPr="00000000">
        <w:rPr>
          <w:sz w:val="24"/>
          <w:szCs w:val="24"/>
          <w:highlight w:val="white"/>
          <w:rtl w:val="0"/>
        </w:rPr>
        <w:t xml:space="preserve">(Mynors, 1958, line 55)</w:t>
      </w:r>
      <w:r w:rsidDel="00000000" w:rsidR="00000000" w:rsidRPr="00000000">
        <w:rPr>
          <w:sz w:val="24"/>
          <w:szCs w:val="24"/>
          <w:rtl w:val="0"/>
        </w:rPr>
        <w:t xml:space="preserve"> - this shows how her mind hasn’t caught up with her eyesight just yet, she is still trying to process the scenery before her, as if she’s in a real life nightmare. He also suggests that the single island that she is on represents the fact that she is now all alone (Putnam, 1961, p. 168). He mentions that she is isolated like the island she now inhabits, cut off from family and friends. I would like to go a step further to suggest that Catullus is portraying her using a shipwreck as a metaphor. In the first instance, shipwrecks are usually on the shore, just like Ariadne is standing on the sandy shores. The idea that she is in ruins </w:t>
      </w:r>
      <w:r w:rsidDel="00000000" w:rsidR="00000000" w:rsidRPr="00000000">
        <w:rPr>
          <w:i w:val="1"/>
          <w:sz w:val="24"/>
          <w:szCs w:val="24"/>
          <w:rtl w:val="0"/>
        </w:rPr>
        <w:t xml:space="preserve">desertam in sola miseram </w:t>
      </w:r>
      <w:r w:rsidDel="00000000" w:rsidR="00000000" w:rsidRPr="00000000">
        <w:rPr>
          <w:sz w:val="24"/>
          <w:szCs w:val="24"/>
          <w:highlight w:val="white"/>
          <w:rtl w:val="0"/>
        </w:rPr>
        <w:t xml:space="preserve">(Mynors, 1958, line 57)</w:t>
      </w:r>
      <w:r w:rsidDel="00000000" w:rsidR="00000000" w:rsidRPr="00000000">
        <w:rPr>
          <w:sz w:val="24"/>
          <w:szCs w:val="24"/>
          <w:rtl w:val="0"/>
        </w:rPr>
        <w:t xml:space="preserve"> abandoned wretchedly which are the words used for a ship that is wrecked on the shore. The storm which caused the shipwreck is an anomaly for the words he spoke which caused her destruction - </w:t>
      </w:r>
      <w:r w:rsidDel="00000000" w:rsidR="00000000" w:rsidRPr="00000000">
        <w:rPr>
          <w:i w:val="1"/>
          <w:sz w:val="24"/>
          <w:szCs w:val="24"/>
          <w:rtl w:val="0"/>
        </w:rPr>
        <w:t xml:space="preserve">promissa procellae </w:t>
      </w:r>
      <w:r w:rsidDel="00000000" w:rsidR="00000000" w:rsidRPr="00000000">
        <w:rPr>
          <w:sz w:val="24"/>
          <w:szCs w:val="24"/>
          <w:highlight w:val="white"/>
          <w:rtl w:val="0"/>
        </w:rPr>
        <w:t xml:space="preserve">(Mynors, 1958, line 59)</w:t>
      </w:r>
      <w:r w:rsidDel="00000000" w:rsidR="00000000" w:rsidRPr="00000000">
        <w:rPr>
          <w:sz w:val="24"/>
          <w:szCs w:val="24"/>
          <w:rtl w:val="0"/>
        </w:rPr>
        <w:t xml:space="preserve">. Just like a shipwreck, water seeps into the ship, like the water has crept up to her feet, ‘playing in the salt-waves’ </w:t>
      </w:r>
      <w:r w:rsidDel="00000000" w:rsidR="00000000" w:rsidRPr="00000000">
        <w:rPr>
          <w:i w:val="1"/>
          <w:sz w:val="24"/>
          <w:szCs w:val="24"/>
          <w:rtl w:val="0"/>
        </w:rPr>
        <w:t xml:space="preserve">fluctus salis</w:t>
      </w:r>
      <w:r w:rsidDel="00000000" w:rsidR="00000000" w:rsidRPr="00000000">
        <w:rPr>
          <w:sz w:val="24"/>
          <w:szCs w:val="24"/>
          <w:rtl w:val="0"/>
        </w:rPr>
        <w:t xml:space="preserve">. Another aspect of a violent shipwreck is when everything is broken up, the ship has been destroyed and there are pieces everywhere, floating in the water. This could be compared to her appearance, with the clothes draping off her, her hair no longer held up, from Catullus description she is looking rather dishevelled with everything scattered - </w:t>
      </w:r>
      <w:r w:rsidDel="00000000" w:rsidR="00000000" w:rsidRPr="00000000">
        <w:rPr>
          <w:i w:val="1"/>
          <w:sz w:val="24"/>
          <w:szCs w:val="24"/>
          <w:rtl w:val="0"/>
        </w:rPr>
        <w:t xml:space="preserve">omnia quae toto delapsa e corpore </w:t>
      </w:r>
      <w:r w:rsidDel="00000000" w:rsidR="00000000" w:rsidRPr="00000000">
        <w:rPr>
          <w:sz w:val="24"/>
          <w:szCs w:val="24"/>
          <w:highlight w:val="white"/>
          <w:rtl w:val="0"/>
        </w:rPr>
        <w:t xml:space="preserve">(Mynors, 1958, line 66)</w:t>
      </w:r>
      <w:r w:rsidDel="00000000" w:rsidR="00000000" w:rsidRPr="00000000">
        <w:rPr>
          <w:sz w:val="24"/>
          <w:szCs w:val="24"/>
          <w:rtl w:val="0"/>
        </w:rPr>
        <w:t xml:space="preserve">. Another aspect is usually how the survivors sail away, abandoning the ship and jumping to safety. This could be compared to Theseus who has made up his mind to sail swiftly away, even striking the water with his oars in a frenzied hurry - </w:t>
      </w:r>
      <w:r w:rsidDel="00000000" w:rsidR="00000000" w:rsidRPr="00000000">
        <w:rPr>
          <w:i w:val="1"/>
          <w:sz w:val="24"/>
          <w:szCs w:val="24"/>
          <w:rtl w:val="0"/>
        </w:rPr>
        <w:t xml:space="preserve">cedentem celeri </w:t>
      </w:r>
      <w:r w:rsidDel="00000000" w:rsidR="00000000" w:rsidRPr="00000000">
        <w:rPr>
          <w:sz w:val="24"/>
          <w:szCs w:val="24"/>
          <w:highlight w:val="white"/>
          <w:rtl w:val="0"/>
        </w:rPr>
        <w:t xml:space="preserve">(Mynors, 1958, line 53)</w:t>
      </w:r>
      <w:r w:rsidDel="00000000" w:rsidR="00000000" w:rsidRPr="00000000">
        <w:rPr>
          <w:sz w:val="24"/>
          <w:szCs w:val="24"/>
          <w:rtl w:val="0"/>
        </w:rPr>
        <w:t xml:space="preserve">. He is vanishing as fast as he can to get to safety and preserve his own life, while Ariadne is abandoned and left to die. Death of the passengers also plays a huge part in the story of shipwrecks, just as Ariadne is represented to be not only a symbol of the shipwreck but the victim which has been left for dead. As a result there is the repetition of mourning throughout this section of the poem as when one mourns for the dead who were lost at sea - </w:t>
      </w:r>
      <w:r w:rsidDel="00000000" w:rsidR="00000000" w:rsidRPr="00000000">
        <w:rPr>
          <w:i w:val="1"/>
          <w:sz w:val="24"/>
          <w:szCs w:val="24"/>
          <w:rtl w:val="0"/>
        </w:rPr>
        <w:t xml:space="preserve">maestis </w:t>
      </w:r>
      <w:r w:rsidDel="00000000" w:rsidR="00000000" w:rsidRPr="00000000">
        <w:rPr>
          <w:sz w:val="24"/>
          <w:szCs w:val="24"/>
          <w:highlight w:val="white"/>
          <w:rtl w:val="0"/>
        </w:rPr>
        <w:t xml:space="preserve">(Mynors, 1958, line 60)</w:t>
      </w:r>
      <w:r w:rsidDel="00000000" w:rsidR="00000000" w:rsidRPr="00000000">
        <w:rPr>
          <w:sz w:val="24"/>
          <w:szCs w:val="24"/>
          <w:rtl w:val="0"/>
        </w:rPr>
        <w:t xml:space="preserve">. </w:t>
      </w:r>
    </w:p>
    <w:p w:rsidR="00000000" w:rsidDel="00000000" w:rsidP="00000000" w:rsidRDefault="00000000" w:rsidRPr="00000000" w14:paraId="00000008">
      <w:pPr>
        <w:spacing w:line="480" w:lineRule="auto"/>
        <w:jc w:val="both"/>
        <w:rPr>
          <w:sz w:val="24"/>
          <w:szCs w:val="24"/>
        </w:rPr>
      </w:pPr>
      <w:r w:rsidDel="00000000" w:rsidR="00000000" w:rsidRPr="00000000">
        <w:rPr>
          <w:rtl w:val="0"/>
        </w:rPr>
      </w:r>
    </w:p>
    <w:p w:rsidR="00000000" w:rsidDel="00000000" w:rsidP="00000000" w:rsidRDefault="00000000" w:rsidRPr="00000000" w14:paraId="00000009">
      <w:pPr>
        <w:spacing w:line="480" w:lineRule="auto"/>
        <w:jc w:val="both"/>
        <w:rPr>
          <w:sz w:val="24"/>
          <w:szCs w:val="24"/>
        </w:rPr>
      </w:pPr>
      <w:r w:rsidDel="00000000" w:rsidR="00000000" w:rsidRPr="00000000">
        <w:rPr>
          <w:sz w:val="24"/>
          <w:szCs w:val="24"/>
          <w:rtl w:val="0"/>
        </w:rPr>
        <w:t xml:space="preserve">Putnam also discusses the theme between ‘internal and external values’ (Putnam, 1961, p. 171) in this section of the poem. Ariadne is so focused on her internal values, which is her love for Theseus with all her heart, mind and soul, </w:t>
      </w:r>
      <w:r w:rsidDel="00000000" w:rsidR="00000000" w:rsidRPr="00000000">
        <w:rPr>
          <w:i w:val="1"/>
          <w:sz w:val="24"/>
          <w:szCs w:val="24"/>
          <w:rtl w:val="0"/>
        </w:rPr>
        <w:t xml:space="preserve">toto animo, tota pendebat perdita mente</w:t>
      </w:r>
      <w:r w:rsidDel="00000000" w:rsidR="00000000" w:rsidRPr="00000000">
        <w:rPr>
          <w:sz w:val="24"/>
          <w:szCs w:val="24"/>
          <w:rtl w:val="0"/>
        </w:rPr>
        <w:t xml:space="preserve">, </w:t>
      </w:r>
      <w:r w:rsidDel="00000000" w:rsidR="00000000" w:rsidRPr="00000000">
        <w:rPr>
          <w:sz w:val="24"/>
          <w:szCs w:val="24"/>
          <w:highlight w:val="white"/>
          <w:rtl w:val="0"/>
        </w:rPr>
        <w:t xml:space="preserve">(Mynors, 1958, line 70) </w:t>
      </w:r>
      <w:r w:rsidDel="00000000" w:rsidR="00000000" w:rsidRPr="00000000">
        <w:rPr>
          <w:sz w:val="24"/>
          <w:szCs w:val="24"/>
          <w:rtl w:val="0"/>
        </w:rPr>
        <w:t xml:space="preserve">that she is letting go of all her external values. This is evident as there is no longer any concern for her apparel, dress, hair and overall appearance. </w:t>
      </w:r>
      <w:r w:rsidDel="00000000" w:rsidR="00000000" w:rsidRPr="00000000">
        <w:rPr>
          <w:i w:val="1"/>
          <w:sz w:val="24"/>
          <w:szCs w:val="24"/>
          <w:rtl w:val="0"/>
        </w:rPr>
        <w:t xml:space="preserve">non flauo retinens subtilem uertice mitram, non contecta leui uelatum pectus amictu, non tereti strophio lactentis uincta papillas, omnia quae toto delapsa e corpore passim ipsius ante pedes fluctus salis alludebant </w:t>
      </w:r>
      <w:r w:rsidDel="00000000" w:rsidR="00000000" w:rsidRPr="00000000">
        <w:rPr>
          <w:sz w:val="24"/>
          <w:szCs w:val="24"/>
          <w:highlight w:val="white"/>
          <w:rtl w:val="0"/>
        </w:rPr>
        <w:t xml:space="preserve">(Mynors, 1958, line 63-67)</w:t>
      </w:r>
      <w:r w:rsidDel="00000000" w:rsidR="00000000" w:rsidRPr="00000000">
        <w:rPr>
          <w:sz w:val="24"/>
          <w:szCs w:val="24"/>
          <w:rtl w:val="0"/>
        </w:rPr>
        <w:t xml:space="preserve"> </w:t>
      </w:r>
      <w:r w:rsidDel="00000000" w:rsidR="00000000" w:rsidRPr="00000000">
        <w:rPr>
          <w:i w:val="1"/>
          <w:sz w:val="24"/>
          <w:szCs w:val="24"/>
          <w:rtl w:val="0"/>
        </w:rPr>
        <w:t xml:space="preserve">. </w:t>
      </w:r>
      <w:r w:rsidDel="00000000" w:rsidR="00000000" w:rsidRPr="00000000">
        <w:rPr>
          <w:sz w:val="24"/>
          <w:szCs w:val="24"/>
          <w:rtl w:val="0"/>
        </w:rPr>
        <w:t xml:space="preserve">No longer does the fine turban remain on her golden hair, no longer is she hidden by her lightly-concealing dress, no longer does the shapely band hold her milk-white breasts all of it scattered, slipping entirely from her body, plays about her feet in the salt flood </w:t>
      </w:r>
      <w:r w:rsidDel="00000000" w:rsidR="00000000" w:rsidRPr="00000000">
        <w:rPr>
          <w:sz w:val="24"/>
          <w:szCs w:val="24"/>
          <w:highlight w:val="white"/>
          <w:rtl w:val="0"/>
        </w:rPr>
        <w:t xml:space="preserve">(Smithers, 1894)</w:t>
      </w:r>
      <w:r w:rsidDel="00000000" w:rsidR="00000000" w:rsidRPr="00000000">
        <w:rPr>
          <w:sz w:val="24"/>
          <w:szCs w:val="24"/>
          <w:rtl w:val="0"/>
        </w:rPr>
        <w:t xml:space="preserve">. This lengthy list indicates how unaware she is of her present external appearance, as she has been utterly consumed with love for Theseus. It could be possible that she is even naked, as part of her torso has been bared and uncovered.</w:t>
      </w:r>
    </w:p>
    <w:p w:rsidR="00000000" w:rsidDel="00000000" w:rsidP="00000000" w:rsidRDefault="00000000" w:rsidRPr="00000000" w14:paraId="0000000A">
      <w:pPr>
        <w:spacing w:line="480" w:lineRule="auto"/>
        <w:jc w:val="both"/>
        <w:rPr>
          <w:sz w:val="24"/>
          <w:szCs w:val="24"/>
        </w:rPr>
      </w:pPr>
      <w:r w:rsidDel="00000000" w:rsidR="00000000" w:rsidRPr="00000000">
        <w:rPr>
          <w:sz w:val="24"/>
          <w:szCs w:val="24"/>
          <w:rtl w:val="0"/>
        </w:rPr>
        <w:t xml:space="preserve">In contrast it appears that Theseus is in the opposite state of mind, he is able to sail away focused on the journey ahead of him, seemingly unaware of the damage that he has left behind. The juxtaposition of his own mental state and Ariadne’s is evident as he is vanishing away swiftly </w:t>
      </w:r>
      <w:r w:rsidDel="00000000" w:rsidR="00000000" w:rsidRPr="00000000">
        <w:rPr>
          <w:i w:val="1"/>
          <w:sz w:val="24"/>
          <w:szCs w:val="24"/>
          <w:rtl w:val="0"/>
        </w:rPr>
        <w:t xml:space="preserve">Thesea cedentem celeri </w:t>
      </w:r>
      <w:r w:rsidDel="00000000" w:rsidR="00000000" w:rsidRPr="00000000">
        <w:rPr>
          <w:sz w:val="24"/>
          <w:szCs w:val="24"/>
          <w:highlight w:val="white"/>
          <w:rtl w:val="0"/>
        </w:rPr>
        <w:t xml:space="preserve">(Mynors, 1958, line 1953)</w:t>
      </w:r>
      <w:r w:rsidDel="00000000" w:rsidR="00000000" w:rsidRPr="00000000">
        <w:rPr>
          <w:i w:val="1"/>
          <w:sz w:val="24"/>
          <w:szCs w:val="24"/>
          <w:rtl w:val="0"/>
        </w:rPr>
        <w:t xml:space="preserve">. </w:t>
      </w:r>
      <w:r w:rsidDel="00000000" w:rsidR="00000000" w:rsidRPr="00000000">
        <w:rPr>
          <w:sz w:val="24"/>
          <w:szCs w:val="24"/>
          <w:rtl w:val="0"/>
        </w:rPr>
        <w:t xml:space="preserve">This alliteration in the part of the poem could be suggestive of the clashing sound of the waves around the ship and around Ariadne, </w:t>
      </w:r>
      <w:r w:rsidDel="00000000" w:rsidR="00000000" w:rsidRPr="00000000">
        <w:rPr>
          <w:i w:val="1"/>
          <w:sz w:val="24"/>
          <w:szCs w:val="24"/>
          <w:rtl w:val="0"/>
        </w:rPr>
        <w:t xml:space="preserve">cedentem celeri cum classe</w:t>
      </w:r>
      <w:r w:rsidDel="00000000" w:rsidR="00000000" w:rsidRPr="00000000">
        <w:rPr>
          <w:sz w:val="24"/>
          <w:szCs w:val="24"/>
          <w:rtl w:val="0"/>
        </w:rPr>
        <w:t xml:space="preserve">. It could also be a representation of the sound of the oars hitting the ocean in his eager hurry to get away from the island</w:t>
      </w:r>
      <w:r w:rsidDel="00000000" w:rsidR="00000000" w:rsidRPr="00000000">
        <w:rPr>
          <w:i w:val="1"/>
          <w:sz w:val="24"/>
          <w:szCs w:val="24"/>
          <w:rtl w:val="0"/>
        </w:rPr>
        <w:t xml:space="preserve"> fugiens pellit uada remis</w:t>
      </w:r>
      <w:r w:rsidDel="00000000" w:rsidR="00000000" w:rsidRPr="00000000">
        <w:rPr>
          <w:sz w:val="24"/>
          <w:szCs w:val="24"/>
          <w:rtl w:val="0"/>
        </w:rPr>
        <w:t xml:space="preserve"> </w:t>
      </w:r>
      <w:r w:rsidDel="00000000" w:rsidR="00000000" w:rsidRPr="00000000">
        <w:rPr>
          <w:sz w:val="24"/>
          <w:szCs w:val="24"/>
          <w:highlight w:val="white"/>
          <w:rtl w:val="0"/>
        </w:rPr>
        <w:t xml:space="preserve">(Mynors, 1958, line 58)</w:t>
      </w:r>
      <w:r w:rsidDel="00000000" w:rsidR="00000000" w:rsidRPr="00000000">
        <w:rPr>
          <w:sz w:val="24"/>
          <w:szCs w:val="24"/>
          <w:rtl w:val="0"/>
        </w:rPr>
        <w:t xml:space="preserve">. Although we are unaware of his internal/ emotional state Catullus has portrayed Theseus as not caring at all, or just forgetful - </w:t>
      </w:r>
      <w:r w:rsidDel="00000000" w:rsidR="00000000" w:rsidRPr="00000000">
        <w:rPr>
          <w:i w:val="1"/>
          <w:sz w:val="24"/>
          <w:szCs w:val="24"/>
          <w:rtl w:val="0"/>
        </w:rPr>
        <w:t xml:space="preserve">immemor</w:t>
      </w:r>
      <w:r w:rsidDel="00000000" w:rsidR="00000000" w:rsidRPr="00000000">
        <w:rPr>
          <w:sz w:val="24"/>
          <w:szCs w:val="24"/>
          <w:rtl w:val="0"/>
        </w:rPr>
        <w:t xml:space="preserve">. </w:t>
      </w:r>
    </w:p>
    <w:p w:rsidR="00000000" w:rsidDel="00000000" w:rsidP="00000000" w:rsidRDefault="00000000" w:rsidRPr="00000000" w14:paraId="0000000B">
      <w:pPr>
        <w:spacing w:line="480" w:lineRule="auto"/>
        <w:jc w:val="both"/>
        <w:rPr>
          <w:sz w:val="24"/>
          <w:szCs w:val="24"/>
        </w:rPr>
      </w:pPr>
      <w:r w:rsidDel="00000000" w:rsidR="00000000" w:rsidRPr="00000000">
        <w:rPr>
          <w:rtl w:val="0"/>
        </w:rPr>
      </w:r>
    </w:p>
    <w:p w:rsidR="00000000" w:rsidDel="00000000" w:rsidP="00000000" w:rsidRDefault="00000000" w:rsidRPr="00000000" w14:paraId="0000000C">
      <w:pPr>
        <w:spacing w:line="480" w:lineRule="auto"/>
        <w:jc w:val="both"/>
        <w:rPr>
          <w:sz w:val="24"/>
          <w:szCs w:val="24"/>
        </w:rPr>
      </w:pPr>
      <w:r w:rsidDel="00000000" w:rsidR="00000000" w:rsidRPr="00000000">
        <w:rPr>
          <w:sz w:val="24"/>
          <w:szCs w:val="24"/>
          <w:rtl w:val="0"/>
        </w:rPr>
        <w:t xml:space="preserve">Throughout this passage it is clear that Catullus wants the reader to have sympathy for Ariadne. The detail with which he describes her pain and the similes and adjectives he uses as a physical representation of her pain makes this clear to the reader. Putnam suggests that this is because he relates to Ariadne on a personal level with his failed relationship with Lesbia who was unfaithful (Putnam, 1961, p. 171). </w:t>
      </w:r>
      <w:r w:rsidDel="00000000" w:rsidR="00000000" w:rsidRPr="00000000">
        <w:rPr>
          <w:sz w:val="24"/>
          <w:szCs w:val="24"/>
          <w:highlight w:val="white"/>
          <w:rtl w:val="0"/>
        </w:rPr>
        <w:t xml:space="preserve">Thomson provides an excellent explanation for Ariadne’s grief. He suggests that Theseus was meant to be ‘the point of rest in her life after a brother's death, a sister's loss, in fact a family loss’ (Thomson, 1961, p. 57). This was a reflection of his own personal loss in his life that he had expected Lesbia to fulfil the loss of his own family members. (Thomson, 1961, p. 57). </w:t>
      </w:r>
      <w:r w:rsidDel="00000000" w:rsidR="00000000" w:rsidRPr="00000000">
        <w:rPr>
          <w:rtl w:val="0"/>
        </w:rPr>
      </w:r>
    </w:p>
    <w:p w:rsidR="00000000" w:rsidDel="00000000" w:rsidP="00000000" w:rsidRDefault="00000000" w:rsidRPr="00000000" w14:paraId="0000000D">
      <w:pPr>
        <w:spacing w:line="480" w:lineRule="auto"/>
        <w:jc w:val="both"/>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00E">
      <w:pPr>
        <w:spacing w:line="480" w:lineRule="auto"/>
        <w:jc w:val="both"/>
        <w:rPr>
          <w:sz w:val="24"/>
          <w:szCs w:val="24"/>
          <w:highlight w:val="white"/>
        </w:rPr>
      </w:pPr>
      <w:r w:rsidDel="00000000" w:rsidR="00000000" w:rsidRPr="00000000">
        <w:rPr>
          <w:sz w:val="24"/>
          <w:szCs w:val="24"/>
          <w:highlight w:val="white"/>
          <w:rtl w:val="0"/>
        </w:rPr>
        <w:t xml:space="preserve">Armstrong also suggests that Catullus feels strong sympathy for Ariadne. Although he is trying to write a well structured poem, his ‘pity and sympathy’ for Ariadne takes over ‘- eheu (‘she looks out, alas!’, 61) and a! misera (‘ah, poor girl!’, 71).’(Armstrong, 2006, p. 191).</w:t>
      </w:r>
    </w:p>
    <w:p w:rsidR="00000000" w:rsidDel="00000000" w:rsidP="00000000" w:rsidRDefault="00000000" w:rsidRPr="00000000" w14:paraId="0000000F">
      <w:pPr>
        <w:spacing w:line="480" w:lineRule="auto"/>
        <w:jc w:val="both"/>
        <w:rPr>
          <w:sz w:val="24"/>
          <w:szCs w:val="24"/>
        </w:rPr>
      </w:pPr>
      <w:r w:rsidDel="00000000" w:rsidR="00000000" w:rsidRPr="00000000">
        <w:rPr>
          <w:rtl w:val="0"/>
        </w:rPr>
      </w:r>
    </w:p>
    <w:p w:rsidR="00000000" w:rsidDel="00000000" w:rsidP="00000000" w:rsidRDefault="00000000" w:rsidRPr="00000000" w14:paraId="00000010">
      <w:pPr>
        <w:spacing w:line="480" w:lineRule="auto"/>
        <w:jc w:val="both"/>
        <w:rPr>
          <w:sz w:val="24"/>
          <w:szCs w:val="24"/>
        </w:rPr>
      </w:pPr>
      <w:r w:rsidDel="00000000" w:rsidR="00000000" w:rsidRPr="00000000">
        <w:rPr>
          <w:sz w:val="24"/>
          <w:szCs w:val="24"/>
          <w:rtl w:val="0"/>
        </w:rPr>
        <w:t xml:space="preserve">However, this doesn’t stop him from referring to Theseus as a hero - in the midst of the emotional destruction he left behind. This leaves the reader to question whether Theseus is actually heroic. The sense of irony could be seen in the adjectives he uses to describe him and his actions - uncaring </w:t>
      </w:r>
      <w:r w:rsidDel="00000000" w:rsidR="00000000" w:rsidRPr="00000000">
        <w:rPr>
          <w:i w:val="1"/>
          <w:sz w:val="24"/>
          <w:szCs w:val="24"/>
          <w:rtl w:val="0"/>
        </w:rPr>
        <w:t xml:space="preserve">immemor </w:t>
      </w:r>
      <w:r w:rsidDel="00000000" w:rsidR="00000000" w:rsidRPr="00000000">
        <w:rPr>
          <w:sz w:val="24"/>
          <w:szCs w:val="24"/>
          <w:rtl w:val="0"/>
        </w:rPr>
        <w:t xml:space="preserve">and vain promises </w:t>
      </w:r>
      <w:r w:rsidDel="00000000" w:rsidR="00000000" w:rsidRPr="00000000">
        <w:rPr>
          <w:i w:val="1"/>
          <w:sz w:val="24"/>
          <w:szCs w:val="24"/>
          <w:rtl w:val="0"/>
        </w:rPr>
        <w:t xml:space="preserve">irrita promissa</w:t>
      </w:r>
      <w:r w:rsidDel="00000000" w:rsidR="00000000" w:rsidRPr="00000000">
        <w:rPr>
          <w:sz w:val="24"/>
          <w:szCs w:val="24"/>
          <w:rtl w:val="0"/>
        </w:rPr>
        <w:t xml:space="preserve">. </w:t>
      </w:r>
    </w:p>
    <w:p w:rsidR="00000000" w:rsidDel="00000000" w:rsidP="00000000" w:rsidRDefault="00000000" w:rsidRPr="00000000" w14:paraId="00000011">
      <w:pPr>
        <w:spacing w:line="480" w:lineRule="auto"/>
        <w:jc w:val="both"/>
        <w:rPr>
          <w:sz w:val="24"/>
          <w:szCs w:val="24"/>
        </w:rPr>
      </w:pPr>
      <w:r w:rsidDel="00000000" w:rsidR="00000000" w:rsidRPr="00000000">
        <w:rPr>
          <w:sz w:val="24"/>
          <w:szCs w:val="24"/>
          <w:rtl w:val="0"/>
        </w:rPr>
        <w:t xml:space="preserve">The fact that very little of the passage covers Theseus indicates that he has disappeared and vanished so fast, there is no need to describe his physical appearance or emotional state. It could also be a sense of irony to call him a hero after what he has done to Ariadne. On the other hand, he refers to Theseus as warlike towards the end of this section. As this description of Theseus ends this scene, it could be seen as the root of the problem. Theseus is a man set on a mission for war designed to slay the minotaur, while Ariadne is a young woman looking for a loving relationship. They crossed paths at the wrong time of their lives. </w:t>
      </w:r>
    </w:p>
    <w:p w:rsidR="00000000" w:rsidDel="00000000" w:rsidP="00000000" w:rsidRDefault="00000000" w:rsidRPr="00000000" w14:paraId="00000012">
      <w:pPr>
        <w:spacing w:line="480" w:lineRule="auto"/>
        <w:jc w:val="both"/>
        <w:rPr>
          <w:color w:val="2a2a2a"/>
          <w:sz w:val="24"/>
          <w:szCs w:val="24"/>
          <w:highlight w:val="white"/>
        </w:rPr>
      </w:pPr>
      <w:r w:rsidDel="00000000" w:rsidR="00000000" w:rsidRPr="00000000">
        <w:rPr>
          <w:sz w:val="24"/>
          <w:szCs w:val="24"/>
          <w:rtl w:val="0"/>
        </w:rPr>
        <w:t xml:space="preserve">Armstrong suggests that the purpose of this juxtaposition is to ‘</w:t>
      </w:r>
      <w:r w:rsidDel="00000000" w:rsidR="00000000" w:rsidRPr="00000000">
        <w:rPr>
          <w:color w:val="2a2a2a"/>
          <w:sz w:val="24"/>
          <w:szCs w:val="24"/>
          <w:highlight w:val="white"/>
          <w:rtl w:val="0"/>
        </w:rPr>
        <w:t xml:space="preserve">think of the emotional effects of Theseus’ actions rather than simply marvel at his strength and courage.’ (Armstrong, 2006, p. 195).</w:t>
      </w:r>
    </w:p>
    <w:p w:rsidR="00000000" w:rsidDel="00000000" w:rsidP="00000000" w:rsidRDefault="00000000" w:rsidRPr="00000000" w14:paraId="00000013">
      <w:pPr>
        <w:spacing w:line="480" w:lineRule="auto"/>
        <w:jc w:val="both"/>
        <w:rPr>
          <w:sz w:val="24"/>
          <w:szCs w:val="24"/>
        </w:rPr>
      </w:pPr>
      <w:r w:rsidDel="00000000" w:rsidR="00000000" w:rsidRPr="00000000">
        <w:rPr>
          <w:rtl w:val="0"/>
        </w:rPr>
      </w:r>
    </w:p>
    <w:p w:rsidR="00000000" w:rsidDel="00000000" w:rsidP="00000000" w:rsidRDefault="00000000" w:rsidRPr="00000000" w14:paraId="00000014">
      <w:pPr>
        <w:spacing w:line="480" w:lineRule="auto"/>
        <w:jc w:val="both"/>
        <w:rPr>
          <w:sz w:val="24"/>
          <w:szCs w:val="24"/>
        </w:rPr>
      </w:pPr>
      <w:r w:rsidDel="00000000" w:rsidR="00000000" w:rsidRPr="00000000">
        <w:rPr>
          <w:sz w:val="24"/>
          <w:szCs w:val="24"/>
          <w:rtl w:val="0"/>
        </w:rPr>
        <w:t xml:space="preserve">Gaisser provides us with context for the contemporary audience of the poem. First of all, he suggests that readers would be familiar with the image of Ariadne looking out towards the sea watching Theseus. This was a common art theme on the walls of Pompeii (Gaisser, 2007, p. 234). It is also mentioned that there are multiple scenes of Ariadne depicted in wall paintings, however Catullus depiction in 64 varies from the norm. First of all Gaisser highlights the fact that Catullus doesn’t mention whether Ariadne is standing or not, from the depiction of the clothes falling off her and playing at her feet we can elude that she is standing (Gaisser,  2007, p. 234). He suggests that this makes the scene and her emotions all the more intense, as the usual Ariadne in paintings would be reclining. In this instance standing increases the tension in the atmosphere, as she is in desperate pain</w:t>
      </w:r>
    </w:p>
    <w:p w:rsidR="00000000" w:rsidDel="00000000" w:rsidP="00000000" w:rsidRDefault="00000000" w:rsidRPr="00000000" w14:paraId="00000015">
      <w:pPr>
        <w:spacing w:line="480" w:lineRule="auto"/>
        <w:jc w:val="both"/>
        <w:rPr>
          <w:sz w:val="24"/>
          <w:szCs w:val="24"/>
        </w:rPr>
      </w:pPr>
      <w:r w:rsidDel="00000000" w:rsidR="00000000" w:rsidRPr="00000000">
        <w:rPr>
          <w:sz w:val="24"/>
          <w:szCs w:val="24"/>
          <w:rtl w:val="0"/>
        </w:rPr>
        <w:t xml:space="preserve">and disbelief that she is watching Theseus sailing away (Gassier, 2007, p. 234). It could be suggested that this particular portrait Ariadne has a strong will to do something about her situation. She could be expressing an unconscious desire to follow him, and actually fetch him and bring him back. The fact that her feet are already in the waters shows that she had possibly started to venture out into the sea. This makes the scene even more distressing as she knows she can’t go any further without drowning in the raging storm. Muret also emphasises her reaction and comparison to a Bacchant statue, suggesting that her emotion was so great ‘for a time generally snatches away the power of speech and hinders the functions of all parts of the body’ (Muret 1555, in Gaisser, p. 237).This adds to the build up of emotions in the scene. </w:t>
      </w:r>
    </w:p>
    <w:p w:rsidR="00000000" w:rsidDel="00000000" w:rsidP="00000000" w:rsidRDefault="00000000" w:rsidRPr="00000000" w14:paraId="00000016">
      <w:pPr>
        <w:spacing w:line="480" w:lineRule="auto"/>
        <w:jc w:val="both"/>
        <w:rPr>
          <w:sz w:val="24"/>
          <w:szCs w:val="24"/>
        </w:rPr>
      </w:pPr>
      <w:r w:rsidDel="00000000" w:rsidR="00000000" w:rsidRPr="00000000">
        <w:rPr>
          <w:rtl w:val="0"/>
        </w:rPr>
      </w:r>
    </w:p>
    <w:p w:rsidR="00000000" w:rsidDel="00000000" w:rsidP="00000000" w:rsidRDefault="00000000" w:rsidRPr="00000000" w14:paraId="00000017">
      <w:pPr>
        <w:spacing w:line="480" w:lineRule="auto"/>
        <w:jc w:val="both"/>
        <w:rPr>
          <w:sz w:val="24"/>
          <w:szCs w:val="24"/>
        </w:rPr>
      </w:pPr>
      <w:r w:rsidDel="00000000" w:rsidR="00000000" w:rsidRPr="00000000">
        <w:rPr>
          <w:sz w:val="24"/>
          <w:szCs w:val="24"/>
          <w:highlight w:val="white"/>
          <w:rtl w:val="0"/>
        </w:rPr>
        <w:t xml:space="preserve">This is a common example of Catullus' famous use of similes (Murgatroyd, 1997, p. 75). There are about six throughout poem 64 and Ariadne standing like a Bacchant statue is one of them. Murgatrord has suggested that Ariadne’s stance may not be as negative as most suggestions have been. He argues the fact that Ariadne is standing like a Bacchant statue is hinting of a more positive happy ending of her marriage to Bacchus (Murgatroyd, 1997, p. 76). An significant way Catullus indicates how statue-like Ariadne has become is by not mentioning Ariadne's temperature. She is standing barefoot in water, barely clothed in a storm and there is no mention of how cold she should be, which makes her more stonelike and the image more powerful. </w:t>
      </w:r>
      <w:r w:rsidDel="00000000" w:rsidR="00000000" w:rsidRPr="00000000">
        <w:rPr>
          <w:rtl w:val="0"/>
        </w:rPr>
      </w:r>
    </w:p>
    <w:p w:rsidR="00000000" w:rsidDel="00000000" w:rsidP="00000000" w:rsidRDefault="00000000" w:rsidRPr="00000000" w14:paraId="00000018">
      <w:pPr>
        <w:spacing w:line="480" w:lineRule="auto"/>
        <w:jc w:val="both"/>
        <w:rPr>
          <w:sz w:val="24"/>
          <w:szCs w:val="24"/>
        </w:rPr>
      </w:pPr>
      <w:r w:rsidDel="00000000" w:rsidR="00000000" w:rsidRPr="00000000">
        <w:rPr>
          <w:rtl w:val="0"/>
        </w:rPr>
      </w:r>
    </w:p>
    <w:p w:rsidR="00000000" w:rsidDel="00000000" w:rsidP="00000000" w:rsidRDefault="00000000" w:rsidRPr="00000000" w14:paraId="00000019">
      <w:pPr>
        <w:spacing w:line="480" w:lineRule="auto"/>
        <w:jc w:val="both"/>
        <w:rPr>
          <w:sz w:val="24"/>
          <w:szCs w:val="24"/>
          <w:highlight w:val="white"/>
        </w:rPr>
      </w:pPr>
      <w:r w:rsidDel="00000000" w:rsidR="00000000" w:rsidRPr="00000000">
        <w:rPr>
          <w:sz w:val="24"/>
          <w:szCs w:val="24"/>
          <w:rtl w:val="0"/>
        </w:rPr>
        <w:t xml:space="preserve">Although not much is mentioned of Theseus in this passage, there has been much scholarly debate on the contrast between the ekphrasis on praising men’s heroic deeds, and Theseus abandoning Ariadne. </w:t>
      </w:r>
      <w:r w:rsidDel="00000000" w:rsidR="00000000" w:rsidRPr="00000000">
        <w:rPr>
          <w:i w:val="1"/>
          <w:sz w:val="24"/>
          <w:szCs w:val="24"/>
          <w:highlight w:val="white"/>
          <w:rtl w:val="0"/>
        </w:rPr>
        <w:t xml:space="preserve">haec vestis priscis hominum variata figuris heroum mira virtutes indicat arte</w:t>
      </w:r>
      <w:r w:rsidDel="00000000" w:rsidR="00000000" w:rsidRPr="00000000">
        <w:rPr>
          <w:sz w:val="24"/>
          <w:szCs w:val="24"/>
          <w:highlight w:val="white"/>
          <w:rtl w:val="0"/>
        </w:rPr>
        <w:t xml:space="preserve">. (Mynors, 1958, line 51) </w:t>
      </w:r>
      <w:r w:rsidDel="00000000" w:rsidR="00000000" w:rsidRPr="00000000">
        <w:rPr>
          <w:sz w:val="24"/>
          <w:szCs w:val="24"/>
          <w:highlight w:val="white"/>
          <w:rtl w:val="0"/>
        </w:rPr>
        <w:t xml:space="preserve">This tapestry embroidered with figures of men of ancient time portrays with admirable art the heroes' valour (Smithers, 1894). The next we hear of Theseus he’s described as the ‘heedless youth, flying away’ (Smithers, 1894). Konstan suggests that this is used by Catullus to give the reader a sense of irony (Konstan in Skinner, 2007, pg. 77). On the other hand, Gaisser, Theocritus &amp; Muret realises that there is more than one way to look at Theseus and his actions (Gaisser, 200, p. 237) First of all his forgetfulness of Ariadne was induced by the ‘will of Dionysus’ (Wendel  1967 in Gaisser, 2007, p. 237) and it was not because he was ungrateful (Muret 1555, Gaisser, p. 237). Gaisser suggests that this ‘exonerates’ Theseus (Gaisser, 2007, p. 237), but that would be in our eyes, not in Ariadne’s. </w:t>
      </w:r>
    </w:p>
    <w:p w:rsidR="00000000" w:rsidDel="00000000" w:rsidP="00000000" w:rsidRDefault="00000000" w:rsidRPr="00000000" w14:paraId="0000001A">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1B">
      <w:pPr>
        <w:spacing w:line="480" w:lineRule="auto"/>
        <w:jc w:val="both"/>
        <w:rPr>
          <w:sz w:val="24"/>
          <w:szCs w:val="24"/>
          <w:highlight w:val="white"/>
        </w:rPr>
      </w:pPr>
      <w:r w:rsidDel="00000000" w:rsidR="00000000" w:rsidRPr="00000000">
        <w:rPr>
          <w:sz w:val="24"/>
          <w:szCs w:val="24"/>
          <w:highlight w:val="white"/>
          <w:rtl w:val="0"/>
        </w:rPr>
        <w:t xml:space="preserve">Although the majority of scholars on the topic have chosen to take sides on the judgement and analysis of Ariadne and Theseus' character and how Catullus has chosen to portray them, Knopp is one of the few scholars who suggest that this topic is meant to be deliberately confusing (Knopp, 1976, p. 207). The main themes analysed is the theme of love/ passion and heroism. She’s divided the content in  64 to see if they represent passion or heroism and has found a balance between both of them. The section I am covering (Ariadne’s betrayal) falls within passion and the ending touches on the theme of the next section, Theseus heroism (Knopp, 1976, p. 207). </w:t>
      </w:r>
    </w:p>
    <w:p w:rsidR="00000000" w:rsidDel="00000000" w:rsidP="00000000" w:rsidRDefault="00000000" w:rsidRPr="00000000" w14:paraId="0000001C">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1D">
      <w:pPr>
        <w:spacing w:line="480" w:lineRule="auto"/>
        <w:jc w:val="both"/>
        <w:rPr>
          <w:sz w:val="24"/>
          <w:szCs w:val="24"/>
          <w:highlight w:val="white"/>
        </w:rPr>
      </w:pPr>
      <w:r w:rsidDel="00000000" w:rsidR="00000000" w:rsidRPr="00000000">
        <w:rPr>
          <w:sz w:val="24"/>
          <w:szCs w:val="24"/>
          <w:highlight w:val="white"/>
          <w:rtl w:val="0"/>
        </w:rPr>
        <w:t xml:space="preserve">Up till now most studies indicate that Theseus is in the wrong and portray Ariadne as the unwilling victim. However, Knopp suggests that both characters have their flaws and failings (Knopp, 1976, p. 208). She left her family to help Theseus for personal passion rather than heroic deeds, and part of Theseus' motivation to slay the Minotaur is for the praise of others (Knopp, 1976, p. 207). In this way both of them have their strengths and weaknesses in character.</w:t>
      </w:r>
    </w:p>
    <w:p w:rsidR="00000000" w:rsidDel="00000000" w:rsidP="00000000" w:rsidRDefault="00000000" w:rsidRPr="00000000" w14:paraId="0000001E">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1F">
      <w:pPr>
        <w:spacing w:line="480" w:lineRule="auto"/>
        <w:jc w:val="both"/>
        <w:rPr>
          <w:sz w:val="24"/>
          <w:szCs w:val="24"/>
          <w:highlight w:val="white"/>
        </w:rPr>
      </w:pPr>
      <w:r w:rsidDel="00000000" w:rsidR="00000000" w:rsidRPr="00000000">
        <w:rPr>
          <w:sz w:val="24"/>
          <w:szCs w:val="24"/>
          <w:highlight w:val="white"/>
          <w:rtl w:val="0"/>
        </w:rPr>
        <w:t xml:space="preserve">Konstan flags one of the important questions about this part of the poem - why is this tragedy depicted on a marriage bed covering. He suggests that the eventual happy ending of Bacchus ‘inflamed’ with love for Ariadne and them becoming a romantic pair is the reason for the story - Ariadne and Theseus are not the main point of the tapestry (Konstan, 2007, p. 66). He also suggests it could be that Catullus just wanted a change of tone at that very happy point in the poem (Konstan, 2007, p. 67), and that there may be no deeper meaning behind this as some moralistic critics suggest (Konstan, 2007, p. 67). </w:t>
      </w:r>
    </w:p>
    <w:p w:rsidR="00000000" w:rsidDel="00000000" w:rsidP="00000000" w:rsidRDefault="00000000" w:rsidRPr="00000000" w14:paraId="00000020">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21">
      <w:pPr>
        <w:spacing w:line="480" w:lineRule="auto"/>
        <w:jc w:val="both"/>
        <w:rPr>
          <w:sz w:val="24"/>
          <w:szCs w:val="24"/>
          <w:highlight w:val="white"/>
        </w:rPr>
      </w:pPr>
      <w:r w:rsidDel="00000000" w:rsidR="00000000" w:rsidRPr="00000000">
        <w:rPr>
          <w:sz w:val="24"/>
          <w:szCs w:val="24"/>
          <w:highlight w:val="white"/>
          <w:rtl w:val="0"/>
        </w:rPr>
        <w:t xml:space="preserve">The story of Ariadne is told by a description of her on an embroidered piece of cloth. Wasdin suggests that this is a deliberate choice by Catullus to represent the art of storytelling, and to symbolise the way he likes to weave stories into each other, like the ekphrasis of Ariadne and Theseus during the wedding of Peleus and Thetis, (Wasdin, 2017, p. 185). Just as the embroidered tapestry is made by weaving multiple colour threads together, so Catullus writes his own poems, weaving multiple stories, non-chronological time frames, structures, styles and similes together to form one of the memorable poems in Roman literature  (Wasdin, 2017, p. 185).</w:t>
      </w:r>
    </w:p>
    <w:p w:rsidR="00000000" w:rsidDel="00000000" w:rsidP="00000000" w:rsidRDefault="00000000" w:rsidRPr="00000000" w14:paraId="00000022">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23">
      <w:pPr>
        <w:spacing w:line="480" w:lineRule="auto"/>
        <w:jc w:val="both"/>
        <w:rPr>
          <w:sz w:val="24"/>
          <w:szCs w:val="24"/>
          <w:highlight w:val="white"/>
        </w:rPr>
      </w:pPr>
      <w:r w:rsidDel="00000000" w:rsidR="00000000" w:rsidRPr="00000000">
        <w:rPr>
          <w:sz w:val="24"/>
          <w:szCs w:val="24"/>
          <w:highlight w:val="white"/>
          <w:rtl w:val="0"/>
        </w:rPr>
        <w:t xml:space="preserve">Overall, we can see that Catullus poem 64 has inspired not only other writers but creators in different fields of art. This is due to his own love for art, passionate story telling, strong visuals, sounds, emotion and strong attention to detail. Whereas Konstan and Wasdin agree that this passage is meant to reflect a positive story, Gaisser and Armstrong would support the idea that the ekphrasis was meant to be a tragedy. On the other hand Knopp argues that it was meant to be confusing, both Ariadne and Theseus have significant flaws and therefore takes no sides. Not only the theme but the overall tone had been dissected to understand whether 64 was meant to be positive, negative, or just a warning about marriage. Poem 64, and especially lines 47 - 75 highlight Catullus' strong story-telling skills which are proven in the amount of literature of analysis and artwork that have been produced as a result. There are many layers to the story, the characters and the themes, and the same poem can portray more than one message depending on the reader, Gaisser suggests ‘A poem of twists and turns alleys, and internal and external contradictions, Catullus' masterpiece is both a web and a labyrinth’ (Gaisser, 1995, p. 580).</w:t>
      </w:r>
    </w:p>
    <w:p w:rsidR="00000000" w:rsidDel="00000000" w:rsidP="00000000" w:rsidRDefault="00000000" w:rsidRPr="00000000" w14:paraId="00000024">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25">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26">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27">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28">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29">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2A">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2B">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2C">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2D">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2E">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2F">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30">
      <w:pPr>
        <w:jc w:val="both"/>
        <w:rPr>
          <w:sz w:val="24"/>
          <w:szCs w:val="24"/>
          <w:highlight w:val="white"/>
        </w:rPr>
      </w:pPr>
      <w:r w:rsidDel="00000000" w:rsidR="00000000" w:rsidRPr="00000000">
        <w:rPr>
          <w:rtl w:val="0"/>
        </w:rPr>
      </w:r>
    </w:p>
    <w:p w:rsidR="00000000" w:rsidDel="00000000" w:rsidP="00000000" w:rsidRDefault="00000000" w:rsidRPr="00000000" w14:paraId="00000031">
      <w:pPr>
        <w:jc w:val="both"/>
        <w:rPr>
          <w:sz w:val="24"/>
          <w:szCs w:val="24"/>
          <w:highlight w:val="white"/>
        </w:rPr>
      </w:pPr>
      <w:r w:rsidDel="00000000" w:rsidR="00000000" w:rsidRPr="00000000">
        <w:rPr>
          <w:rtl w:val="0"/>
        </w:rPr>
      </w:r>
    </w:p>
    <w:p w:rsidR="00000000" w:rsidDel="00000000" w:rsidP="00000000" w:rsidRDefault="00000000" w:rsidRPr="00000000" w14:paraId="00000032">
      <w:pPr>
        <w:jc w:val="both"/>
        <w:rPr>
          <w:sz w:val="24"/>
          <w:szCs w:val="24"/>
          <w:highlight w:val="white"/>
        </w:rPr>
      </w:pPr>
      <w:r w:rsidDel="00000000" w:rsidR="00000000" w:rsidRPr="00000000">
        <w:rPr>
          <w:rtl w:val="0"/>
        </w:rPr>
      </w:r>
    </w:p>
    <w:p w:rsidR="00000000" w:rsidDel="00000000" w:rsidP="00000000" w:rsidRDefault="00000000" w:rsidRPr="00000000" w14:paraId="00000033">
      <w:pPr>
        <w:jc w:val="both"/>
        <w:rPr>
          <w:sz w:val="24"/>
          <w:szCs w:val="24"/>
          <w:highlight w:val="white"/>
        </w:rPr>
      </w:pPr>
      <w:r w:rsidDel="00000000" w:rsidR="00000000" w:rsidRPr="00000000">
        <w:rPr>
          <w:rtl w:val="0"/>
        </w:rPr>
      </w:r>
    </w:p>
    <w:p w:rsidR="00000000" w:rsidDel="00000000" w:rsidP="00000000" w:rsidRDefault="00000000" w:rsidRPr="00000000" w14:paraId="00000034">
      <w:pPr>
        <w:jc w:val="both"/>
        <w:rPr>
          <w:highlight w:val="white"/>
        </w:rPr>
      </w:pPr>
      <w:r w:rsidDel="00000000" w:rsidR="00000000" w:rsidRPr="00000000">
        <w:rPr>
          <w:highlight w:val="white"/>
          <w:rtl w:val="0"/>
        </w:rPr>
        <w:t xml:space="preserve">Bibliography </w:t>
      </w:r>
    </w:p>
    <w:p w:rsidR="00000000" w:rsidDel="00000000" w:rsidP="00000000" w:rsidRDefault="00000000" w:rsidRPr="00000000" w14:paraId="00000035">
      <w:pPr>
        <w:rPr>
          <w:highlight w:val="white"/>
        </w:rPr>
      </w:pPr>
      <w:r w:rsidDel="00000000" w:rsidR="00000000" w:rsidRPr="00000000">
        <w:rPr>
          <w:rtl w:val="0"/>
        </w:rPr>
      </w:r>
    </w:p>
    <w:p w:rsidR="00000000" w:rsidDel="00000000" w:rsidP="00000000" w:rsidRDefault="00000000" w:rsidRPr="00000000" w14:paraId="00000036">
      <w:pPr>
        <w:jc w:val="both"/>
        <w:rPr>
          <w:color w:val="333333"/>
          <w:highlight w:val="white"/>
        </w:rPr>
      </w:pPr>
      <w:r w:rsidDel="00000000" w:rsidR="00000000" w:rsidRPr="00000000">
        <w:rPr>
          <w:color w:val="333333"/>
          <w:highlight w:val="white"/>
          <w:rtl w:val="0"/>
        </w:rPr>
        <w:t xml:space="preserve">Armstrong R. (2006) </w:t>
      </w:r>
      <w:r w:rsidDel="00000000" w:rsidR="00000000" w:rsidRPr="00000000">
        <w:rPr>
          <w:i w:val="1"/>
          <w:color w:val="333333"/>
          <w:highlight w:val="white"/>
          <w:rtl w:val="0"/>
        </w:rPr>
        <w:t xml:space="preserve">Cretan Women. Pasiphae, Ariadne, and Phaedra in Latin Poetry </w:t>
      </w:r>
      <w:r w:rsidDel="00000000" w:rsidR="00000000" w:rsidRPr="00000000">
        <w:rPr>
          <w:color w:val="333333"/>
          <w:highlight w:val="white"/>
          <w:rtl w:val="0"/>
        </w:rPr>
        <w:t xml:space="preserve">Oxford: Oxford University Press. </w:t>
      </w:r>
    </w:p>
    <w:p w:rsidR="00000000" w:rsidDel="00000000" w:rsidP="00000000" w:rsidRDefault="00000000" w:rsidRPr="00000000" w14:paraId="00000037">
      <w:pPr>
        <w:jc w:val="both"/>
        <w:rPr>
          <w:color w:val="333333"/>
          <w:highlight w:val="white"/>
        </w:rPr>
      </w:pPr>
      <w:r w:rsidDel="00000000" w:rsidR="00000000" w:rsidRPr="00000000">
        <w:rPr>
          <w:rtl w:val="0"/>
        </w:rPr>
      </w:r>
    </w:p>
    <w:p w:rsidR="00000000" w:rsidDel="00000000" w:rsidP="00000000" w:rsidRDefault="00000000" w:rsidRPr="00000000" w14:paraId="00000038">
      <w:pPr>
        <w:rPr>
          <w:highlight w:val="white"/>
        </w:rPr>
      </w:pPr>
      <w:r w:rsidDel="00000000" w:rsidR="00000000" w:rsidRPr="00000000">
        <w:rPr>
          <w:highlight w:val="white"/>
          <w:rtl w:val="0"/>
        </w:rPr>
        <w:t xml:space="preserve">Elsner, J. (2007) ‘Viewing Ariadne: From Ekphrasis to Wall Painting in the Roman World.’ </w:t>
      </w:r>
      <w:r w:rsidDel="00000000" w:rsidR="00000000" w:rsidRPr="00000000">
        <w:rPr>
          <w:i w:val="1"/>
          <w:highlight w:val="white"/>
          <w:rtl w:val="0"/>
        </w:rPr>
        <w:t xml:space="preserve">Classical Philology</w:t>
      </w:r>
      <w:r w:rsidDel="00000000" w:rsidR="00000000" w:rsidRPr="00000000">
        <w:rPr>
          <w:highlight w:val="white"/>
          <w:rtl w:val="0"/>
        </w:rPr>
        <w:t xml:space="preserve">, 102, pp. 20 - 44. </w:t>
      </w:r>
    </w:p>
    <w:p w:rsidR="00000000" w:rsidDel="00000000" w:rsidP="00000000" w:rsidRDefault="00000000" w:rsidRPr="00000000" w14:paraId="00000039">
      <w:pPr>
        <w:rPr>
          <w:highlight w:val="white"/>
        </w:rPr>
      </w:pPr>
      <w:r w:rsidDel="00000000" w:rsidR="00000000" w:rsidRPr="00000000">
        <w:rPr>
          <w:highlight w:val="white"/>
          <w:rtl w:val="0"/>
        </w:rPr>
        <w:t xml:space="preserve">Available at: </w:t>
      </w:r>
      <w:hyperlink r:id="rId6">
        <w:r w:rsidDel="00000000" w:rsidR="00000000" w:rsidRPr="00000000">
          <w:rPr>
            <w:color w:val="1155cc"/>
            <w:highlight w:val="white"/>
            <w:u w:val="single"/>
            <w:rtl w:val="0"/>
          </w:rPr>
          <w:t xml:space="preserve">https://www.jstor.org/stable/10.1086/521130</w:t>
        </w:r>
      </w:hyperlink>
      <w:r w:rsidDel="00000000" w:rsidR="00000000" w:rsidRPr="00000000">
        <w:rPr>
          <w:rtl w:val="0"/>
        </w:rPr>
      </w:r>
    </w:p>
    <w:p w:rsidR="00000000" w:rsidDel="00000000" w:rsidP="00000000" w:rsidRDefault="00000000" w:rsidRPr="00000000" w14:paraId="0000003A">
      <w:pPr>
        <w:rPr>
          <w:highlight w:val="white"/>
        </w:rPr>
      </w:pPr>
      <w:r w:rsidDel="00000000" w:rsidR="00000000" w:rsidRPr="00000000">
        <w:rPr>
          <w:rtl w:val="0"/>
        </w:rPr>
      </w:r>
    </w:p>
    <w:p w:rsidR="00000000" w:rsidDel="00000000" w:rsidP="00000000" w:rsidRDefault="00000000" w:rsidRPr="00000000" w14:paraId="0000003B">
      <w:pPr>
        <w:jc w:val="both"/>
        <w:rPr>
          <w:color w:val="333333"/>
          <w:highlight w:val="white"/>
        </w:rPr>
      </w:pPr>
      <w:r w:rsidDel="00000000" w:rsidR="00000000" w:rsidRPr="00000000">
        <w:rPr>
          <w:color w:val="333333"/>
          <w:highlight w:val="white"/>
          <w:rtl w:val="0"/>
        </w:rPr>
        <w:t xml:space="preserve">Gaisser J. H. (2007) </w:t>
      </w:r>
      <w:r w:rsidDel="00000000" w:rsidR="00000000" w:rsidRPr="00000000">
        <w:rPr>
          <w:i w:val="1"/>
          <w:color w:val="333333"/>
          <w:highlight w:val="white"/>
          <w:rtl w:val="0"/>
        </w:rPr>
        <w:t xml:space="preserve">Catullus </w:t>
      </w:r>
      <w:r w:rsidDel="00000000" w:rsidR="00000000" w:rsidRPr="00000000">
        <w:rPr>
          <w:color w:val="333333"/>
          <w:highlight w:val="white"/>
          <w:rtl w:val="0"/>
        </w:rPr>
        <w:t xml:space="preserve">Oxford: Oxford University Press.</w:t>
      </w:r>
    </w:p>
    <w:p w:rsidR="00000000" w:rsidDel="00000000" w:rsidP="00000000" w:rsidRDefault="00000000" w:rsidRPr="00000000" w14:paraId="0000003C">
      <w:pPr>
        <w:jc w:val="both"/>
        <w:rPr>
          <w:highlight w:val="white"/>
        </w:rPr>
      </w:pPr>
      <w:r w:rsidDel="00000000" w:rsidR="00000000" w:rsidRPr="00000000">
        <w:rPr>
          <w:rtl w:val="0"/>
        </w:rPr>
      </w:r>
    </w:p>
    <w:p w:rsidR="00000000" w:rsidDel="00000000" w:rsidP="00000000" w:rsidRDefault="00000000" w:rsidRPr="00000000" w14:paraId="0000003D">
      <w:pPr>
        <w:jc w:val="both"/>
        <w:rPr>
          <w:highlight w:val="white"/>
        </w:rPr>
      </w:pPr>
      <w:r w:rsidDel="00000000" w:rsidR="00000000" w:rsidRPr="00000000">
        <w:rPr>
          <w:highlight w:val="white"/>
          <w:rtl w:val="0"/>
        </w:rPr>
        <w:t xml:space="preserve">Gaisser, J. H. (1995) ‘Threads in the Labyrinth: Competing Views and Voices in Catullus 64.’ </w:t>
      </w:r>
      <w:r w:rsidDel="00000000" w:rsidR="00000000" w:rsidRPr="00000000">
        <w:rPr>
          <w:i w:val="1"/>
          <w:highlight w:val="white"/>
          <w:rtl w:val="0"/>
        </w:rPr>
        <w:t xml:space="preserve">AJPh </w:t>
      </w:r>
      <w:r w:rsidDel="00000000" w:rsidR="00000000" w:rsidRPr="00000000">
        <w:rPr>
          <w:highlight w:val="white"/>
          <w:rtl w:val="0"/>
        </w:rPr>
        <w:t xml:space="preserve">116: pp.  579-616.</w:t>
      </w:r>
    </w:p>
    <w:p w:rsidR="00000000" w:rsidDel="00000000" w:rsidP="00000000" w:rsidRDefault="00000000" w:rsidRPr="00000000" w14:paraId="0000003E">
      <w:pPr>
        <w:jc w:val="both"/>
        <w:rPr>
          <w:color w:val="333333"/>
          <w:highlight w:val="white"/>
        </w:rPr>
      </w:pPr>
      <w:r w:rsidDel="00000000" w:rsidR="00000000" w:rsidRPr="00000000">
        <w:rPr>
          <w:rtl w:val="0"/>
        </w:rPr>
      </w:r>
    </w:p>
    <w:p w:rsidR="00000000" w:rsidDel="00000000" w:rsidP="00000000" w:rsidRDefault="00000000" w:rsidRPr="00000000" w14:paraId="0000003F">
      <w:pPr>
        <w:jc w:val="both"/>
        <w:rPr>
          <w:color w:val="333333"/>
          <w:highlight w:val="white"/>
        </w:rPr>
      </w:pPr>
      <w:r w:rsidDel="00000000" w:rsidR="00000000" w:rsidRPr="00000000">
        <w:rPr>
          <w:highlight w:val="white"/>
          <w:rtl w:val="0"/>
        </w:rPr>
        <w:t xml:space="preserve">Knopp, S. E. (1976) ‘Catullus 64 and the Conflict Between ‘Amores’ and ‘Virtutes.’ Classical Philology, 71: pp. 207 - 213. </w:t>
      </w:r>
      <w:r w:rsidDel="00000000" w:rsidR="00000000" w:rsidRPr="00000000">
        <w:rPr>
          <w:rtl w:val="0"/>
        </w:rPr>
      </w:r>
    </w:p>
    <w:p w:rsidR="00000000" w:rsidDel="00000000" w:rsidP="00000000" w:rsidRDefault="00000000" w:rsidRPr="00000000" w14:paraId="00000040">
      <w:pPr>
        <w:jc w:val="both"/>
        <w:rPr>
          <w:color w:val="333333"/>
          <w:highlight w:val="white"/>
        </w:rPr>
      </w:pPr>
      <w:r w:rsidDel="00000000" w:rsidR="00000000" w:rsidRPr="00000000">
        <w:rPr>
          <w:rtl w:val="0"/>
        </w:rPr>
      </w:r>
    </w:p>
    <w:p w:rsidR="00000000" w:rsidDel="00000000" w:rsidP="00000000" w:rsidRDefault="00000000" w:rsidRPr="00000000" w14:paraId="00000041">
      <w:pPr>
        <w:jc w:val="both"/>
        <w:rPr>
          <w:highlight w:val="white"/>
        </w:rPr>
      </w:pPr>
      <w:r w:rsidDel="00000000" w:rsidR="00000000" w:rsidRPr="00000000">
        <w:rPr>
          <w:highlight w:val="white"/>
          <w:rtl w:val="0"/>
        </w:rPr>
        <w:t xml:space="preserve">Konstan, D. ‘The Contemporary Political Context’ in Skinner, M. (2007) </w:t>
      </w:r>
      <w:r w:rsidDel="00000000" w:rsidR="00000000" w:rsidRPr="00000000">
        <w:rPr>
          <w:i w:val="1"/>
          <w:highlight w:val="white"/>
          <w:rtl w:val="0"/>
        </w:rPr>
        <w:t xml:space="preserve">A Companion to Catullus</w:t>
      </w:r>
      <w:r w:rsidDel="00000000" w:rsidR="00000000" w:rsidRPr="00000000">
        <w:rPr>
          <w:highlight w:val="white"/>
          <w:rtl w:val="0"/>
        </w:rPr>
        <w:t xml:space="preserve"> Malden: Wiley Blackwell. </w:t>
      </w:r>
    </w:p>
    <w:p w:rsidR="00000000" w:rsidDel="00000000" w:rsidP="00000000" w:rsidRDefault="00000000" w:rsidRPr="00000000" w14:paraId="00000042">
      <w:pPr>
        <w:jc w:val="both"/>
        <w:rPr>
          <w:color w:val="333333"/>
          <w:highlight w:val="white"/>
        </w:rPr>
      </w:pPr>
      <w:r w:rsidDel="00000000" w:rsidR="00000000" w:rsidRPr="00000000">
        <w:rPr>
          <w:rtl w:val="0"/>
        </w:rPr>
      </w:r>
    </w:p>
    <w:p w:rsidR="00000000" w:rsidDel="00000000" w:rsidP="00000000" w:rsidRDefault="00000000" w:rsidRPr="00000000" w14:paraId="00000043">
      <w:pPr>
        <w:jc w:val="both"/>
        <w:rPr>
          <w:color w:val="333333"/>
          <w:highlight w:val="white"/>
        </w:rPr>
      </w:pPr>
      <w:r w:rsidDel="00000000" w:rsidR="00000000" w:rsidRPr="00000000">
        <w:rPr>
          <w:rtl w:val="0"/>
        </w:rPr>
      </w:r>
    </w:p>
    <w:p w:rsidR="00000000" w:rsidDel="00000000" w:rsidP="00000000" w:rsidRDefault="00000000" w:rsidRPr="00000000" w14:paraId="00000044">
      <w:pPr>
        <w:jc w:val="both"/>
        <w:rPr>
          <w:color w:val="333333"/>
          <w:highlight w:val="white"/>
        </w:rPr>
      </w:pPr>
      <w:r w:rsidDel="00000000" w:rsidR="00000000" w:rsidRPr="00000000">
        <w:rPr>
          <w:color w:val="333333"/>
          <w:highlight w:val="white"/>
          <w:rtl w:val="0"/>
        </w:rPr>
        <w:t xml:space="preserve">Murgatroyd, Paul. (1997) ‘The Similes in Catullus 64.’ </w:t>
      </w:r>
      <w:r w:rsidDel="00000000" w:rsidR="00000000" w:rsidRPr="00000000">
        <w:rPr>
          <w:i w:val="1"/>
          <w:color w:val="333333"/>
          <w:highlight w:val="white"/>
          <w:rtl w:val="0"/>
        </w:rPr>
        <w:t xml:space="preserve">Hermes</w:t>
      </w:r>
      <w:r w:rsidDel="00000000" w:rsidR="00000000" w:rsidRPr="00000000">
        <w:rPr>
          <w:color w:val="333333"/>
          <w:highlight w:val="white"/>
          <w:rtl w:val="0"/>
        </w:rPr>
        <w:t xml:space="preserve">, 125: pp. 75 - 84. </w:t>
      </w:r>
    </w:p>
    <w:p w:rsidR="00000000" w:rsidDel="00000000" w:rsidP="00000000" w:rsidRDefault="00000000" w:rsidRPr="00000000" w14:paraId="00000045">
      <w:pPr>
        <w:jc w:val="both"/>
        <w:rPr>
          <w:highlight w:val="white"/>
        </w:rPr>
      </w:pPr>
      <w:r w:rsidDel="00000000" w:rsidR="00000000" w:rsidRPr="00000000">
        <w:rPr>
          <w:rtl w:val="0"/>
        </w:rPr>
      </w:r>
    </w:p>
    <w:p w:rsidR="00000000" w:rsidDel="00000000" w:rsidP="00000000" w:rsidRDefault="00000000" w:rsidRPr="00000000" w14:paraId="00000046">
      <w:pPr>
        <w:spacing w:line="276" w:lineRule="auto"/>
        <w:jc w:val="both"/>
        <w:rPr>
          <w:color w:val="333333"/>
          <w:highlight w:val="white"/>
        </w:rPr>
      </w:pPr>
      <w:r w:rsidDel="00000000" w:rsidR="00000000" w:rsidRPr="00000000">
        <w:rPr>
          <w:color w:val="333333"/>
          <w:highlight w:val="white"/>
          <w:rtl w:val="0"/>
        </w:rPr>
        <w:t xml:space="preserve">Mynors, R. A. B. (1958) </w:t>
      </w:r>
      <w:r w:rsidDel="00000000" w:rsidR="00000000" w:rsidRPr="00000000">
        <w:rPr>
          <w:i w:val="1"/>
          <w:color w:val="333333"/>
          <w:highlight w:val="white"/>
          <w:rtl w:val="0"/>
        </w:rPr>
        <w:t xml:space="preserve">Catullus Carmina (Oxford Classical Texts) </w:t>
      </w:r>
      <w:r w:rsidDel="00000000" w:rsidR="00000000" w:rsidRPr="00000000">
        <w:rPr>
          <w:color w:val="333333"/>
          <w:highlight w:val="white"/>
          <w:rtl w:val="0"/>
        </w:rPr>
        <w:t xml:space="preserve">New York: Oxford University Press.</w:t>
      </w:r>
    </w:p>
    <w:p w:rsidR="00000000" w:rsidDel="00000000" w:rsidP="00000000" w:rsidRDefault="00000000" w:rsidRPr="00000000" w14:paraId="00000047">
      <w:pPr>
        <w:spacing w:line="276" w:lineRule="auto"/>
        <w:jc w:val="both"/>
        <w:rPr>
          <w:color w:val="333333"/>
        </w:rPr>
      </w:pPr>
      <w:r w:rsidDel="00000000" w:rsidR="00000000" w:rsidRPr="00000000">
        <w:rPr>
          <w:rtl w:val="0"/>
        </w:rPr>
      </w:r>
    </w:p>
    <w:p w:rsidR="00000000" w:rsidDel="00000000" w:rsidP="00000000" w:rsidRDefault="00000000" w:rsidRPr="00000000" w14:paraId="00000048">
      <w:pPr>
        <w:shd w:fill="f3f3f3" w:val="clear"/>
        <w:jc w:val="both"/>
        <w:rPr/>
      </w:pPr>
      <w:r w:rsidDel="00000000" w:rsidR="00000000" w:rsidRPr="00000000">
        <w:rPr>
          <w:rtl w:val="0"/>
        </w:rPr>
        <w:t xml:space="preserve">Putnam, Michael C. J. (1961) ‘The Art of Catullus 64.’ </w:t>
      </w:r>
      <w:r w:rsidDel="00000000" w:rsidR="00000000" w:rsidRPr="00000000">
        <w:rPr>
          <w:i w:val="1"/>
          <w:rtl w:val="0"/>
        </w:rPr>
        <w:t xml:space="preserve">Harvard studies in classical philology</w:t>
      </w:r>
      <w:r w:rsidDel="00000000" w:rsidR="00000000" w:rsidRPr="00000000">
        <w:rPr>
          <w:rtl w:val="0"/>
        </w:rPr>
        <w:t xml:space="preserve">, 65, pp. 165 - 205. </w:t>
      </w:r>
    </w:p>
    <w:p w:rsidR="00000000" w:rsidDel="00000000" w:rsidP="00000000" w:rsidRDefault="00000000" w:rsidRPr="00000000" w14:paraId="00000049">
      <w:pPr>
        <w:shd w:fill="f3f3f3" w:val="clear"/>
        <w:jc w:val="both"/>
        <w:rPr/>
      </w:pPr>
      <w:r w:rsidDel="00000000" w:rsidR="00000000" w:rsidRPr="00000000">
        <w:rPr>
          <w:rtl w:val="0"/>
        </w:rPr>
        <w:t xml:space="preserve">https://www.jstor.org/stable/310836</w:t>
      </w:r>
    </w:p>
    <w:p w:rsidR="00000000" w:rsidDel="00000000" w:rsidP="00000000" w:rsidRDefault="00000000" w:rsidRPr="00000000" w14:paraId="0000004A">
      <w:pPr>
        <w:spacing w:line="276" w:lineRule="auto"/>
        <w:jc w:val="both"/>
        <w:rPr>
          <w:color w:val="333333"/>
          <w:highlight w:val="white"/>
        </w:rPr>
      </w:pPr>
      <w:r w:rsidDel="00000000" w:rsidR="00000000" w:rsidRPr="00000000">
        <w:rPr>
          <w:rtl w:val="0"/>
        </w:rPr>
      </w:r>
    </w:p>
    <w:p w:rsidR="00000000" w:rsidDel="00000000" w:rsidP="00000000" w:rsidRDefault="00000000" w:rsidRPr="00000000" w14:paraId="0000004B">
      <w:pPr>
        <w:spacing w:line="276" w:lineRule="auto"/>
        <w:jc w:val="both"/>
        <w:rPr>
          <w:color w:val="333333"/>
          <w:highlight w:val="white"/>
        </w:rPr>
      </w:pPr>
      <w:r w:rsidDel="00000000" w:rsidR="00000000" w:rsidRPr="00000000">
        <w:rPr>
          <w:color w:val="333333"/>
          <w:highlight w:val="white"/>
          <w:rtl w:val="0"/>
        </w:rPr>
        <w:t xml:space="preserve">Smithers, L. (1894) Perseus C. Valerius Catullus, Carmina. Available at </w:t>
      </w:r>
      <w:r w:rsidDel="00000000" w:rsidR="00000000" w:rsidRPr="00000000">
        <w:rPr>
          <w:color w:val="333333"/>
          <w:rtl w:val="0"/>
        </w:rPr>
        <w:t xml:space="preserve">http://data.perseus.org/citations/urn:cts:latinLit:phi0472.phi001.perseus-eng2:64</w:t>
      </w:r>
      <w:r w:rsidDel="00000000" w:rsidR="00000000" w:rsidRPr="00000000">
        <w:rPr>
          <w:color w:val="333333"/>
          <w:rtl w:val="0"/>
        </w:rPr>
        <w:t xml:space="preserve"> </w:t>
      </w:r>
      <w:r w:rsidDel="00000000" w:rsidR="00000000" w:rsidRPr="00000000">
        <w:rPr>
          <w:color w:val="333333"/>
          <w:highlight w:val="white"/>
          <w:rtl w:val="0"/>
        </w:rPr>
        <w:t xml:space="preserve">(Accessed: 27 October 2022).</w:t>
      </w:r>
    </w:p>
    <w:p w:rsidR="00000000" w:rsidDel="00000000" w:rsidP="00000000" w:rsidRDefault="00000000" w:rsidRPr="00000000" w14:paraId="0000004C">
      <w:pPr>
        <w:spacing w:line="276" w:lineRule="auto"/>
        <w:jc w:val="both"/>
        <w:rPr>
          <w:color w:val="333333"/>
          <w:highlight w:val="white"/>
        </w:rPr>
      </w:pPr>
      <w:r w:rsidDel="00000000" w:rsidR="00000000" w:rsidRPr="00000000">
        <w:rPr>
          <w:rtl w:val="0"/>
        </w:rPr>
      </w:r>
    </w:p>
    <w:p w:rsidR="00000000" w:rsidDel="00000000" w:rsidP="00000000" w:rsidRDefault="00000000" w:rsidRPr="00000000" w14:paraId="0000004D">
      <w:pPr>
        <w:jc w:val="both"/>
        <w:rPr>
          <w:color w:val="333333"/>
          <w:highlight w:val="white"/>
        </w:rPr>
      </w:pPr>
      <w:r w:rsidDel="00000000" w:rsidR="00000000" w:rsidRPr="00000000">
        <w:rPr>
          <w:color w:val="333333"/>
          <w:highlight w:val="white"/>
          <w:rtl w:val="0"/>
        </w:rPr>
        <w:t xml:space="preserve">Skinner, M. B. (2007)</w:t>
      </w:r>
      <w:r w:rsidDel="00000000" w:rsidR="00000000" w:rsidRPr="00000000">
        <w:rPr>
          <w:i w:val="1"/>
          <w:color w:val="333333"/>
          <w:highlight w:val="white"/>
          <w:rtl w:val="0"/>
        </w:rPr>
        <w:t xml:space="preserve"> A Companion to Catullus</w:t>
      </w:r>
      <w:r w:rsidDel="00000000" w:rsidR="00000000" w:rsidRPr="00000000">
        <w:rPr>
          <w:color w:val="333333"/>
          <w:highlight w:val="white"/>
          <w:rtl w:val="0"/>
        </w:rPr>
        <w:t xml:space="preserve"> Malden: Wiley Blackwell. </w:t>
      </w:r>
    </w:p>
    <w:p w:rsidR="00000000" w:rsidDel="00000000" w:rsidP="00000000" w:rsidRDefault="00000000" w:rsidRPr="00000000" w14:paraId="0000004E">
      <w:pPr>
        <w:spacing w:line="276" w:lineRule="auto"/>
        <w:jc w:val="both"/>
        <w:rPr>
          <w:color w:val="333333"/>
          <w:highlight w:val="white"/>
        </w:rPr>
      </w:pPr>
      <w:r w:rsidDel="00000000" w:rsidR="00000000" w:rsidRPr="00000000">
        <w:rPr>
          <w:rtl w:val="0"/>
        </w:rPr>
      </w:r>
    </w:p>
    <w:p w:rsidR="00000000" w:rsidDel="00000000" w:rsidP="00000000" w:rsidRDefault="00000000" w:rsidRPr="00000000" w14:paraId="0000004F">
      <w:pPr>
        <w:spacing w:line="276" w:lineRule="auto"/>
        <w:jc w:val="both"/>
        <w:rPr>
          <w:color w:val="333333"/>
          <w:highlight w:val="white"/>
        </w:rPr>
      </w:pPr>
      <w:r w:rsidDel="00000000" w:rsidR="00000000" w:rsidRPr="00000000">
        <w:rPr>
          <w:color w:val="333333"/>
          <w:highlight w:val="white"/>
          <w:rtl w:val="0"/>
        </w:rPr>
        <w:t xml:space="preserve">Thomson, DFS. (1961) ‘Aspects of Unity in Catullus 64.’ </w:t>
      </w:r>
      <w:r w:rsidDel="00000000" w:rsidR="00000000" w:rsidRPr="00000000">
        <w:rPr>
          <w:i w:val="1"/>
          <w:color w:val="333333"/>
          <w:highlight w:val="white"/>
          <w:rtl w:val="0"/>
        </w:rPr>
        <w:t xml:space="preserve">The Classical Journal</w:t>
      </w:r>
      <w:r w:rsidDel="00000000" w:rsidR="00000000" w:rsidRPr="00000000">
        <w:rPr>
          <w:color w:val="333333"/>
          <w:highlight w:val="white"/>
          <w:rtl w:val="0"/>
        </w:rPr>
        <w:t xml:space="preserve">, 57: pp. 49 - 57. </w:t>
      </w:r>
    </w:p>
    <w:p w:rsidR="00000000" w:rsidDel="00000000" w:rsidP="00000000" w:rsidRDefault="00000000" w:rsidRPr="00000000" w14:paraId="00000050">
      <w:pPr>
        <w:spacing w:line="276" w:lineRule="auto"/>
        <w:jc w:val="both"/>
        <w:rPr>
          <w:color w:val="333333"/>
          <w:highlight w:val="white"/>
        </w:rPr>
      </w:pPr>
      <w:r w:rsidDel="00000000" w:rsidR="00000000" w:rsidRPr="00000000">
        <w:rPr>
          <w:rtl w:val="0"/>
        </w:rPr>
      </w:r>
    </w:p>
    <w:p w:rsidR="00000000" w:rsidDel="00000000" w:rsidP="00000000" w:rsidRDefault="00000000" w:rsidRPr="00000000" w14:paraId="00000051">
      <w:pPr>
        <w:spacing w:line="276" w:lineRule="auto"/>
        <w:jc w:val="both"/>
        <w:rPr>
          <w:color w:val="333333"/>
          <w:highlight w:val="white"/>
        </w:rPr>
      </w:pPr>
      <w:r w:rsidDel="00000000" w:rsidR="00000000" w:rsidRPr="00000000">
        <w:rPr>
          <w:rtl w:val="0"/>
        </w:rPr>
      </w:r>
    </w:p>
    <w:p w:rsidR="00000000" w:rsidDel="00000000" w:rsidP="00000000" w:rsidRDefault="00000000" w:rsidRPr="00000000" w14:paraId="00000052">
      <w:pPr>
        <w:jc w:val="both"/>
        <w:rPr>
          <w:highlight w:val="white"/>
        </w:rPr>
      </w:pPr>
      <w:r w:rsidDel="00000000" w:rsidR="00000000" w:rsidRPr="00000000">
        <w:rPr>
          <w:highlight w:val="white"/>
          <w:rtl w:val="0"/>
        </w:rPr>
        <w:t xml:space="preserve">Wasdin, K. (2017) ‘Weaving Time: Ariadne and the Argo in Catullus, C. 64.’ </w:t>
      </w:r>
      <w:r w:rsidDel="00000000" w:rsidR="00000000" w:rsidRPr="00000000">
        <w:rPr>
          <w:i w:val="1"/>
          <w:highlight w:val="white"/>
          <w:rtl w:val="0"/>
        </w:rPr>
        <w:t xml:space="preserve">Helios </w:t>
      </w:r>
      <w:r w:rsidDel="00000000" w:rsidR="00000000" w:rsidRPr="00000000">
        <w:rPr>
          <w:highlight w:val="white"/>
          <w:rtl w:val="0"/>
        </w:rPr>
        <w:t xml:space="preserve">44.2: pp. 181-199. </w:t>
      </w:r>
    </w:p>
    <w:p w:rsidR="00000000" w:rsidDel="00000000" w:rsidP="00000000" w:rsidRDefault="00000000" w:rsidRPr="00000000" w14:paraId="00000053">
      <w:pPr>
        <w:spacing w:line="276" w:lineRule="auto"/>
        <w:jc w:val="both"/>
        <w:rPr>
          <w:color w:val="333333"/>
          <w:highlight w:val="white"/>
        </w:rPr>
      </w:pPr>
      <w:r w:rsidDel="00000000" w:rsidR="00000000" w:rsidRPr="00000000">
        <w:rPr>
          <w:rtl w:val="0"/>
        </w:rPr>
      </w:r>
    </w:p>
    <w:p w:rsidR="00000000" w:rsidDel="00000000" w:rsidP="00000000" w:rsidRDefault="00000000" w:rsidRPr="00000000" w14:paraId="00000054">
      <w:pPr>
        <w:spacing w:line="276" w:lineRule="auto"/>
        <w:jc w:val="both"/>
        <w:rPr>
          <w:color w:val="333333"/>
          <w:highlight w:val="white"/>
        </w:rPr>
      </w:pPr>
      <w:r w:rsidDel="00000000" w:rsidR="00000000" w:rsidRPr="00000000">
        <w:rPr>
          <w:rtl w:val="0"/>
        </w:rPr>
      </w:r>
    </w:p>
    <w:p w:rsidR="00000000" w:rsidDel="00000000" w:rsidP="00000000" w:rsidRDefault="00000000" w:rsidRPr="00000000" w14:paraId="00000055">
      <w:pPr>
        <w:spacing w:line="276" w:lineRule="auto"/>
        <w:jc w:val="both"/>
        <w:rPr>
          <w:color w:val="333333"/>
          <w:highlight w:val="white"/>
        </w:rPr>
      </w:pPr>
      <w:r w:rsidDel="00000000" w:rsidR="00000000" w:rsidRPr="00000000">
        <w:rPr>
          <w:rtl w:val="0"/>
        </w:rPr>
      </w:r>
    </w:p>
    <w:p w:rsidR="00000000" w:rsidDel="00000000" w:rsidP="00000000" w:rsidRDefault="00000000" w:rsidRPr="00000000" w14:paraId="00000056">
      <w:pPr>
        <w:jc w:val="both"/>
        <w:rPr>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jstor.org/stable/10.1086/5211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