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E1D25B" w14:textId="77777777" w:rsidR="00626DBF" w:rsidRPr="001E7E10" w:rsidRDefault="00626DBF" w:rsidP="00F55009">
      <w:pPr>
        <w:rPr>
          <w:rFonts w:ascii="Arial" w:hAnsi="Arial" w:cs="Arial"/>
          <w:b/>
          <w:bCs/>
          <w:sz w:val="32"/>
          <w:szCs w:val="32"/>
        </w:rPr>
      </w:pPr>
    </w:p>
    <w:p w14:paraId="36671EC2" w14:textId="77777777" w:rsidR="009B6227" w:rsidRDefault="009B6227" w:rsidP="004839C7">
      <w:pPr>
        <w:jc w:val="center"/>
        <w:rPr>
          <w:rFonts w:ascii="Arial" w:hAnsi="Arial" w:cs="Arial"/>
          <w:b/>
          <w:bCs/>
          <w:sz w:val="32"/>
          <w:szCs w:val="32"/>
        </w:rPr>
      </w:pPr>
    </w:p>
    <w:p w14:paraId="6C19635D" w14:textId="77777777" w:rsidR="009B6227" w:rsidRDefault="009B6227" w:rsidP="004839C7">
      <w:pPr>
        <w:jc w:val="center"/>
        <w:rPr>
          <w:rFonts w:ascii="Arial" w:hAnsi="Arial" w:cs="Arial"/>
          <w:b/>
          <w:bCs/>
          <w:sz w:val="32"/>
          <w:szCs w:val="32"/>
        </w:rPr>
      </w:pPr>
    </w:p>
    <w:p w14:paraId="67723F61" w14:textId="2D13CFD8" w:rsidR="00356B58" w:rsidRPr="001E7E10" w:rsidRDefault="00356B58" w:rsidP="004839C7">
      <w:pPr>
        <w:jc w:val="center"/>
        <w:rPr>
          <w:rFonts w:ascii="Arial" w:hAnsi="Arial" w:cs="Arial"/>
          <w:b/>
          <w:bCs/>
          <w:sz w:val="32"/>
          <w:szCs w:val="32"/>
        </w:rPr>
      </w:pPr>
      <w:r w:rsidRPr="001E7E10">
        <w:rPr>
          <w:rFonts w:ascii="Arial" w:hAnsi="Arial" w:cs="Arial"/>
          <w:b/>
          <w:bCs/>
          <w:sz w:val="32"/>
          <w:szCs w:val="32"/>
        </w:rPr>
        <w:t>Component 2: Written Assignment</w:t>
      </w:r>
    </w:p>
    <w:p w14:paraId="4F008BDA" w14:textId="77777777" w:rsidR="00356B58" w:rsidRPr="001E7E10" w:rsidRDefault="00356B58" w:rsidP="004839C7">
      <w:pPr>
        <w:jc w:val="center"/>
        <w:rPr>
          <w:rFonts w:ascii="Arial" w:hAnsi="Arial" w:cs="Arial"/>
          <w:b/>
          <w:bCs/>
          <w:sz w:val="32"/>
          <w:szCs w:val="32"/>
        </w:rPr>
      </w:pPr>
    </w:p>
    <w:p w14:paraId="24F65298" w14:textId="49C96A51" w:rsidR="00356B58" w:rsidRPr="001E7E10" w:rsidRDefault="00356B58" w:rsidP="004839C7">
      <w:pPr>
        <w:jc w:val="center"/>
        <w:rPr>
          <w:rFonts w:ascii="Arial" w:hAnsi="Arial" w:cs="Arial"/>
          <w:b/>
          <w:bCs/>
          <w:sz w:val="32"/>
          <w:szCs w:val="32"/>
        </w:rPr>
      </w:pPr>
      <w:r w:rsidRPr="001E7E10">
        <w:rPr>
          <w:rFonts w:ascii="Arial" w:hAnsi="Arial" w:cs="Arial"/>
          <w:b/>
          <w:bCs/>
          <w:sz w:val="32"/>
          <w:szCs w:val="32"/>
        </w:rPr>
        <w:t>Eating Disorder Anorexia Nervosa 6B80</w:t>
      </w:r>
    </w:p>
    <w:p w14:paraId="7508FE58" w14:textId="77777777" w:rsidR="00626DBF" w:rsidRPr="001E7E10" w:rsidRDefault="00626DBF" w:rsidP="004839C7">
      <w:pPr>
        <w:rPr>
          <w:rFonts w:ascii="Arial" w:hAnsi="Arial" w:cs="Arial"/>
          <w:b/>
          <w:bCs/>
          <w:sz w:val="32"/>
          <w:szCs w:val="32"/>
        </w:rPr>
      </w:pPr>
    </w:p>
    <w:p w14:paraId="60690670" w14:textId="11D12722" w:rsidR="00626DBF" w:rsidRPr="001E7E10" w:rsidRDefault="00626DBF" w:rsidP="002813F7">
      <w:pPr>
        <w:jc w:val="center"/>
        <w:rPr>
          <w:rFonts w:ascii="Arial" w:hAnsi="Arial" w:cs="Arial"/>
          <w:b/>
          <w:bCs/>
          <w:sz w:val="32"/>
          <w:szCs w:val="32"/>
        </w:rPr>
      </w:pPr>
      <w:r w:rsidRPr="001E7E10">
        <w:rPr>
          <w:rFonts w:ascii="Arial" w:hAnsi="Arial" w:cs="Arial"/>
          <w:b/>
          <w:bCs/>
          <w:sz w:val="32"/>
          <w:szCs w:val="32"/>
        </w:rPr>
        <w:t>Student Name:</w:t>
      </w:r>
      <w:r w:rsidR="002813F7" w:rsidRPr="001E7E10">
        <w:rPr>
          <w:rFonts w:ascii="Arial" w:hAnsi="Arial" w:cs="Arial"/>
          <w:b/>
          <w:bCs/>
          <w:sz w:val="32"/>
          <w:szCs w:val="32"/>
        </w:rPr>
        <w:t xml:space="preserve"> Thaira Bano</w:t>
      </w:r>
    </w:p>
    <w:p w14:paraId="6D2DE550" w14:textId="110B7889" w:rsidR="00626DBF" w:rsidRPr="001E7E10" w:rsidRDefault="00626DBF" w:rsidP="002813F7">
      <w:pPr>
        <w:jc w:val="center"/>
        <w:rPr>
          <w:rFonts w:ascii="Arial" w:hAnsi="Arial" w:cs="Arial"/>
          <w:b/>
          <w:bCs/>
          <w:sz w:val="32"/>
          <w:szCs w:val="32"/>
        </w:rPr>
      </w:pPr>
      <w:r w:rsidRPr="001E7E10">
        <w:rPr>
          <w:rFonts w:ascii="Arial" w:hAnsi="Arial" w:cs="Arial"/>
          <w:b/>
          <w:bCs/>
          <w:sz w:val="32"/>
          <w:szCs w:val="32"/>
        </w:rPr>
        <w:t>Student ID:</w:t>
      </w:r>
      <w:r w:rsidR="002813F7" w:rsidRPr="001E7E10">
        <w:rPr>
          <w:rFonts w:eastAsiaTheme="minorEastAsia" w:hAnsi="Calibri"/>
          <w:b/>
          <w:bCs/>
          <w:color w:val="000000" w:themeColor="text1"/>
          <w:kern w:val="24"/>
          <w:sz w:val="96"/>
          <w:szCs w:val="96"/>
        </w:rPr>
        <w:t xml:space="preserve"> </w:t>
      </w:r>
      <w:r w:rsidR="002813F7" w:rsidRPr="001E7E10">
        <w:rPr>
          <w:rFonts w:ascii="Arial" w:hAnsi="Arial" w:cs="Arial"/>
          <w:b/>
          <w:bCs/>
          <w:sz w:val="32"/>
          <w:szCs w:val="32"/>
        </w:rPr>
        <w:t>2328508</w:t>
      </w:r>
    </w:p>
    <w:p w14:paraId="497F4772" w14:textId="1A9E8EBE" w:rsidR="00AE2224" w:rsidRPr="001E7E10" w:rsidRDefault="00626DBF" w:rsidP="004839C7">
      <w:pPr>
        <w:jc w:val="center"/>
        <w:rPr>
          <w:rFonts w:ascii="Arial" w:hAnsi="Arial" w:cs="Arial"/>
          <w:b/>
          <w:bCs/>
          <w:sz w:val="32"/>
          <w:szCs w:val="32"/>
        </w:rPr>
      </w:pPr>
      <w:r w:rsidRPr="001E7E10">
        <w:rPr>
          <w:rFonts w:ascii="Arial" w:hAnsi="Arial" w:cs="Arial"/>
          <w:b/>
          <w:bCs/>
          <w:sz w:val="32"/>
          <w:szCs w:val="32"/>
        </w:rPr>
        <w:t>Module: Psychological Classifications and Provisions</w:t>
      </w:r>
    </w:p>
    <w:p w14:paraId="21572C55" w14:textId="4FD6D528" w:rsidR="00626DBF" w:rsidRPr="001E7E10" w:rsidRDefault="00626DBF" w:rsidP="004839C7">
      <w:pPr>
        <w:jc w:val="center"/>
        <w:rPr>
          <w:rFonts w:ascii="Arial" w:hAnsi="Arial" w:cs="Arial"/>
          <w:b/>
          <w:bCs/>
          <w:sz w:val="32"/>
          <w:szCs w:val="32"/>
        </w:rPr>
      </w:pPr>
      <w:r w:rsidRPr="001E7E10">
        <w:rPr>
          <w:rFonts w:ascii="Arial" w:hAnsi="Arial" w:cs="Arial"/>
          <w:b/>
          <w:bCs/>
          <w:sz w:val="32"/>
          <w:szCs w:val="32"/>
        </w:rPr>
        <w:t>Module Code: BMHP6029</w:t>
      </w:r>
    </w:p>
    <w:p w14:paraId="2A4A770E" w14:textId="77777777" w:rsidR="00626DBF" w:rsidRPr="00C572B2" w:rsidRDefault="00626DBF" w:rsidP="00F55009">
      <w:pPr>
        <w:rPr>
          <w:rFonts w:ascii="Arial" w:hAnsi="Arial" w:cs="Arial"/>
          <w:sz w:val="32"/>
          <w:szCs w:val="32"/>
        </w:rPr>
      </w:pPr>
    </w:p>
    <w:p w14:paraId="1BF71023" w14:textId="77777777" w:rsidR="00626DBF" w:rsidRPr="00C572B2" w:rsidRDefault="00626DBF" w:rsidP="00F55009">
      <w:pPr>
        <w:rPr>
          <w:rFonts w:ascii="Arial" w:hAnsi="Arial" w:cs="Arial"/>
          <w:sz w:val="32"/>
          <w:szCs w:val="32"/>
        </w:rPr>
      </w:pPr>
    </w:p>
    <w:p w14:paraId="6A5B74EA" w14:textId="77777777" w:rsidR="00626DBF" w:rsidRPr="00C572B2" w:rsidRDefault="00626DBF" w:rsidP="00F55009">
      <w:pPr>
        <w:rPr>
          <w:rFonts w:ascii="Arial" w:hAnsi="Arial" w:cs="Arial"/>
          <w:sz w:val="32"/>
          <w:szCs w:val="32"/>
        </w:rPr>
      </w:pPr>
    </w:p>
    <w:p w14:paraId="2C9AD74C" w14:textId="77777777" w:rsidR="00626DBF" w:rsidRPr="00C572B2" w:rsidRDefault="00626DBF" w:rsidP="00F55009">
      <w:pPr>
        <w:rPr>
          <w:rFonts w:ascii="Arial" w:hAnsi="Arial" w:cs="Arial"/>
          <w:sz w:val="32"/>
          <w:szCs w:val="32"/>
        </w:rPr>
      </w:pPr>
    </w:p>
    <w:p w14:paraId="47AA6F18" w14:textId="77777777" w:rsidR="00626DBF" w:rsidRPr="00C572B2" w:rsidRDefault="00626DBF" w:rsidP="00F55009">
      <w:pPr>
        <w:rPr>
          <w:rFonts w:ascii="Arial" w:hAnsi="Arial" w:cs="Arial"/>
          <w:sz w:val="32"/>
          <w:szCs w:val="32"/>
        </w:rPr>
      </w:pPr>
    </w:p>
    <w:p w14:paraId="485EEC8E" w14:textId="77777777" w:rsidR="00626DBF" w:rsidRPr="00C572B2" w:rsidRDefault="00626DBF" w:rsidP="00F55009">
      <w:pPr>
        <w:rPr>
          <w:rFonts w:ascii="Arial" w:hAnsi="Arial" w:cs="Arial"/>
          <w:sz w:val="32"/>
          <w:szCs w:val="32"/>
        </w:rPr>
      </w:pPr>
    </w:p>
    <w:p w14:paraId="611F2AE5" w14:textId="77777777" w:rsidR="00356B58" w:rsidRPr="00C572B2" w:rsidRDefault="00356B58" w:rsidP="00F55009">
      <w:pPr>
        <w:rPr>
          <w:rFonts w:ascii="Arial" w:hAnsi="Arial" w:cs="Arial"/>
          <w:sz w:val="32"/>
          <w:szCs w:val="32"/>
        </w:rPr>
      </w:pPr>
    </w:p>
    <w:p w14:paraId="034BE357" w14:textId="77777777" w:rsidR="00626DBF" w:rsidRPr="00C572B2" w:rsidRDefault="00626DBF" w:rsidP="00F55009">
      <w:pPr>
        <w:rPr>
          <w:rFonts w:ascii="Arial" w:hAnsi="Arial" w:cs="Arial"/>
          <w:sz w:val="32"/>
          <w:szCs w:val="32"/>
        </w:rPr>
      </w:pPr>
    </w:p>
    <w:p w14:paraId="79795E4B" w14:textId="77777777" w:rsidR="006B72C3" w:rsidRDefault="006B72C3" w:rsidP="00F55009">
      <w:pPr>
        <w:rPr>
          <w:rFonts w:ascii="Arial" w:hAnsi="Arial" w:cs="Arial"/>
          <w:sz w:val="32"/>
          <w:szCs w:val="32"/>
        </w:rPr>
      </w:pPr>
    </w:p>
    <w:p w14:paraId="09C682A6" w14:textId="77777777" w:rsidR="005C021D" w:rsidRPr="00C572B2" w:rsidRDefault="005C021D" w:rsidP="00F55009">
      <w:pPr>
        <w:rPr>
          <w:rFonts w:ascii="Arial" w:hAnsi="Arial" w:cs="Arial"/>
          <w:sz w:val="32"/>
          <w:szCs w:val="32"/>
        </w:rPr>
      </w:pPr>
    </w:p>
    <w:p w14:paraId="10993A44" w14:textId="77777777" w:rsidR="00626DBF" w:rsidRPr="00C572B2" w:rsidRDefault="00626DBF" w:rsidP="00F55009">
      <w:pPr>
        <w:rPr>
          <w:rFonts w:ascii="Arial" w:hAnsi="Arial" w:cs="Arial"/>
          <w:sz w:val="32"/>
          <w:szCs w:val="32"/>
        </w:rPr>
      </w:pPr>
    </w:p>
    <w:sdt>
      <w:sdtPr>
        <w:rPr>
          <w:rFonts w:asciiTheme="minorBidi" w:eastAsiaTheme="minorHAnsi" w:hAnsiTheme="minorBidi" w:cstheme="minorBidi"/>
          <w:color w:val="auto"/>
          <w:sz w:val="22"/>
          <w:szCs w:val="22"/>
          <w:lang w:val="en-GB"/>
          <w14:ligatures w14:val="standardContextual"/>
        </w:rPr>
        <w:id w:val="-613289708"/>
        <w:docPartObj>
          <w:docPartGallery w:val="Table of Contents"/>
          <w:docPartUnique/>
        </w:docPartObj>
      </w:sdtPr>
      <w:sdtEndPr>
        <w:rPr>
          <w:b/>
          <w:bCs/>
          <w:noProof/>
        </w:rPr>
      </w:sdtEndPr>
      <w:sdtContent>
        <w:p w14:paraId="1F18AB83" w14:textId="4DB69EC7" w:rsidR="00626DBF" w:rsidRDefault="006B72C3" w:rsidP="006B72C3">
          <w:pPr>
            <w:pStyle w:val="TOCHeading"/>
            <w:jc w:val="center"/>
            <w:rPr>
              <w:rFonts w:asciiTheme="minorBidi" w:hAnsiTheme="minorBidi" w:cstheme="minorBidi"/>
              <w:b/>
              <w:bCs/>
              <w:color w:val="auto"/>
              <w:sz w:val="22"/>
              <w:szCs w:val="22"/>
              <w:lang w:val="en-GB"/>
            </w:rPr>
          </w:pPr>
          <w:r w:rsidRPr="005C021D">
            <w:rPr>
              <w:rFonts w:asciiTheme="minorBidi" w:hAnsiTheme="minorBidi" w:cstheme="minorBidi"/>
              <w:b/>
              <w:bCs/>
              <w:color w:val="auto"/>
              <w:sz w:val="22"/>
              <w:szCs w:val="22"/>
              <w:lang w:val="en-GB"/>
            </w:rPr>
            <w:t>Table of</w:t>
          </w:r>
          <w:r w:rsidRPr="005C021D">
            <w:rPr>
              <w:rFonts w:asciiTheme="minorBidi" w:eastAsiaTheme="minorHAnsi" w:hAnsiTheme="minorBidi" w:cstheme="minorBidi"/>
              <w:color w:val="auto"/>
              <w:sz w:val="22"/>
              <w:szCs w:val="22"/>
              <w:lang w:val="en-GB"/>
              <w14:ligatures w14:val="standardContextual"/>
            </w:rPr>
            <w:t xml:space="preserve"> </w:t>
          </w:r>
          <w:r w:rsidR="00626DBF" w:rsidRPr="005C021D">
            <w:rPr>
              <w:rFonts w:asciiTheme="minorBidi" w:hAnsiTheme="minorBidi" w:cstheme="minorBidi"/>
              <w:b/>
              <w:bCs/>
              <w:color w:val="auto"/>
              <w:sz w:val="22"/>
              <w:szCs w:val="22"/>
              <w:lang w:val="en-GB"/>
            </w:rPr>
            <w:t>Contents</w:t>
          </w:r>
        </w:p>
        <w:p w14:paraId="463C8F06" w14:textId="77777777" w:rsidR="005C021D" w:rsidRPr="005C021D" w:rsidRDefault="005C021D" w:rsidP="005C021D"/>
        <w:p w14:paraId="55182341" w14:textId="46CEED58" w:rsidR="001A37AB" w:rsidRDefault="00626DBF">
          <w:pPr>
            <w:pStyle w:val="TOC1"/>
            <w:tabs>
              <w:tab w:val="left" w:pos="480"/>
              <w:tab w:val="right" w:leader="dot" w:pos="9350"/>
            </w:tabs>
            <w:rPr>
              <w:rFonts w:eastAsiaTheme="minorEastAsia"/>
              <w:noProof/>
              <w:kern w:val="2"/>
              <w:lang w:eastAsia="en-GB"/>
            </w:rPr>
          </w:pPr>
          <w:r w:rsidRPr="005C021D">
            <w:rPr>
              <w:rFonts w:asciiTheme="minorBidi" w:hAnsiTheme="minorBidi"/>
              <w:sz w:val="22"/>
              <w:szCs w:val="22"/>
            </w:rPr>
            <w:fldChar w:fldCharType="begin"/>
          </w:r>
          <w:r w:rsidRPr="005C021D">
            <w:rPr>
              <w:rFonts w:asciiTheme="minorBidi" w:hAnsiTheme="minorBidi"/>
              <w:sz w:val="22"/>
              <w:szCs w:val="22"/>
            </w:rPr>
            <w:instrText xml:space="preserve"> TOC \o "1-3" \h \z \u </w:instrText>
          </w:r>
          <w:r w:rsidRPr="005C021D">
            <w:rPr>
              <w:rFonts w:asciiTheme="minorBidi" w:hAnsiTheme="minorBidi"/>
              <w:sz w:val="22"/>
              <w:szCs w:val="22"/>
            </w:rPr>
            <w:fldChar w:fldCharType="separate"/>
          </w:r>
          <w:hyperlink w:anchor="_Toc235034862" w:history="1">
            <w:r w:rsidR="001A37AB" w:rsidRPr="00C368C8">
              <w:rPr>
                <w:rStyle w:val="Hyperlink"/>
                <w:rFonts w:ascii="Arial" w:hAnsi="Arial" w:cs="Arial"/>
                <w:b/>
                <w:bCs/>
                <w:noProof/>
              </w:rPr>
              <w:t>1.</w:t>
            </w:r>
            <w:r w:rsidR="001A37AB">
              <w:rPr>
                <w:rFonts w:eastAsiaTheme="minorEastAsia"/>
                <w:noProof/>
                <w:kern w:val="2"/>
                <w:lang w:eastAsia="en-GB"/>
              </w:rPr>
              <w:tab/>
            </w:r>
            <w:r w:rsidR="001A37AB" w:rsidRPr="00C368C8">
              <w:rPr>
                <w:rStyle w:val="Hyperlink"/>
                <w:rFonts w:ascii="Arial" w:hAnsi="Arial" w:cs="Arial"/>
                <w:b/>
                <w:bCs/>
                <w:noProof/>
              </w:rPr>
              <w:t>Introduction:</w:t>
            </w:r>
            <w:r w:rsidR="001A37AB">
              <w:rPr>
                <w:noProof/>
                <w:webHidden/>
              </w:rPr>
              <w:tab/>
            </w:r>
            <w:r w:rsidR="001A37AB">
              <w:rPr>
                <w:noProof/>
                <w:webHidden/>
              </w:rPr>
              <w:fldChar w:fldCharType="begin"/>
            </w:r>
            <w:r w:rsidR="001A37AB">
              <w:rPr>
                <w:noProof/>
                <w:webHidden/>
              </w:rPr>
              <w:instrText xml:space="preserve"> PAGEREF _Toc235034862 \h </w:instrText>
            </w:r>
            <w:r w:rsidR="001A37AB">
              <w:rPr>
                <w:noProof/>
                <w:webHidden/>
              </w:rPr>
            </w:r>
            <w:r w:rsidR="001A37AB">
              <w:rPr>
                <w:noProof/>
                <w:webHidden/>
              </w:rPr>
              <w:fldChar w:fldCharType="separate"/>
            </w:r>
            <w:r w:rsidR="001A37AB">
              <w:rPr>
                <w:noProof/>
                <w:webHidden/>
              </w:rPr>
              <w:t>3</w:t>
            </w:r>
            <w:r w:rsidR="001A37AB">
              <w:rPr>
                <w:noProof/>
                <w:webHidden/>
              </w:rPr>
              <w:fldChar w:fldCharType="end"/>
            </w:r>
          </w:hyperlink>
        </w:p>
        <w:p w14:paraId="1A0D69CE" w14:textId="7EEFCD52" w:rsidR="001A37AB" w:rsidRDefault="001A37AB">
          <w:pPr>
            <w:pStyle w:val="TOC2"/>
            <w:tabs>
              <w:tab w:val="left" w:pos="960"/>
              <w:tab w:val="right" w:leader="dot" w:pos="9350"/>
            </w:tabs>
            <w:rPr>
              <w:rFonts w:eastAsiaTheme="minorEastAsia"/>
              <w:noProof/>
              <w:kern w:val="2"/>
              <w:lang w:eastAsia="en-GB"/>
            </w:rPr>
          </w:pPr>
          <w:hyperlink w:anchor="_Toc235034863" w:history="1">
            <w:r w:rsidRPr="00C368C8">
              <w:rPr>
                <w:rStyle w:val="Hyperlink"/>
                <w:rFonts w:ascii="Arial" w:hAnsi="Arial" w:cs="Arial"/>
                <w:b/>
                <w:bCs/>
                <w:noProof/>
              </w:rPr>
              <w:t>1.1</w:t>
            </w:r>
            <w:r>
              <w:rPr>
                <w:rFonts w:eastAsiaTheme="minorEastAsia"/>
                <w:noProof/>
                <w:kern w:val="2"/>
                <w:lang w:eastAsia="en-GB"/>
              </w:rPr>
              <w:tab/>
            </w:r>
            <w:r w:rsidRPr="00C368C8">
              <w:rPr>
                <w:rStyle w:val="Hyperlink"/>
                <w:rFonts w:ascii="Arial" w:hAnsi="Arial" w:cs="Arial"/>
                <w:b/>
                <w:bCs/>
                <w:noProof/>
              </w:rPr>
              <w:t xml:space="preserve"> Classification of Anorexia Nervosa in ICD-11:</w:t>
            </w:r>
            <w:r>
              <w:rPr>
                <w:noProof/>
                <w:webHidden/>
              </w:rPr>
              <w:tab/>
            </w:r>
            <w:r>
              <w:rPr>
                <w:noProof/>
                <w:webHidden/>
              </w:rPr>
              <w:fldChar w:fldCharType="begin"/>
            </w:r>
            <w:r>
              <w:rPr>
                <w:noProof/>
                <w:webHidden/>
              </w:rPr>
              <w:instrText xml:space="preserve"> PAGEREF _Toc235034863 \h </w:instrText>
            </w:r>
            <w:r>
              <w:rPr>
                <w:noProof/>
                <w:webHidden/>
              </w:rPr>
            </w:r>
            <w:r>
              <w:rPr>
                <w:noProof/>
                <w:webHidden/>
              </w:rPr>
              <w:fldChar w:fldCharType="separate"/>
            </w:r>
            <w:r>
              <w:rPr>
                <w:noProof/>
                <w:webHidden/>
              </w:rPr>
              <w:t>3</w:t>
            </w:r>
            <w:r>
              <w:rPr>
                <w:noProof/>
                <w:webHidden/>
              </w:rPr>
              <w:fldChar w:fldCharType="end"/>
            </w:r>
          </w:hyperlink>
        </w:p>
        <w:p w14:paraId="0FA0BA9D" w14:textId="59ABB51C" w:rsidR="001A37AB" w:rsidRDefault="001A37AB">
          <w:pPr>
            <w:pStyle w:val="TOC2"/>
            <w:tabs>
              <w:tab w:val="left" w:pos="960"/>
              <w:tab w:val="right" w:leader="dot" w:pos="9350"/>
            </w:tabs>
            <w:rPr>
              <w:rFonts w:eastAsiaTheme="minorEastAsia"/>
              <w:noProof/>
              <w:kern w:val="2"/>
              <w:lang w:eastAsia="en-GB"/>
            </w:rPr>
          </w:pPr>
          <w:hyperlink w:anchor="_Toc235034864" w:history="1">
            <w:r w:rsidRPr="00C368C8">
              <w:rPr>
                <w:rStyle w:val="Hyperlink"/>
                <w:rFonts w:ascii="Arial" w:hAnsi="Arial" w:cs="Arial"/>
                <w:b/>
                <w:bCs/>
                <w:noProof/>
              </w:rPr>
              <w:t>1.2</w:t>
            </w:r>
            <w:r>
              <w:rPr>
                <w:rFonts w:eastAsiaTheme="minorEastAsia"/>
                <w:noProof/>
                <w:kern w:val="2"/>
                <w:lang w:eastAsia="en-GB"/>
              </w:rPr>
              <w:tab/>
            </w:r>
            <w:r w:rsidRPr="00C368C8">
              <w:rPr>
                <w:rStyle w:val="Hyperlink"/>
                <w:rFonts w:ascii="Arial" w:hAnsi="Arial" w:cs="Arial"/>
                <w:b/>
                <w:bCs/>
                <w:noProof/>
              </w:rPr>
              <w:t>Diagnostic Criteria:</w:t>
            </w:r>
            <w:r>
              <w:rPr>
                <w:noProof/>
                <w:webHidden/>
              </w:rPr>
              <w:tab/>
            </w:r>
            <w:r>
              <w:rPr>
                <w:noProof/>
                <w:webHidden/>
              </w:rPr>
              <w:fldChar w:fldCharType="begin"/>
            </w:r>
            <w:r>
              <w:rPr>
                <w:noProof/>
                <w:webHidden/>
              </w:rPr>
              <w:instrText xml:space="preserve"> PAGEREF _Toc235034864 \h </w:instrText>
            </w:r>
            <w:r>
              <w:rPr>
                <w:noProof/>
                <w:webHidden/>
              </w:rPr>
            </w:r>
            <w:r>
              <w:rPr>
                <w:noProof/>
                <w:webHidden/>
              </w:rPr>
              <w:fldChar w:fldCharType="separate"/>
            </w:r>
            <w:r>
              <w:rPr>
                <w:noProof/>
                <w:webHidden/>
              </w:rPr>
              <w:t>4</w:t>
            </w:r>
            <w:r>
              <w:rPr>
                <w:noProof/>
                <w:webHidden/>
              </w:rPr>
              <w:fldChar w:fldCharType="end"/>
            </w:r>
          </w:hyperlink>
        </w:p>
        <w:p w14:paraId="2423C40C" w14:textId="2F871D1E" w:rsidR="001A37AB" w:rsidRDefault="001A37AB">
          <w:pPr>
            <w:pStyle w:val="TOC2"/>
            <w:tabs>
              <w:tab w:val="left" w:pos="960"/>
              <w:tab w:val="right" w:leader="dot" w:pos="9350"/>
            </w:tabs>
            <w:rPr>
              <w:rFonts w:eastAsiaTheme="minorEastAsia"/>
              <w:noProof/>
              <w:kern w:val="2"/>
              <w:lang w:eastAsia="en-GB"/>
            </w:rPr>
          </w:pPr>
          <w:hyperlink w:anchor="_Toc235034865" w:history="1">
            <w:r w:rsidRPr="00C368C8">
              <w:rPr>
                <w:rStyle w:val="Hyperlink"/>
                <w:rFonts w:ascii="Arial" w:hAnsi="Arial" w:cs="Arial"/>
                <w:b/>
                <w:bCs/>
                <w:noProof/>
              </w:rPr>
              <w:t>1.3</w:t>
            </w:r>
            <w:r>
              <w:rPr>
                <w:rFonts w:eastAsiaTheme="minorEastAsia"/>
                <w:noProof/>
                <w:kern w:val="2"/>
                <w:lang w:eastAsia="en-GB"/>
              </w:rPr>
              <w:tab/>
            </w:r>
            <w:r w:rsidRPr="00C368C8">
              <w:rPr>
                <w:rStyle w:val="Hyperlink"/>
                <w:rFonts w:ascii="Arial" w:hAnsi="Arial" w:cs="Arial"/>
                <w:b/>
                <w:bCs/>
                <w:noProof/>
              </w:rPr>
              <w:t>Language used for Classification:</w:t>
            </w:r>
            <w:r>
              <w:rPr>
                <w:noProof/>
                <w:webHidden/>
              </w:rPr>
              <w:tab/>
            </w:r>
            <w:r>
              <w:rPr>
                <w:noProof/>
                <w:webHidden/>
              </w:rPr>
              <w:fldChar w:fldCharType="begin"/>
            </w:r>
            <w:r>
              <w:rPr>
                <w:noProof/>
                <w:webHidden/>
              </w:rPr>
              <w:instrText xml:space="preserve"> PAGEREF _Toc235034865 \h </w:instrText>
            </w:r>
            <w:r>
              <w:rPr>
                <w:noProof/>
                <w:webHidden/>
              </w:rPr>
            </w:r>
            <w:r>
              <w:rPr>
                <w:noProof/>
                <w:webHidden/>
              </w:rPr>
              <w:fldChar w:fldCharType="separate"/>
            </w:r>
            <w:r>
              <w:rPr>
                <w:noProof/>
                <w:webHidden/>
              </w:rPr>
              <w:t>4</w:t>
            </w:r>
            <w:r>
              <w:rPr>
                <w:noProof/>
                <w:webHidden/>
              </w:rPr>
              <w:fldChar w:fldCharType="end"/>
            </w:r>
          </w:hyperlink>
        </w:p>
        <w:p w14:paraId="0B24BDE1" w14:textId="34DD25AC" w:rsidR="001A37AB" w:rsidRDefault="001A37AB">
          <w:pPr>
            <w:pStyle w:val="TOC1"/>
            <w:tabs>
              <w:tab w:val="left" w:pos="480"/>
              <w:tab w:val="right" w:leader="dot" w:pos="9350"/>
            </w:tabs>
            <w:rPr>
              <w:rFonts w:eastAsiaTheme="minorEastAsia"/>
              <w:noProof/>
              <w:kern w:val="2"/>
              <w:lang w:eastAsia="en-GB"/>
            </w:rPr>
          </w:pPr>
          <w:hyperlink w:anchor="_Toc235034866" w:history="1">
            <w:r w:rsidRPr="00C368C8">
              <w:rPr>
                <w:rStyle w:val="Hyperlink"/>
                <w:rFonts w:ascii="Arial" w:hAnsi="Arial" w:cs="Arial"/>
                <w:b/>
                <w:bCs/>
                <w:noProof/>
              </w:rPr>
              <w:t>2.</w:t>
            </w:r>
            <w:r>
              <w:rPr>
                <w:rFonts w:eastAsiaTheme="minorEastAsia"/>
                <w:noProof/>
                <w:kern w:val="2"/>
                <w:lang w:eastAsia="en-GB"/>
              </w:rPr>
              <w:tab/>
            </w:r>
            <w:r w:rsidRPr="00C368C8">
              <w:rPr>
                <w:rStyle w:val="Hyperlink"/>
                <w:rFonts w:ascii="Arial" w:hAnsi="Arial" w:cs="Arial"/>
                <w:b/>
                <w:bCs/>
                <w:noProof/>
              </w:rPr>
              <w:t>Treatment and Rehabilitation:</w:t>
            </w:r>
            <w:r>
              <w:rPr>
                <w:noProof/>
                <w:webHidden/>
              </w:rPr>
              <w:tab/>
            </w:r>
            <w:r>
              <w:rPr>
                <w:noProof/>
                <w:webHidden/>
              </w:rPr>
              <w:fldChar w:fldCharType="begin"/>
            </w:r>
            <w:r>
              <w:rPr>
                <w:noProof/>
                <w:webHidden/>
              </w:rPr>
              <w:instrText xml:space="preserve"> PAGEREF _Toc235034866 \h </w:instrText>
            </w:r>
            <w:r>
              <w:rPr>
                <w:noProof/>
                <w:webHidden/>
              </w:rPr>
            </w:r>
            <w:r>
              <w:rPr>
                <w:noProof/>
                <w:webHidden/>
              </w:rPr>
              <w:fldChar w:fldCharType="separate"/>
            </w:r>
            <w:r>
              <w:rPr>
                <w:noProof/>
                <w:webHidden/>
              </w:rPr>
              <w:t>5</w:t>
            </w:r>
            <w:r>
              <w:rPr>
                <w:noProof/>
                <w:webHidden/>
              </w:rPr>
              <w:fldChar w:fldCharType="end"/>
            </w:r>
          </w:hyperlink>
        </w:p>
        <w:p w14:paraId="1B951916" w14:textId="15D72330" w:rsidR="001A37AB" w:rsidRDefault="001A37AB">
          <w:pPr>
            <w:pStyle w:val="TOC1"/>
            <w:tabs>
              <w:tab w:val="left" w:pos="480"/>
              <w:tab w:val="right" w:leader="dot" w:pos="9350"/>
            </w:tabs>
            <w:rPr>
              <w:rFonts w:eastAsiaTheme="minorEastAsia"/>
              <w:noProof/>
              <w:kern w:val="2"/>
              <w:lang w:eastAsia="en-GB"/>
            </w:rPr>
          </w:pPr>
          <w:hyperlink w:anchor="_Toc235034867" w:history="1">
            <w:r w:rsidRPr="00C368C8">
              <w:rPr>
                <w:rStyle w:val="Hyperlink"/>
                <w:rFonts w:ascii="Arial" w:hAnsi="Arial" w:cs="Arial"/>
                <w:b/>
                <w:bCs/>
                <w:noProof/>
              </w:rPr>
              <w:t>3.</w:t>
            </w:r>
            <w:r>
              <w:rPr>
                <w:rFonts w:eastAsiaTheme="minorEastAsia"/>
                <w:noProof/>
                <w:kern w:val="2"/>
                <w:lang w:eastAsia="en-GB"/>
              </w:rPr>
              <w:tab/>
            </w:r>
            <w:r w:rsidRPr="00C368C8">
              <w:rPr>
                <w:rStyle w:val="Hyperlink"/>
                <w:rFonts w:ascii="Arial" w:hAnsi="Arial" w:cs="Arial"/>
                <w:b/>
                <w:bCs/>
                <w:noProof/>
              </w:rPr>
              <w:t>Contemporary Debate and Emerging Issues</w:t>
            </w:r>
            <w:r>
              <w:rPr>
                <w:noProof/>
                <w:webHidden/>
              </w:rPr>
              <w:tab/>
            </w:r>
            <w:r>
              <w:rPr>
                <w:noProof/>
                <w:webHidden/>
              </w:rPr>
              <w:fldChar w:fldCharType="begin"/>
            </w:r>
            <w:r>
              <w:rPr>
                <w:noProof/>
                <w:webHidden/>
              </w:rPr>
              <w:instrText xml:space="preserve"> PAGEREF _Toc235034867 \h </w:instrText>
            </w:r>
            <w:r>
              <w:rPr>
                <w:noProof/>
                <w:webHidden/>
              </w:rPr>
            </w:r>
            <w:r>
              <w:rPr>
                <w:noProof/>
                <w:webHidden/>
              </w:rPr>
              <w:fldChar w:fldCharType="separate"/>
            </w:r>
            <w:r>
              <w:rPr>
                <w:noProof/>
                <w:webHidden/>
              </w:rPr>
              <w:t>6</w:t>
            </w:r>
            <w:r>
              <w:rPr>
                <w:noProof/>
                <w:webHidden/>
              </w:rPr>
              <w:fldChar w:fldCharType="end"/>
            </w:r>
          </w:hyperlink>
        </w:p>
        <w:p w14:paraId="41F02B3F" w14:textId="7EDA9C77" w:rsidR="001A37AB" w:rsidRDefault="001A37AB">
          <w:pPr>
            <w:pStyle w:val="TOC2"/>
            <w:tabs>
              <w:tab w:val="left" w:pos="960"/>
              <w:tab w:val="right" w:leader="dot" w:pos="9350"/>
            </w:tabs>
            <w:rPr>
              <w:rFonts w:eastAsiaTheme="minorEastAsia"/>
              <w:noProof/>
              <w:kern w:val="2"/>
              <w:lang w:eastAsia="en-GB"/>
            </w:rPr>
          </w:pPr>
          <w:hyperlink w:anchor="_Toc235034868" w:history="1">
            <w:r w:rsidRPr="00C368C8">
              <w:rPr>
                <w:rStyle w:val="Hyperlink"/>
                <w:rFonts w:ascii="Arial" w:eastAsia="Times New Roman" w:hAnsi="Arial" w:cs="Arial"/>
                <w:b/>
                <w:bCs/>
                <w:noProof/>
                <w:lang w:eastAsia="en-GB"/>
              </w:rPr>
              <w:t>3.1</w:t>
            </w:r>
            <w:r>
              <w:rPr>
                <w:rFonts w:eastAsiaTheme="minorEastAsia"/>
                <w:noProof/>
                <w:kern w:val="2"/>
                <w:lang w:eastAsia="en-GB"/>
              </w:rPr>
              <w:tab/>
            </w:r>
            <w:r w:rsidRPr="00C368C8">
              <w:rPr>
                <w:rStyle w:val="Hyperlink"/>
                <w:rFonts w:ascii="Arial" w:eastAsia="Times New Roman" w:hAnsi="Arial" w:cs="Arial"/>
                <w:b/>
                <w:bCs/>
                <w:noProof/>
                <w:lang w:eastAsia="en-GB"/>
              </w:rPr>
              <w:t>Implication on Classification:</w:t>
            </w:r>
            <w:r>
              <w:rPr>
                <w:noProof/>
                <w:webHidden/>
              </w:rPr>
              <w:tab/>
            </w:r>
            <w:r>
              <w:rPr>
                <w:noProof/>
                <w:webHidden/>
              </w:rPr>
              <w:fldChar w:fldCharType="begin"/>
            </w:r>
            <w:r>
              <w:rPr>
                <w:noProof/>
                <w:webHidden/>
              </w:rPr>
              <w:instrText xml:space="preserve"> PAGEREF _Toc235034868 \h </w:instrText>
            </w:r>
            <w:r>
              <w:rPr>
                <w:noProof/>
                <w:webHidden/>
              </w:rPr>
            </w:r>
            <w:r>
              <w:rPr>
                <w:noProof/>
                <w:webHidden/>
              </w:rPr>
              <w:fldChar w:fldCharType="separate"/>
            </w:r>
            <w:r>
              <w:rPr>
                <w:noProof/>
                <w:webHidden/>
              </w:rPr>
              <w:t>7</w:t>
            </w:r>
            <w:r>
              <w:rPr>
                <w:noProof/>
                <w:webHidden/>
              </w:rPr>
              <w:fldChar w:fldCharType="end"/>
            </w:r>
          </w:hyperlink>
        </w:p>
        <w:p w14:paraId="35B7E9F4" w14:textId="6DE7383D" w:rsidR="001A37AB" w:rsidRDefault="001A37AB">
          <w:pPr>
            <w:pStyle w:val="TOC2"/>
            <w:tabs>
              <w:tab w:val="left" w:pos="960"/>
              <w:tab w:val="right" w:leader="dot" w:pos="9350"/>
            </w:tabs>
            <w:rPr>
              <w:rFonts w:eastAsiaTheme="minorEastAsia"/>
              <w:noProof/>
              <w:kern w:val="2"/>
              <w:lang w:eastAsia="en-GB"/>
            </w:rPr>
          </w:pPr>
          <w:hyperlink w:anchor="_Toc235034869" w:history="1">
            <w:r w:rsidRPr="00C368C8">
              <w:rPr>
                <w:rStyle w:val="Hyperlink"/>
                <w:rFonts w:ascii="Arial" w:eastAsia="Times New Roman" w:hAnsi="Arial" w:cs="Arial"/>
                <w:b/>
                <w:bCs/>
                <w:noProof/>
                <w:lang w:eastAsia="en-GB"/>
              </w:rPr>
              <w:t>3.2</w:t>
            </w:r>
            <w:r>
              <w:rPr>
                <w:rFonts w:eastAsiaTheme="minorEastAsia"/>
                <w:noProof/>
                <w:kern w:val="2"/>
                <w:lang w:eastAsia="en-GB"/>
              </w:rPr>
              <w:tab/>
            </w:r>
            <w:r w:rsidRPr="00C368C8">
              <w:rPr>
                <w:rStyle w:val="Hyperlink"/>
                <w:rFonts w:ascii="Arial" w:eastAsia="Times New Roman" w:hAnsi="Arial" w:cs="Arial"/>
                <w:b/>
                <w:bCs/>
                <w:noProof/>
                <w:lang w:eastAsia="en-GB"/>
              </w:rPr>
              <w:t>Cultural Perspective of Anorexia Nervosa</w:t>
            </w:r>
            <w:r>
              <w:rPr>
                <w:noProof/>
                <w:webHidden/>
              </w:rPr>
              <w:tab/>
            </w:r>
            <w:r>
              <w:rPr>
                <w:noProof/>
                <w:webHidden/>
              </w:rPr>
              <w:fldChar w:fldCharType="begin"/>
            </w:r>
            <w:r>
              <w:rPr>
                <w:noProof/>
                <w:webHidden/>
              </w:rPr>
              <w:instrText xml:space="preserve"> PAGEREF _Toc235034869 \h </w:instrText>
            </w:r>
            <w:r>
              <w:rPr>
                <w:noProof/>
                <w:webHidden/>
              </w:rPr>
            </w:r>
            <w:r>
              <w:rPr>
                <w:noProof/>
                <w:webHidden/>
              </w:rPr>
              <w:fldChar w:fldCharType="separate"/>
            </w:r>
            <w:r>
              <w:rPr>
                <w:noProof/>
                <w:webHidden/>
              </w:rPr>
              <w:t>7</w:t>
            </w:r>
            <w:r>
              <w:rPr>
                <w:noProof/>
                <w:webHidden/>
              </w:rPr>
              <w:fldChar w:fldCharType="end"/>
            </w:r>
          </w:hyperlink>
        </w:p>
        <w:p w14:paraId="6B96F5DA" w14:textId="7FC30BBC" w:rsidR="001A37AB" w:rsidRDefault="001A37AB">
          <w:pPr>
            <w:pStyle w:val="TOC2"/>
            <w:tabs>
              <w:tab w:val="left" w:pos="960"/>
              <w:tab w:val="right" w:leader="dot" w:pos="9350"/>
            </w:tabs>
            <w:rPr>
              <w:rFonts w:eastAsiaTheme="minorEastAsia"/>
              <w:noProof/>
              <w:kern w:val="2"/>
              <w:lang w:eastAsia="en-GB"/>
            </w:rPr>
          </w:pPr>
          <w:hyperlink w:anchor="_Toc235034870" w:history="1">
            <w:r w:rsidRPr="00C368C8">
              <w:rPr>
                <w:rStyle w:val="Hyperlink"/>
                <w:rFonts w:ascii="Arial" w:eastAsia="Times New Roman" w:hAnsi="Arial" w:cs="Arial"/>
                <w:b/>
                <w:bCs/>
                <w:noProof/>
                <w:lang w:eastAsia="en-GB"/>
              </w:rPr>
              <w:t>3.3</w:t>
            </w:r>
            <w:r>
              <w:rPr>
                <w:rFonts w:eastAsiaTheme="minorEastAsia"/>
                <w:noProof/>
                <w:kern w:val="2"/>
                <w:lang w:eastAsia="en-GB"/>
              </w:rPr>
              <w:tab/>
            </w:r>
            <w:r w:rsidRPr="00C368C8">
              <w:rPr>
                <w:rStyle w:val="Hyperlink"/>
                <w:rFonts w:ascii="Arial" w:eastAsia="Times New Roman" w:hAnsi="Arial" w:cs="Arial"/>
                <w:b/>
                <w:bCs/>
                <w:noProof/>
                <w:lang w:eastAsia="en-GB"/>
              </w:rPr>
              <w:t>Impact of Debate on Policy and Practice</w:t>
            </w:r>
            <w:r>
              <w:rPr>
                <w:noProof/>
                <w:webHidden/>
              </w:rPr>
              <w:tab/>
            </w:r>
            <w:r>
              <w:rPr>
                <w:noProof/>
                <w:webHidden/>
              </w:rPr>
              <w:fldChar w:fldCharType="begin"/>
            </w:r>
            <w:r>
              <w:rPr>
                <w:noProof/>
                <w:webHidden/>
              </w:rPr>
              <w:instrText xml:space="preserve"> PAGEREF _Toc235034870 \h </w:instrText>
            </w:r>
            <w:r>
              <w:rPr>
                <w:noProof/>
                <w:webHidden/>
              </w:rPr>
            </w:r>
            <w:r>
              <w:rPr>
                <w:noProof/>
                <w:webHidden/>
              </w:rPr>
              <w:fldChar w:fldCharType="separate"/>
            </w:r>
            <w:r>
              <w:rPr>
                <w:noProof/>
                <w:webHidden/>
              </w:rPr>
              <w:t>7</w:t>
            </w:r>
            <w:r>
              <w:rPr>
                <w:noProof/>
                <w:webHidden/>
              </w:rPr>
              <w:fldChar w:fldCharType="end"/>
            </w:r>
          </w:hyperlink>
        </w:p>
        <w:p w14:paraId="19629F96" w14:textId="1C10261B" w:rsidR="001A37AB" w:rsidRDefault="001A37AB">
          <w:pPr>
            <w:pStyle w:val="TOC1"/>
            <w:tabs>
              <w:tab w:val="left" w:pos="480"/>
              <w:tab w:val="right" w:leader="dot" w:pos="9350"/>
            </w:tabs>
            <w:rPr>
              <w:rFonts w:eastAsiaTheme="minorEastAsia"/>
              <w:noProof/>
              <w:kern w:val="2"/>
              <w:lang w:eastAsia="en-GB"/>
            </w:rPr>
          </w:pPr>
          <w:hyperlink w:anchor="_Toc235034871" w:history="1">
            <w:r w:rsidRPr="00C368C8">
              <w:rPr>
                <w:rStyle w:val="Hyperlink"/>
                <w:rFonts w:ascii="Arial" w:hAnsi="Arial" w:cs="Arial"/>
                <w:b/>
                <w:bCs/>
                <w:noProof/>
              </w:rPr>
              <w:t>4.</w:t>
            </w:r>
            <w:r>
              <w:rPr>
                <w:rFonts w:eastAsiaTheme="minorEastAsia"/>
                <w:noProof/>
                <w:kern w:val="2"/>
                <w:lang w:eastAsia="en-GB"/>
              </w:rPr>
              <w:tab/>
            </w:r>
            <w:r w:rsidRPr="00C368C8">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_Toc235034871 \h </w:instrText>
            </w:r>
            <w:r>
              <w:rPr>
                <w:noProof/>
                <w:webHidden/>
              </w:rPr>
            </w:r>
            <w:r>
              <w:rPr>
                <w:noProof/>
                <w:webHidden/>
              </w:rPr>
              <w:fldChar w:fldCharType="separate"/>
            </w:r>
            <w:r>
              <w:rPr>
                <w:noProof/>
                <w:webHidden/>
              </w:rPr>
              <w:t>8</w:t>
            </w:r>
            <w:r>
              <w:rPr>
                <w:noProof/>
                <w:webHidden/>
              </w:rPr>
              <w:fldChar w:fldCharType="end"/>
            </w:r>
          </w:hyperlink>
        </w:p>
        <w:p w14:paraId="77910CD7" w14:textId="3D98E04B" w:rsidR="001A37AB" w:rsidRDefault="001A37AB">
          <w:pPr>
            <w:pStyle w:val="TOC2"/>
            <w:tabs>
              <w:tab w:val="left" w:pos="960"/>
              <w:tab w:val="right" w:leader="dot" w:pos="9350"/>
            </w:tabs>
            <w:rPr>
              <w:rFonts w:eastAsiaTheme="minorEastAsia"/>
              <w:noProof/>
              <w:kern w:val="2"/>
              <w:lang w:eastAsia="en-GB"/>
            </w:rPr>
          </w:pPr>
          <w:hyperlink w:anchor="_Toc235034872" w:history="1">
            <w:r w:rsidRPr="00C368C8">
              <w:rPr>
                <w:rStyle w:val="Hyperlink"/>
                <w:rFonts w:ascii="Arial" w:hAnsi="Arial" w:cs="Arial"/>
                <w:b/>
                <w:bCs/>
                <w:noProof/>
              </w:rPr>
              <w:t>4.1</w:t>
            </w:r>
            <w:r>
              <w:rPr>
                <w:rFonts w:eastAsiaTheme="minorEastAsia"/>
                <w:noProof/>
                <w:kern w:val="2"/>
                <w:lang w:eastAsia="en-GB"/>
              </w:rPr>
              <w:tab/>
            </w:r>
            <w:r w:rsidRPr="00C368C8">
              <w:rPr>
                <w:rStyle w:val="Hyperlink"/>
                <w:rFonts w:ascii="Arial" w:hAnsi="Arial" w:cs="Arial"/>
                <w:b/>
                <w:bCs/>
                <w:noProof/>
              </w:rPr>
              <w:t>Suggested Improvements</w:t>
            </w:r>
            <w:r>
              <w:rPr>
                <w:noProof/>
                <w:webHidden/>
              </w:rPr>
              <w:tab/>
            </w:r>
            <w:r>
              <w:rPr>
                <w:noProof/>
                <w:webHidden/>
              </w:rPr>
              <w:fldChar w:fldCharType="begin"/>
            </w:r>
            <w:r>
              <w:rPr>
                <w:noProof/>
                <w:webHidden/>
              </w:rPr>
              <w:instrText xml:space="preserve"> PAGEREF _Toc235034872 \h </w:instrText>
            </w:r>
            <w:r>
              <w:rPr>
                <w:noProof/>
                <w:webHidden/>
              </w:rPr>
            </w:r>
            <w:r>
              <w:rPr>
                <w:noProof/>
                <w:webHidden/>
              </w:rPr>
              <w:fldChar w:fldCharType="separate"/>
            </w:r>
            <w:r>
              <w:rPr>
                <w:noProof/>
                <w:webHidden/>
              </w:rPr>
              <w:t>8</w:t>
            </w:r>
            <w:r>
              <w:rPr>
                <w:noProof/>
                <w:webHidden/>
              </w:rPr>
              <w:fldChar w:fldCharType="end"/>
            </w:r>
          </w:hyperlink>
        </w:p>
        <w:p w14:paraId="12A67BA9" w14:textId="5E973033" w:rsidR="001A37AB" w:rsidRDefault="001A37AB">
          <w:pPr>
            <w:pStyle w:val="TOC2"/>
            <w:tabs>
              <w:tab w:val="left" w:pos="960"/>
              <w:tab w:val="right" w:leader="dot" w:pos="9350"/>
            </w:tabs>
            <w:rPr>
              <w:rFonts w:eastAsiaTheme="minorEastAsia"/>
              <w:noProof/>
              <w:kern w:val="2"/>
              <w:lang w:eastAsia="en-GB"/>
            </w:rPr>
          </w:pPr>
          <w:hyperlink w:anchor="_Toc235034873" w:history="1">
            <w:r w:rsidRPr="00C368C8">
              <w:rPr>
                <w:rStyle w:val="Hyperlink"/>
                <w:rFonts w:ascii="Arial" w:hAnsi="Arial" w:cs="Arial"/>
                <w:b/>
                <w:bCs/>
                <w:noProof/>
              </w:rPr>
              <w:t>4.2</w:t>
            </w:r>
            <w:r>
              <w:rPr>
                <w:rFonts w:eastAsiaTheme="minorEastAsia"/>
                <w:noProof/>
                <w:kern w:val="2"/>
                <w:lang w:eastAsia="en-GB"/>
              </w:rPr>
              <w:tab/>
            </w:r>
            <w:r w:rsidRPr="00C368C8">
              <w:rPr>
                <w:rStyle w:val="Hyperlink"/>
                <w:rFonts w:ascii="Arial" w:hAnsi="Arial" w:cs="Arial"/>
                <w:b/>
                <w:bCs/>
                <w:noProof/>
              </w:rPr>
              <w:t>Implications for practice, policy and further research</w:t>
            </w:r>
            <w:r>
              <w:rPr>
                <w:noProof/>
                <w:webHidden/>
              </w:rPr>
              <w:tab/>
            </w:r>
            <w:r>
              <w:rPr>
                <w:noProof/>
                <w:webHidden/>
              </w:rPr>
              <w:fldChar w:fldCharType="begin"/>
            </w:r>
            <w:r>
              <w:rPr>
                <w:noProof/>
                <w:webHidden/>
              </w:rPr>
              <w:instrText xml:space="preserve"> PAGEREF _Toc235034873 \h </w:instrText>
            </w:r>
            <w:r>
              <w:rPr>
                <w:noProof/>
                <w:webHidden/>
              </w:rPr>
            </w:r>
            <w:r>
              <w:rPr>
                <w:noProof/>
                <w:webHidden/>
              </w:rPr>
              <w:fldChar w:fldCharType="separate"/>
            </w:r>
            <w:r>
              <w:rPr>
                <w:noProof/>
                <w:webHidden/>
              </w:rPr>
              <w:t>8</w:t>
            </w:r>
            <w:r>
              <w:rPr>
                <w:noProof/>
                <w:webHidden/>
              </w:rPr>
              <w:fldChar w:fldCharType="end"/>
            </w:r>
          </w:hyperlink>
        </w:p>
        <w:p w14:paraId="17E2B712" w14:textId="327EBA21" w:rsidR="001A37AB" w:rsidRDefault="001A37AB">
          <w:pPr>
            <w:pStyle w:val="TOC1"/>
            <w:tabs>
              <w:tab w:val="left" w:pos="480"/>
              <w:tab w:val="right" w:leader="dot" w:pos="9350"/>
            </w:tabs>
            <w:rPr>
              <w:rFonts w:eastAsiaTheme="minorEastAsia"/>
              <w:noProof/>
              <w:kern w:val="2"/>
              <w:lang w:eastAsia="en-GB"/>
            </w:rPr>
          </w:pPr>
          <w:hyperlink w:anchor="_Toc235034874" w:history="1">
            <w:r w:rsidRPr="00C368C8">
              <w:rPr>
                <w:rStyle w:val="Hyperlink"/>
                <w:rFonts w:ascii="Arial" w:hAnsi="Arial" w:cs="Arial"/>
                <w:b/>
                <w:bCs/>
                <w:noProof/>
              </w:rPr>
              <w:t>5.</w:t>
            </w:r>
            <w:r>
              <w:rPr>
                <w:rFonts w:eastAsiaTheme="minorEastAsia"/>
                <w:noProof/>
                <w:kern w:val="2"/>
                <w:lang w:eastAsia="en-GB"/>
              </w:rPr>
              <w:tab/>
            </w:r>
            <w:r w:rsidRPr="00C368C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_Toc235034874 \h </w:instrText>
            </w:r>
            <w:r>
              <w:rPr>
                <w:noProof/>
                <w:webHidden/>
              </w:rPr>
            </w:r>
            <w:r>
              <w:rPr>
                <w:noProof/>
                <w:webHidden/>
              </w:rPr>
              <w:fldChar w:fldCharType="separate"/>
            </w:r>
            <w:r>
              <w:rPr>
                <w:noProof/>
                <w:webHidden/>
              </w:rPr>
              <w:t>9</w:t>
            </w:r>
            <w:r>
              <w:rPr>
                <w:noProof/>
                <w:webHidden/>
              </w:rPr>
              <w:fldChar w:fldCharType="end"/>
            </w:r>
          </w:hyperlink>
        </w:p>
        <w:p w14:paraId="6F95FB9D" w14:textId="0BCBCB67" w:rsidR="001A37AB" w:rsidRDefault="001A37AB">
          <w:pPr>
            <w:pStyle w:val="TOC1"/>
            <w:tabs>
              <w:tab w:val="left" w:pos="480"/>
              <w:tab w:val="right" w:leader="dot" w:pos="9350"/>
            </w:tabs>
            <w:rPr>
              <w:rFonts w:eastAsiaTheme="minorEastAsia"/>
              <w:noProof/>
              <w:kern w:val="2"/>
              <w:lang w:eastAsia="en-GB"/>
            </w:rPr>
          </w:pPr>
          <w:hyperlink w:anchor="_Toc235034875" w:history="1">
            <w:r w:rsidRPr="00C368C8">
              <w:rPr>
                <w:rStyle w:val="Hyperlink"/>
                <w:rFonts w:ascii="Arial" w:hAnsi="Arial" w:cs="Arial"/>
                <w:b/>
                <w:bCs/>
                <w:noProof/>
              </w:rPr>
              <w:t>6.</w:t>
            </w:r>
            <w:r>
              <w:rPr>
                <w:rFonts w:eastAsiaTheme="minorEastAsia"/>
                <w:noProof/>
                <w:kern w:val="2"/>
                <w:lang w:eastAsia="en-GB"/>
              </w:rPr>
              <w:tab/>
            </w:r>
            <w:r w:rsidRPr="00C368C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_Toc235034875 \h </w:instrText>
            </w:r>
            <w:r>
              <w:rPr>
                <w:noProof/>
                <w:webHidden/>
              </w:rPr>
            </w:r>
            <w:r>
              <w:rPr>
                <w:noProof/>
                <w:webHidden/>
              </w:rPr>
              <w:fldChar w:fldCharType="separate"/>
            </w:r>
            <w:r>
              <w:rPr>
                <w:noProof/>
                <w:webHidden/>
              </w:rPr>
              <w:t>10</w:t>
            </w:r>
            <w:r>
              <w:rPr>
                <w:noProof/>
                <w:webHidden/>
              </w:rPr>
              <w:fldChar w:fldCharType="end"/>
            </w:r>
          </w:hyperlink>
        </w:p>
        <w:p w14:paraId="10788959" w14:textId="67E29A36" w:rsidR="00626DBF" w:rsidRPr="005C021D" w:rsidRDefault="00626DBF" w:rsidP="00F55009">
          <w:pPr>
            <w:rPr>
              <w:rFonts w:asciiTheme="minorBidi" w:hAnsiTheme="minorBidi"/>
              <w:sz w:val="22"/>
              <w:szCs w:val="22"/>
            </w:rPr>
          </w:pPr>
          <w:r w:rsidRPr="005C021D">
            <w:rPr>
              <w:rFonts w:asciiTheme="minorBidi" w:hAnsiTheme="minorBidi"/>
              <w:b/>
              <w:bCs/>
              <w:noProof/>
              <w:sz w:val="22"/>
              <w:szCs w:val="22"/>
            </w:rPr>
            <w:fldChar w:fldCharType="end"/>
          </w:r>
        </w:p>
      </w:sdtContent>
    </w:sdt>
    <w:p w14:paraId="45D03AB8" w14:textId="77777777" w:rsidR="00626DBF" w:rsidRPr="00C572B2" w:rsidRDefault="00626DBF" w:rsidP="00F55009">
      <w:pPr>
        <w:rPr>
          <w:rFonts w:ascii="Arial" w:hAnsi="Arial" w:cs="Arial"/>
          <w:sz w:val="32"/>
          <w:szCs w:val="32"/>
        </w:rPr>
      </w:pPr>
    </w:p>
    <w:p w14:paraId="3CDDD386" w14:textId="77777777" w:rsidR="00626DBF" w:rsidRPr="00C572B2" w:rsidRDefault="00626DBF" w:rsidP="00F55009">
      <w:pPr>
        <w:rPr>
          <w:rFonts w:ascii="Arial" w:hAnsi="Arial" w:cs="Arial"/>
          <w:sz w:val="32"/>
          <w:szCs w:val="32"/>
        </w:rPr>
      </w:pPr>
    </w:p>
    <w:p w14:paraId="534918EA" w14:textId="77777777" w:rsidR="00626DBF" w:rsidRPr="00C572B2" w:rsidRDefault="00626DBF" w:rsidP="00F55009">
      <w:pPr>
        <w:rPr>
          <w:rFonts w:ascii="Arial" w:hAnsi="Arial" w:cs="Arial"/>
          <w:sz w:val="32"/>
          <w:szCs w:val="32"/>
        </w:rPr>
      </w:pPr>
    </w:p>
    <w:p w14:paraId="37CFA697" w14:textId="77777777" w:rsidR="00617C7F" w:rsidRPr="00C572B2" w:rsidRDefault="00617C7F" w:rsidP="00F55009">
      <w:pPr>
        <w:rPr>
          <w:rFonts w:ascii="Arial" w:hAnsi="Arial" w:cs="Arial"/>
          <w:sz w:val="32"/>
          <w:szCs w:val="32"/>
        </w:rPr>
      </w:pPr>
    </w:p>
    <w:p w14:paraId="06E8F7F9" w14:textId="77777777" w:rsidR="00E5418C" w:rsidRPr="00C572B2" w:rsidRDefault="00E5418C" w:rsidP="00F55009">
      <w:pPr>
        <w:rPr>
          <w:rFonts w:ascii="Arial" w:hAnsi="Arial" w:cs="Arial"/>
          <w:sz w:val="32"/>
          <w:szCs w:val="32"/>
        </w:rPr>
      </w:pPr>
    </w:p>
    <w:p w14:paraId="54E11BB5" w14:textId="77777777" w:rsidR="00E5418C" w:rsidRPr="00C572B2" w:rsidRDefault="00E5418C" w:rsidP="00F55009">
      <w:pPr>
        <w:rPr>
          <w:rFonts w:ascii="Arial" w:hAnsi="Arial" w:cs="Arial"/>
          <w:sz w:val="32"/>
          <w:szCs w:val="32"/>
        </w:rPr>
      </w:pPr>
    </w:p>
    <w:p w14:paraId="07B818D0" w14:textId="77777777" w:rsidR="006B72C3" w:rsidRPr="00C572B2" w:rsidRDefault="006B72C3" w:rsidP="00F55009">
      <w:pPr>
        <w:rPr>
          <w:rFonts w:ascii="Arial" w:hAnsi="Arial" w:cs="Arial"/>
          <w:sz w:val="32"/>
          <w:szCs w:val="32"/>
        </w:rPr>
      </w:pPr>
    </w:p>
    <w:p w14:paraId="5AA119AF" w14:textId="77777777" w:rsidR="00626DBF" w:rsidRDefault="00626DBF" w:rsidP="00F55009">
      <w:pPr>
        <w:rPr>
          <w:rFonts w:ascii="Arial" w:hAnsi="Arial" w:cs="Arial"/>
          <w:sz w:val="32"/>
          <w:szCs w:val="32"/>
        </w:rPr>
      </w:pPr>
    </w:p>
    <w:p w14:paraId="45D94AB6" w14:textId="77777777" w:rsidR="005C021D" w:rsidRPr="00C572B2" w:rsidRDefault="005C021D" w:rsidP="00F55009">
      <w:pPr>
        <w:rPr>
          <w:rFonts w:ascii="Arial" w:hAnsi="Arial" w:cs="Arial"/>
          <w:sz w:val="32"/>
          <w:szCs w:val="32"/>
        </w:rPr>
      </w:pPr>
    </w:p>
    <w:p w14:paraId="67B908B1" w14:textId="7635CA2E" w:rsidR="00617C7F" w:rsidRPr="00C572B2" w:rsidRDefault="00B955E9" w:rsidP="008C1A5A">
      <w:pPr>
        <w:pStyle w:val="Heading1"/>
        <w:numPr>
          <w:ilvl w:val="0"/>
          <w:numId w:val="2"/>
        </w:numPr>
        <w:spacing w:line="360" w:lineRule="auto"/>
        <w:rPr>
          <w:rFonts w:ascii="Arial" w:hAnsi="Arial" w:cs="Arial"/>
          <w:b/>
          <w:bCs/>
          <w:color w:val="auto"/>
          <w:sz w:val="24"/>
          <w:szCs w:val="24"/>
        </w:rPr>
      </w:pPr>
      <w:bookmarkStart w:id="0" w:name="_Toc235034862"/>
      <w:r>
        <w:rPr>
          <w:rFonts w:ascii="Arial" w:hAnsi="Arial" w:cs="Arial"/>
          <w:b/>
          <w:bCs/>
          <w:color w:val="auto"/>
          <w:sz w:val="24"/>
          <w:szCs w:val="24"/>
        </w:rPr>
        <w:lastRenderedPageBreak/>
        <w:t>Introduction</w:t>
      </w:r>
      <w:bookmarkEnd w:id="0"/>
    </w:p>
    <w:p w14:paraId="606CEF68" w14:textId="22F25284" w:rsidR="00031DE0" w:rsidRPr="00C572B2" w:rsidRDefault="00944023" w:rsidP="00F55009">
      <w:pPr>
        <w:spacing w:line="360" w:lineRule="auto"/>
        <w:rPr>
          <w:rFonts w:ascii="Arial" w:hAnsi="Arial" w:cs="Arial"/>
          <w:sz w:val="22"/>
          <w:szCs w:val="22"/>
        </w:rPr>
      </w:pPr>
      <w:r w:rsidRPr="00C572B2">
        <w:rPr>
          <w:rFonts w:ascii="Arial" w:hAnsi="Arial" w:cs="Arial"/>
          <w:sz w:val="22"/>
          <w:szCs w:val="22"/>
        </w:rPr>
        <w:t xml:space="preserve">Eating disorders are </w:t>
      </w:r>
      <w:r w:rsidR="00617C7F" w:rsidRPr="00C572B2">
        <w:rPr>
          <w:rFonts w:ascii="Arial" w:hAnsi="Arial" w:cs="Arial"/>
          <w:sz w:val="22"/>
          <w:szCs w:val="22"/>
        </w:rPr>
        <w:t>complex</w:t>
      </w:r>
      <w:r w:rsidRPr="00C572B2">
        <w:rPr>
          <w:rFonts w:ascii="Arial" w:hAnsi="Arial" w:cs="Arial"/>
          <w:sz w:val="22"/>
          <w:szCs w:val="22"/>
        </w:rPr>
        <w:t xml:space="preserve"> mental health </w:t>
      </w:r>
      <w:r w:rsidR="00617C7F" w:rsidRPr="00C572B2">
        <w:rPr>
          <w:rFonts w:ascii="Arial" w:hAnsi="Arial" w:cs="Arial"/>
          <w:sz w:val="22"/>
          <w:szCs w:val="22"/>
        </w:rPr>
        <w:t xml:space="preserve">issues involving </w:t>
      </w:r>
      <w:r w:rsidRPr="00C572B2">
        <w:rPr>
          <w:rFonts w:ascii="Arial" w:hAnsi="Arial" w:cs="Arial"/>
          <w:sz w:val="22"/>
          <w:szCs w:val="22"/>
        </w:rPr>
        <w:t xml:space="preserve">persistent disturbances in eating behaviours, </w:t>
      </w:r>
      <w:r w:rsidR="00617C7F" w:rsidRPr="00C572B2">
        <w:rPr>
          <w:rFonts w:ascii="Arial" w:hAnsi="Arial" w:cs="Arial"/>
          <w:sz w:val="22"/>
          <w:szCs w:val="22"/>
        </w:rPr>
        <w:t>with distorted thoughts and emotions about food,</w:t>
      </w:r>
      <w:r w:rsidRPr="00C572B2">
        <w:rPr>
          <w:rFonts w:ascii="Arial" w:hAnsi="Arial" w:cs="Arial"/>
          <w:sz w:val="22"/>
          <w:szCs w:val="22"/>
        </w:rPr>
        <w:t xml:space="preserve"> body weight and body image. They can result in severe physical, psychological and social consequences</w:t>
      </w:r>
      <w:r w:rsidR="00F96C17" w:rsidRPr="00C572B2">
        <w:rPr>
          <w:rFonts w:ascii="Arial" w:hAnsi="Arial" w:cs="Arial"/>
          <w:sz w:val="22"/>
          <w:szCs w:val="22"/>
        </w:rPr>
        <w:t>.</w:t>
      </w:r>
      <w:r w:rsidRPr="00C572B2">
        <w:rPr>
          <w:rFonts w:ascii="Arial" w:hAnsi="Arial" w:cs="Arial"/>
          <w:sz w:val="22"/>
          <w:szCs w:val="22"/>
        </w:rPr>
        <w:t xml:space="preserve"> </w:t>
      </w:r>
      <w:r w:rsidR="00F96C17" w:rsidRPr="00C572B2">
        <w:rPr>
          <w:rFonts w:ascii="Arial" w:hAnsi="Arial" w:cs="Arial"/>
          <w:sz w:val="22"/>
          <w:szCs w:val="22"/>
        </w:rPr>
        <w:t xml:space="preserve"> These</w:t>
      </w:r>
      <w:r w:rsidR="00617C7F" w:rsidRPr="00C572B2">
        <w:rPr>
          <w:rFonts w:ascii="Arial" w:hAnsi="Arial" w:cs="Arial"/>
          <w:sz w:val="22"/>
          <w:szCs w:val="22"/>
        </w:rPr>
        <w:t xml:space="preserve"> conditions can negatively affect physical health, psychological wellbeing and everyday functioning. These include</w:t>
      </w:r>
      <w:r w:rsidRPr="00C572B2">
        <w:rPr>
          <w:rFonts w:ascii="Arial" w:hAnsi="Arial" w:cs="Arial"/>
          <w:sz w:val="22"/>
          <w:szCs w:val="22"/>
        </w:rPr>
        <w:t xml:space="preserve"> Anorexia Nervosa, Bulimia Nervosa, Binge eating disorder and other specified feeding or eating disorders (Guarda, 2023). Among these Anorexia Nervosa (AN) is recognised as one of the most severe psychiatric disorders because of its high mortality rate and risk of long-term medical complications</w:t>
      </w:r>
      <w:r w:rsidR="00DC44CD" w:rsidRPr="00C572B2">
        <w:rPr>
          <w:rFonts w:ascii="Arial" w:hAnsi="Arial" w:cs="Arial"/>
          <w:sz w:val="22"/>
          <w:szCs w:val="22"/>
        </w:rPr>
        <w:t xml:space="preserve"> (National Institute of Mental Health, 2024). </w:t>
      </w:r>
    </w:p>
    <w:p w14:paraId="65834C2A" w14:textId="0ADD66AA" w:rsidR="00571300" w:rsidRPr="00C572B2" w:rsidRDefault="00617C7F" w:rsidP="00F55009">
      <w:pPr>
        <w:spacing w:line="360" w:lineRule="auto"/>
        <w:rPr>
          <w:rFonts w:ascii="Arial" w:hAnsi="Arial" w:cs="Arial"/>
          <w:sz w:val="22"/>
          <w:szCs w:val="22"/>
        </w:rPr>
      </w:pPr>
      <w:r w:rsidRPr="00C572B2">
        <w:rPr>
          <w:rFonts w:ascii="Arial" w:hAnsi="Arial" w:cs="Arial"/>
          <w:sz w:val="22"/>
          <w:szCs w:val="22"/>
        </w:rPr>
        <w:t>Within the</w:t>
      </w:r>
      <w:r w:rsidR="00944023" w:rsidRPr="00C572B2">
        <w:rPr>
          <w:rFonts w:ascii="Arial" w:hAnsi="Arial" w:cs="Arial"/>
          <w:sz w:val="22"/>
          <w:szCs w:val="22"/>
        </w:rPr>
        <w:t xml:space="preserve"> ICD-11, Anorexia Nervosa is </w:t>
      </w:r>
      <w:r w:rsidRPr="00C572B2">
        <w:rPr>
          <w:rFonts w:ascii="Arial" w:hAnsi="Arial" w:cs="Arial"/>
          <w:sz w:val="22"/>
          <w:szCs w:val="22"/>
        </w:rPr>
        <w:t xml:space="preserve">recognised </w:t>
      </w:r>
      <w:r w:rsidR="00944023" w:rsidRPr="00C572B2">
        <w:rPr>
          <w:rFonts w:ascii="Arial" w:hAnsi="Arial" w:cs="Arial"/>
          <w:sz w:val="22"/>
          <w:szCs w:val="22"/>
        </w:rPr>
        <w:t xml:space="preserve">as a feeding or eating disorder </w:t>
      </w:r>
      <w:r w:rsidRPr="00C572B2">
        <w:rPr>
          <w:rFonts w:ascii="Arial" w:hAnsi="Arial" w:cs="Arial"/>
          <w:sz w:val="22"/>
          <w:szCs w:val="22"/>
        </w:rPr>
        <w:t xml:space="preserve">marked </w:t>
      </w:r>
      <w:r w:rsidR="00944023" w:rsidRPr="00C572B2">
        <w:rPr>
          <w:rFonts w:ascii="Arial" w:hAnsi="Arial" w:cs="Arial"/>
          <w:sz w:val="22"/>
          <w:szCs w:val="22"/>
        </w:rPr>
        <w:t xml:space="preserve">by significantly low body weight, </w:t>
      </w:r>
      <w:r w:rsidRPr="00C572B2">
        <w:rPr>
          <w:rFonts w:ascii="Arial" w:hAnsi="Arial" w:cs="Arial"/>
          <w:sz w:val="22"/>
          <w:szCs w:val="22"/>
        </w:rPr>
        <w:t>resulting from ongoing restriction of food intake or other behaviours that interfere with</w:t>
      </w:r>
      <w:r w:rsidR="00944023" w:rsidRPr="00C572B2">
        <w:rPr>
          <w:rFonts w:ascii="Arial" w:hAnsi="Arial" w:cs="Arial"/>
          <w:sz w:val="22"/>
          <w:szCs w:val="22"/>
        </w:rPr>
        <w:t xml:space="preserve"> weight restoration</w:t>
      </w:r>
      <w:r w:rsidRPr="00C572B2">
        <w:rPr>
          <w:rFonts w:ascii="Arial" w:hAnsi="Arial" w:cs="Arial"/>
          <w:sz w:val="22"/>
          <w:szCs w:val="22"/>
        </w:rPr>
        <w:t>. Individuals experience</w:t>
      </w:r>
      <w:r w:rsidR="00944023" w:rsidRPr="00C572B2">
        <w:rPr>
          <w:rFonts w:ascii="Arial" w:hAnsi="Arial" w:cs="Arial"/>
          <w:sz w:val="22"/>
          <w:szCs w:val="22"/>
        </w:rPr>
        <w:t xml:space="preserve"> intense fear of gaining weight or a disturbance in body image</w:t>
      </w:r>
      <w:r w:rsidR="00DC44CD" w:rsidRPr="00C572B2">
        <w:rPr>
          <w:rFonts w:ascii="Arial" w:hAnsi="Arial" w:cs="Arial"/>
          <w:sz w:val="22"/>
          <w:szCs w:val="22"/>
        </w:rPr>
        <w:t xml:space="preserve"> (ICD-11, 2026).  Global</w:t>
      </w:r>
      <w:r w:rsidR="00031DE0" w:rsidRPr="00C572B2">
        <w:rPr>
          <w:rFonts w:ascii="Arial" w:hAnsi="Arial" w:cs="Arial"/>
          <w:sz w:val="22"/>
          <w:szCs w:val="22"/>
        </w:rPr>
        <w:t xml:space="preserve">ly, up to 4% of females and 0.3% of males suffer from Anorexia Nervosa (Van Eeden, Van Hoeken and Hoek, 2021). </w:t>
      </w:r>
      <w:r w:rsidR="00DC44CD" w:rsidRPr="00C572B2">
        <w:rPr>
          <w:rFonts w:ascii="Arial" w:hAnsi="Arial" w:cs="Arial"/>
          <w:sz w:val="22"/>
          <w:szCs w:val="22"/>
        </w:rPr>
        <w:t>In UK approximately 1.25 million people are estimated to be living with an eating disorder</w:t>
      </w:r>
      <w:r w:rsidR="00031DE0" w:rsidRPr="00C572B2">
        <w:rPr>
          <w:rFonts w:ascii="Arial" w:hAnsi="Arial" w:cs="Arial"/>
          <w:sz w:val="22"/>
          <w:szCs w:val="22"/>
        </w:rPr>
        <w:t xml:space="preserve"> (BEAT, 2022).</w:t>
      </w:r>
      <w:r w:rsidR="00DC44CD" w:rsidRPr="00C572B2">
        <w:rPr>
          <w:rFonts w:ascii="Arial" w:hAnsi="Arial" w:cs="Arial"/>
          <w:sz w:val="22"/>
          <w:szCs w:val="22"/>
        </w:rPr>
        <w:t xml:space="preserve"> Anorexia Nervosa is most commonly reported in young women,</w:t>
      </w:r>
      <w:r w:rsidR="00031DE0" w:rsidRPr="00C572B2">
        <w:rPr>
          <w:rFonts w:ascii="Arial" w:hAnsi="Arial" w:cs="Arial"/>
          <w:sz w:val="22"/>
          <w:szCs w:val="22"/>
        </w:rPr>
        <w:t xml:space="preserve"> prevalence among young people is from 0.3% to 0.6% in UK (Petkova </w:t>
      </w:r>
      <w:r w:rsidR="00031DE0" w:rsidRPr="00C572B2">
        <w:rPr>
          <w:rFonts w:ascii="Arial" w:hAnsi="Arial" w:cs="Arial"/>
          <w:i/>
          <w:iCs/>
          <w:sz w:val="22"/>
          <w:szCs w:val="22"/>
        </w:rPr>
        <w:t>et al.</w:t>
      </w:r>
      <w:r w:rsidR="00031DE0" w:rsidRPr="00C572B2">
        <w:rPr>
          <w:rFonts w:ascii="Arial" w:hAnsi="Arial" w:cs="Arial"/>
          <w:sz w:val="22"/>
          <w:szCs w:val="22"/>
        </w:rPr>
        <w:t>, 2019).</w:t>
      </w:r>
    </w:p>
    <w:p w14:paraId="691AB20E" w14:textId="1A40A551" w:rsidR="00DC44CD" w:rsidRPr="00C572B2" w:rsidRDefault="00DC44CD" w:rsidP="00F55009">
      <w:pPr>
        <w:spacing w:line="360" w:lineRule="auto"/>
        <w:rPr>
          <w:rFonts w:ascii="Arial" w:hAnsi="Arial" w:cs="Arial"/>
          <w:sz w:val="22"/>
          <w:szCs w:val="22"/>
        </w:rPr>
      </w:pPr>
      <w:r w:rsidRPr="00C572B2">
        <w:rPr>
          <w:rFonts w:ascii="Arial" w:hAnsi="Arial" w:cs="Arial"/>
          <w:sz w:val="22"/>
          <w:szCs w:val="22"/>
        </w:rPr>
        <w:t>This report critically examines the ICD-11 classification and diagnostic criteria for Anorexia Nervosa (AN). It further evaluates current treatment and rehabilitation approaches, explores ongoing debates and emerging issues influencing policy and practice. It concludes with recommendations for improving diagnosis, treatment and future research.</w:t>
      </w:r>
    </w:p>
    <w:p w14:paraId="57B459A5" w14:textId="51A14CD4" w:rsidR="00626DBF" w:rsidRPr="00E412C2" w:rsidRDefault="00E412C2" w:rsidP="00F55009">
      <w:pPr>
        <w:pStyle w:val="Heading2"/>
        <w:rPr>
          <w:rFonts w:ascii="Arial" w:hAnsi="Arial" w:cs="Arial"/>
          <w:b/>
          <w:bCs/>
          <w:sz w:val="24"/>
          <w:szCs w:val="24"/>
        </w:rPr>
      </w:pPr>
      <w:bookmarkStart w:id="1" w:name="_Toc235034863"/>
      <w:r w:rsidRPr="00E412C2">
        <w:rPr>
          <w:rFonts w:ascii="Arial" w:hAnsi="Arial" w:cs="Arial"/>
          <w:b/>
          <w:bCs/>
          <w:color w:val="auto"/>
          <w:sz w:val="24"/>
          <w:szCs w:val="24"/>
        </w:rPr>
        <w:t>1.1</w:t>
      </w:r>
      <w:r w:rsidRPr="00E412C2">
        <w:rPr>
          <w:rFonts w:ascii="Arial" w:hAnsi="Arial" w:cs="Arial"/>
          <w:b/>
          <w:bCs/>
          <w:color w:val="auto"/>
          <w:sz w:val="24"/>
          <w:szCs w:val="24"/>
        </w:rPr>
        <w:tab/>
      </w:r>
      <w:r w:rsidR="00617C7F" w:rsidRPr="00E412C2">
        <w:rPr>
          <w:rFonts w:ascii="Arial" w:hAnsi="Arial" w:cs="Arial"/>
          <w:b/>
          <w:bCs/>
          <w:color w:val="auto"/>
          <w:sz w:val="24"/>
          <w:szCs w:val="24"/>
        </w:rPr>
        <w:t xml:space="preserve"> Classification</w:t>
      </w:r>
      <w:r w:rsidR="00B955E9">
        <w:rPr>
          <w:rFonts w:ascii="Arial" w:hAnsi="Arial" w:cs="Arial"/>
          <w:b/>
          <w:bCs/>
          <w:color w:val="auto"/>
          <w:sz w:val="24"/>
          <w:szCs w:val="24"/>
        </w:rPr>
        <w:t xml:space="preserve"> of Anorexia Nervosa in ICD-11</w:t>
      </w:r>
      <w:bookmarkEnd w:id="1"/>
    </w:p>
    <w:p w14:paraId="4C47F3BA" w14:textId="746222BF" w:rsidR="00031DE0" w:rsidRPr="00C572B2" w:rsidRDefault="00031DE0" w:rsidP="00F55009">
      <w:pPr>
        <w:spacing w:line="360" w:lineRule="auto"/>
        <w:rPr>
          <w:rFonts w:ascii="Arial" w:hAnsi="Arial" w:cs="Arial"/>
          <w:sz w:val="22"/>
          <w:szCs w:val="22"/>
        </w:rPr>
      </w:pPr>
      <w:r w:rsidRPr="00C572B2">
        <w:rPr>
          <w:rFonts w:ascii="Arial" w:hAnsi="Arial" w:cs="Arial"/>
          <w:sz w:val="22"/>
          <w:szCs w:val="22"/>
        </w:rPr>
        <w:t>In the International Classification of Disease, 11</w:t>
      </w:r>
      <w:r w:rsidRPr="00C572B2">
        <w:rPr>
          <w:rFonts w:ascii="Arial" w:hAnsi="Arial" w:cs="Arial"/>
          <w:sz w:val="22"/>
          <w:szCs w:val="22"/>
          <w:vertAlign w:val="superscript"/>
        </w:rPr>
        <w:t>th</w:t>
      </w:r>
      <w:r w:rsidRPr="00C572B2">
        <w:rPr>
          <w:rFonts w:ascii="Arial" w:hAnsi="Arial" w:cs="Arial"/>
          <w:sz w:val="22"/>
          <w:szCs w:val="22"/>
        </w:rPr>
        <w:t xml:space="preserve"> </w:t>
      </w:r>
      <w:r w:rsidR="00434686" w:rsidRPr="00C572B2">
        <w:rPr>
          <w:rFonts w:ascii="Arial" w:hAnsi="Arial" w:cs="Arial"/>
          <w:sz w:val="22"/>
          <w:szCs w:val="22"/>
        </w:rPr>
        <w:t>Revision (</w:t>
      </w:r>
      <w:r w:rsidRPr="00C572B2">
        <w:rPr>
          <w:rFonts w:ascii="Arial" w:hAnsi="Arial" w:cs="Arial"/>
          <w:sz w:val="22"/>
          <w:szCs w:val="22"/>
        </w:rPr>
        <w:t>ICD-11), Anorexia Nervosa code 6B80 is</w:t>
      </w:r>
      <w:r w:rsidR="00E5418C" w:rsidRPr="00C572B2">
        <w:rPr>
          <w:rFonts w:ascii="Arial" w:hAnsi="Arial" w:cs="Arial"/>
          <w:sz w:val="22"/>
          <w:szCs w:val="22"/>
        </w:rPr>
        <w:t xml:space="preserve"> categorised</w:t>
      </w:r>
      <w:r w:rsidRPr="00C572B2">
        <w:rPr>
          <w:rFonts w:ascii="Arial" w:hAnsi="Arial" w:cs="Arial"/>
          <w:sz w:val="22"/>
          <w:szCs w:val="22"/>
        </w:rPr>
        <w:t xml:space="preserve"> </w:t>
      </w:r>
      <w:r w:rsidR="00E5418C" w:rsidRPr="00C572B2">
        <w:rPr>
          <w:rFonts w:ascii="Arial" w:hAnsi="Arial" w:cs="Arial"/>
          <w:sz w:val="22"/>
          <w:szCs w:val="22"/>
        </w:rPr>
        <w:t>as the</w:t>
      </w:r>
      <w:r w:rsidRPr="00C572B2">
        <w:rPr>
          <w:rFonts w:ascii="Arial" w:hAnsi="Arial" w:cs="Arial"/>
          <w:sz w:val="22"/>
          <w:szCs w:val="22"/>
        </w:rPr>
        <w:t xml:space="preserve"> Feeding and Eating </w:t>
      </w:r>
      <w:r w:rsidR="00434686" w:rsidRPr="00C572B2">
        <w:rPr>
          <w:rFonts w:ascii="Arial" w:hAnsi="Arial" w:cs="Arial"/>
          <w:sz w:val="22"/>
          <w:szCs w:val="22"/>
        </w:rPr>
        <w:t>Disorder</w:t>
      </w:r>
      <w:r w:rsidR="00E5418C" w:rsidRPr="00C572B2">
        <w:rPr>
          <w:rFonts w:ascii="Arial" w:hAnsi="Arial" w:cs="Arial"/>
          <w:sz w:val="22"/>
          <w:szCs w:val="22"/>
        </w:rPr>
        <w:t xml:space="preserve"> within broader group of </w:t>
      </w:r>
      <w:r w:rsidRPr="00C572B2">
        <w:rPr>
          <w:rFonts w:ascii="Arial" w:hAnsi="Arial" w:cs="Arial"/>
          <w:sz w:val="22"/>
          <w:szCs w:val="22"/>
        </w:rPr>
        <w:t>mental, behavioural and neurodevelopmental disorder</w:t>
      </w:r>
      <w:r w:rsidR="00E5418C" w:rsidRPr="00C572B2">
        <w:rPr>
          <w:rFonts w:ascii="Arial" w:hAnsi="Arial" w:cs="Arial"/>
          <w:sz w:val="22"/>
          <w:szCs w:val="22"/>
        </w:rPr>
        <w:t>. This classification reflects that AN is primarily a psychiatric illness</w:t>
      </w:r>
      <w:r w:rsidRPr="00C572B2">
        <w:rPr>
          <w:rFonts w:ascii="Arial" w:hAnsi="Arial" w:cs="Arial"/>
          <w:sz w:val="22"/>
          <w:szCs w:val="22"/>
        </w:rPr>
        <w:t xml:space="preserve"> rather than </w:t>
      </w:r>
      <w:r w:rsidR="00434686" w:rsidRPr="00C572B2">
        <w:rPr>
          <w:rFonts w:ascii="Arial" w:hAnsi="Arial" w:cs="Arial"/>
          <w:sz w:val="22"/>
          <w:szCs w:val="22"/>
        </w:rPr>
        <w:t xml:space="preserve">simply a nutritional or physical condition. </w:t>
      </w:r>
      <w:r w:rsidR="00E5418C" w:rsidRPr="00C572B2">
        <w:rPr>
          <w:rFonts w:ascii="Arial" w:hAnsi="Arial" w:cs="Arial"/>
          <w:sz w:val="22"/>
          <w:szCs w:val="22"/>
        </w:rPr>
        <w:t>Diagnosis is based on the presence of extremely low body weight in relation to an individual’s age, height and stage of development or substantial unintentional weight loss of more than 205 within six months period. Individuals with AN show severe restriction of food intake, self-induced vomiting, misuse of laxatives or compulsive exercise. These behaviours are accompanied by intense fear of weight gain and a distorted perception of body shape (</w:t>
      </w:r>
      <w:r w:rsidR="00434686" w:rsidRPr="00C572B2">
        <w:rPr>
          <w:rFonts w:ascii="Arial" w:hAnsi="Arial" w:cs="Arial"/>
          <w:sz w:val="22"/>
          <w:szCs w:val="22"/>
        </w:rPr>
        <w:t>ICD-11, 2026).</w:t>
      </w:r>
    </w:p>
    <w:p w14:paraId="58C71DAF" w14:textId="340D3B01" w:rsidR="00626DBF" w:rsidRPr="007C5699" w:rsidRDefault="007C5699" w:rsidP="00F55009">
      <w:pPr>
        <w:pStyle w:val="Heading2"/>
        <w:rPr>
          <w:rFonts w:ascii="Arial" w:hAnsi="Arial" w:cs="Arial"/>
          <w:b/>
          <w:bCs/>
          <w:color w:val="auto"/>
          <w:sz w:val="24"/>
          <w:szCs w:val="24"/>
        </w:rPr>
      </w:pPr>
      <w:bookmarkStart w:id="2" w:name="_Toc235034864"/>
      <w:r>
        <w:rPr>
          <w:rFonts w:ascii="Arial" w:hAnsi="Arial" w:cs="Arial"/>
          <w:b/>
          <w:bCs/>
          <w:color w:val="auto"/>
          <w:sz w:val="24"/>
          <w:szCs w:val="24"/>
        </w:rPr>
        <w:lastRenderedPageBreak/>
        <w:t>1.2</w:t>
      </w:r>
      <w:r>
        <w:rPr>
          <w:rFonts w:ascii="Arial" w:hAnsi="Arial" w:cs="Arial"/>
          <w:b/>
          <w:bCs/>
          <w:color w:val="auto"/>
          <w:sz w:val="24"/>
          <w:szCs w:val="24"/>
        </w:rPr>
        <w:tab/>
      </w:r>
      <w:r w:rsidR="00E5418C" w:rsidRPr="007C5699">
        <w:rPr>
          <w:rFonts w:ascii="Arial" w:hAnsi="Arial" w:cs="Arial"/>
          <w:b/>
          <w:bCs/>
          <w:color w:val="auto"/>
          <w:sz w:val="24"/>
          <w:szCs w:val="24"/>
        </w:rPr>
        <w:t xml:space="preserve">Diagnostic </w:t>
      </w:r>
      <w:r w:rsidR="00B955E9">
        <w:rPr>
          <w:rFonts w:ascii="Arial" w:hAnsi="Arial" w:cs="Arial"/>
          <w:b/>
          <w:bCs/>
          <w:color w:val="auto"/>
          <w:sz w:val="24"/>
          <w:szCs w:val="24"/>
        </w:rPr>
        <w:t>Criteria</w:t>
      </w:r>
      <w:bookmarkEnd w:id="2"/>
    </w:p>
    <w:p w14:paraId="5DAEAAEC" w14:textId="10531A36" w:rsidR="00BD1B04" w:rsidRPr="00C572B2" w:rsidRDefault="00BD1B04" w:rsidP="00F55009">
      <w:pPr>
        <w:spacing w:line="360" w:lineRule="auto"/>
        <w:rPr>
          <w:rFonts w:ascii="Arial" w:hAnsi="Arial" w:cs="Arial"/>
          <w:sz w:val="22"/>
          <w:szCs w:val="22"/>
        </w:rPr>
      </w:pPr>
      <w:r w:rsidRPr="00C572B2">
        <w:rPr>
          <w:rFonts w:ascii="Arial" w:hAnsi="Arial" w:cs="Arial"/>
          <w:sz w:val="22"/>
          <w:szCs w:val="22"/>
        </w:rPr>
        <w:t>According to</w:t>
      </w:r>
      <w:r w:rsidR="00E2311F" w:rsidRPr="00C572B2">
        <w:rPr>
          <w:rFonts w:ascii="Arial" w:hAnsi="Arial" w:cs="Arial"/>
          <w:sz w:val="22"/>
          <w:szCs w:val="22"/>
        </w:rPr>
        <w:t xml:space="preserve"> ICD-11 (2026), Anorexia Nervosa is diagnosed when an individual has significantly low body weight, persistent behaviour to prevent weight restoration and intense fear of weight gain. The DSM-V further emphasised that body shape</w:t>
      </w:r>
      <w:r w:rsidR="00F96C17" w:rsidRPr="00C572B2">
        <w:rPr>
          <w:rFonts w:ascii="Arial" w:hAnsi="Arial" w:cs="Arial"/>
          <w:sz w:val="22"/>
          <w:szCs w:val="22"/>
        </w:rPr>
        <w:t xml:space="preserve"> and</w:t>
      </w:r>
      <w:r w:rsidR="00E2311F" w:rsidRPr="00C572B2">
        <w:rPr>
          <w:rFonts w:ascii="Arial" w:hAnsi="Arial" w:cs="Arial"/>
          <w:sz w:val="22"/>
          <w:szCs w:val="22"/>
        </w:rPr>
        <w:t xml:space="preserve"> weight </w:t>
      </w:r>
      <w:r w:rsidR="005D6FCF" w:rsidRPr="00C572B2">
        <w:rPr>
          <w:rFonts w:ascii="Arial" w:hAnsi="Arial" w:cs="Arial"/>
          <w:sz w:val="22"/>
          <w:szCs w:val="22"/>
        </w:rPr>
        <w:t>exert</w:t>
      </w:r>
      <w:r w:rsidR="00E2311F" w:rsidRPr="00C572B2">
        <w:rPr>
          <w:rFonts w:ascii="Arial" w:hAnsi="Arial" w:cs="Arial"/>
          <w:sz w:val="22"/>
          <w:szCs w:val="22"/>
        </w:rPr>
        <w:t xml:space="preserve"> an undue influence on self-evaluation and many individuals fail to recognise the seriousness of weight loss which</w:t>
      </w:r>
      <w:r w:rsidR="00F96C17" w:rsidRPr="00C572B2">
        <w:rPr>
          <w:rFonts w:ascii="Arial" w:hAnsi="Arial" w:cs="Arial"/>
          <w:sz w:val="22"/>
          <w:szCs w:val="22"/>
        </w:rPr>
        <w:t xml:space="preserve"> are needed for </w:t>
      </w:r>
      <w:r w:rsidR="00E2311F" w:rsidRPr="00C572B2">
        <w:rPr>
          <w:rFonts w:ascii="Arial" w:hAnsi="Arial" w:cs="Arial"/>
          <w:sz w:val="22"/>
          <w:szCs w:val="22"/>
        </w:rPr>
        <w:t>clinical assessment of cognitive and behavioural symptoms (Substance Abuse and Mental Health Services Administration, 2016). The NHS recommends a comprehensive multidisciplinary assessment of, including medical history, weight and body mass Index BMI, physical examination, psychological evaluation, eating behaviours, laboratory investigation and cardiovascular assessment to identify medical complications. This diagnostic process helps in determining referral pathway. Early diagnosis is associated with improved recovery and reduced long-term morbidity</w:t>
      </w:r>
      <w:r w:rsidR="00E2311F" w:rsidRPr="00C572B2">
        <w:t xml:space="preserve"> </w:t>
      </w:r>
      <w:r w:rsidR="00E2311F" w:rsidRPr="00C572B2">
        <w:rPr>
          <w:rFonts w:ascii="Arial" w:hAnsi="Arial" w:cs="Arial"/>
          <w:sz w:val="22"/>
          <w:szCs w:val="22"/>
        </w:rPr>
        <w:t>(NHS, 2024).</w:t>
      </w:r>
      <w:r w:rsidR="00F8441E" w:rsidRPr="00C572B2">
        <w:rPr>
          <w:rFonts w:ascii="Arial" w:hAnsi="Arial" w:cs="Arial"/>
        </w:rPr>
        <w:t xml:space="preserve"> </w:t>
      </w:r>
      <w:r w:rsidR="00F8441E" w:rsidRPr="00C572B2">
        <w:rPr>
          <w:rFonts w:ascii="Arial" w:hAnsi="Arial" w:cs="Arial"/>
          <w:sz w:val="22"/>
          <w:szCs w:val="22"/>
        </w:rPr>
        <w:t xml:space="preserve">However, the current diagnostic criteria lack clear definitions and consistent threshold making diagnosis challenging in clinical practice. The ambiguity could lead to delay in early identification of the disease despite having normal or above normal weight. There is need for greater diagnostic clarity to facilitate early recognition to improve access to treatment and enhance consistency in research and clinical care (Birgegård </w:t>
      </w:r>
      <w:r w:rsidR="00F8441E" w:rsidRPr="00C572B2">
        <w:rPr>
          <w:rFonts w:ascii="Arial" w:hAnsi="Arial" w:cs="Arial"/>
          <w:i/>
          <w:iCs/>
          <w:sz w:val="22"/>
          <w:szCs w:val="22"/>
        </w:rPr>
        <w:t>et al.</w:t>
      </w:r>
      <w:r w:rsidR="00F8441E" w:rsidRPr="00C572B2">
        <w:rPr>
          <w:rFonts w:ascii="Arial" w:hAnsi="Arial" w:cs="Arial"/>
          <w:sz w:val="22"/>
          <w:szCs w:val="22"/>
        </w:rPr>
        <w:t>, 2023).</w:t>
      </w:r>
    </w:p>
    <w:p w14:paraId="25246D02" w14:textId="7A9D74F8" w:rsidR="00626DBF" w:rsidRPr="0089511B" w:rsidRDefault="0089511B" w:rsidP="00F55009">
      <w:pPr>
        <w:pStyle w:val="Heading2"/>
        <w:rPr>
          <w:rFonts w:ascii="Arial" w:hAnsi="Arial" w:cs="Arial"/>
          <w:b/>
          <w:bCs/>
          <w:color w:val="auto"/>
          <w:sz w:val="24"/>
          <w:szCs w:val="24"/>
        </w:rPr>
      </w:pPr>
      <w:bookmarkStart w:id="3" w:name="_Toc235034865"/>
      <w:r>
        <w:rPr>
          <w:rFonts w:ascii="Arial" w:hAnsi="Arial" w:cs="Arial"/>
          <w:b/>
          <w:bCs/>
          <w:color w:val="auto"/>
          <w:sz w:val="24"/>
          <w:szCs w:val="24"/>
        </w:rPr>
        <w:t>1.3</w:t>
      </w:r>
      <w:r>
        <w:rPr>
          <w:rFonts w:ascii="Arial" w:hAnsi="Arial" w:cs="Arial"/>
          <w:b/>
          <w:bCs/>
          <w:color w:val="auto"/>
          <w:sz w:val="24"/>
          <w:szCs w:val="24"/>
        </w:rPr>
        <w:tab/>
      </w:r>
      <w:r w:rsidR="00B955E9">
        <w:rPr>
          <w:rFonts w:ascii="Arial" w:hAnsi="Arial" w:cs="Arial"/>
          <w:b/>
          <w:bCs/>
          <w:color w:val="auto"/>
          <w:sz w:val="24"/>
          <w:szCs w:val="24"/>
        </w:rPr>
        <w:t>Language used for Classification</w:t>
      </w:r>
      <w:bookmarkEnd w:id="3"/>
    </w:p>
    <w:p w14:paraId="17C7D3FF" w14:textId="104D59B4" w:rsidR="00F8441E" w:rsidRDefault="001B7D55"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Both ICD-11 and Diagnostic and Statistical Manual of Mental Disorders, Fifth Edition (DSM-V), classify Anorexia Nervosa as a mental disorder rather than simply a physical condition. I</w:t>
      </w:r>
      <w:r w:rsidR="00F96C17" w:rsidRPr="00C572B2">
        <w:rPr>
          <w:rFonts w:ascii="Arial" w:eastAsia="Times New Roman" w:hAnsi="Arial" w:cs="Arial"/>
          <w:sz w:val="22"/>
          <w:szCs w:val="22"/>
          <w:lang w:eastAsia="en-GB"/>
          <w14:ligatures w14:val="none"/>
        </w:rPr>
        <w:t>n</w:t>
      </w:r>
      <w:r w:rsidRPr="00C572B2">
        <w:rPr>
          <w:rFonts w:ascii="Arial" w:eastAsia="Times New Roman" w:hAnsi="Arial" w:cs="Arial"/>
          <w:sz w:val="22"/>
          <w:szCs w:val="22"/>
          <w:lang w:eastAsia="en-GB"/>
          <w14:ligatures w14:val="none"/>
        </w:rPr>
        <w:t xml:space="preserve"> ICD-11 AN is categorised as a feeding or eating disorder within the broader group of mental behavioural and neurodevelopmental disorders, emplacing the interaction between psychological, behavioural and physical symptoms (ICD-11, 2026). Similarly, DSM-V uses term feeding and eating disorder recognising AN as a psychiatric disorder characterised by maladaptive behaviours, cognitive distortions related to weight and body shape (American Psychiatric Association, 2022). The consistent use of term disorder reflects standardised clinical framework that supported diagnosis, evidence-based treatment and international comparability while reinforcing Anorexia Nervosa as serious mental health condition rather than a life style choice. </w:t>
      </w:r>
    </w:p>
    <w:p w14:paraId="45B1544A" w14:textId="77777777" w:rsidR="00361E72" w:rsidRDefault="00361E72" w:rsidP="00F55009">
      <w:pPr>
        <w:spacing w:after="0" w:line="360" w:lineRule="auto"/>
        <w:rPr>
          <w:rFonts w:ascii="Arial" w:eastAsia="Times New Roman" w:hAnsi="Arial" w:cs="Arial"/>
          <w:sz w:val="22"/>
          <w:szCs w:val="22"/>
          <w:lang w:eastAsia="en-GB"/>
          <w14:ligatures w14:val="none"/>
        </w:rPr>
      </w:pPr>
    </w:p>
    <w:p w14:paraId="51A538C3" w14:textId="77777777" w:rsidR="00361E72" w:rsidRPr="00C572B2" w:rsidRDefault="00361E72" w:rsidP="00F55009">
      <w:pPr>
        <w:spacing w:after="0" w:line="360" w:lineRule="auto"/>
        <w:rPr>
          <w:rFonts w:ascii="Arial" w:eastAsia="Times New Roman" w:hAnsi="Arial" w:cs="Arial"/>
          <w:sz w:val="22"/>
          <w:szCs w:val="22"/>
          <w:lang w:eastAsia="en-GB"/>
          <w14:ligatures w14:val="none"/>
        </w:rPr>
      </w:pPr>
    </w:p>
    <w:p w14:paraId="1C473499" w14:textId="059D459C" w:rsidR="001B7D55" w:rsidRPr="00361E72" w:rsidRDefault="00626DBF" w:rsidP="00361E72">
      <w:pPr>
        <w:pStyle w:val="Heading1"/>
        <w:numPr>
          <w:ilvl w:val="0"/>
          <w:numId w:val="2"/>
        </w:numPr>
        <w:spacing w:line="360" w:lineRule="auto"/>
        <w:rPr>
          <w:rFonts w:ascii="Arial" w:hAnsi="Arial" w:cs="Arial"/>
          <w:b/>
          <w:bCs/>
          <w:color w:val="auto"/>
          <w:sz w:val="24"/>
          <w:szCs w:val="24"/>
        </w:rPr>
      </w:pPr>
      <w:bookmarkStart w:id="4" w:name="_Toc235034866"/>
      <w:r w:rsidRPr="00361E72">
        <w:rPr>
          <w:rFonts w:ascii="Arial" w:hAnsi="Arial" w:cs="Arial"/>
          <w:b/>
          <w:bCs/>
          <w:color w:val="auto"/>
          <w:sz w:val="24"/>
          <w:szCs w:val="24"/>
        </w:rPr>
        <w:lastRenderedPageBreak/>
        <w:t>Treatment and Rehabilitation</w:t>
      </w:r>
      <w:bookmarkEnd w:id="4"/>
    </w:p>
    <w:p w14:paraId="0808401B" w14:textId="77777777" w:rsidR="002F6C4D" w:rsidRPr="00C572B2" w:rsidRDefault="00804649" w:rsidP="00F55009">
      <w:pPr>
        <w:spacing w:after="0" w:line="360" w:lineRule="auto"/>
        <w:rPr>
          <w:rFonts w:ascii="Arial" w:eastAsia="Times New Roman" w:hAnsi="Arial" w:cs="Arial"/>
          <w:sz w:val="22"/>
          <w:szCs w:val="22"/>
          <w:lang w:eastAsia="en-GB"/>
          <w14:ligatures w14:val="none"/>
        </w:rPr>
      </w:pPr>
      <w:r w:rsidRPr="00C572B2">
        <w:rPr>
          <w:rFonts w:ascii="Arial" w:hAnsi="Arial" w:cs="Arial"/>
          <w:sz w:val="22"/>
          <w:szCs w:val="22"/>
        </w:rPr>
        <w:t xml:space="preserve">Although ICD- 11 diagnostic classification recognises Anorexia Nervosa as mental disorder the treatment involves multidisciplinary rehabilitation approach involving medical, psychological and nutritional care </w:t>
      </w:r>
      <w:r w:rsidRPr="00C572B2">
        <w:rPr>
          <w:rFonts w:ascii="Arial" w:eastAsia="Times New Roman" w:hAnsi="Arial" w:cs="Arial"/>
          <w:sz w:val="22"/>
          <w:szCs w:val="22"/>
          <w:lang w:eastAsia="en-GB"/>
          <w14:ligatures w14:val="none"/>
        </w:rPr>
        <w:t>(ICD-11, 2026).</w:t>
      </w:r>
      <w:r w:rsidRPr="00C572B2">
        <w:rPr>
          <w:rFonts w:ascii="Arial" w:hAnsi="Arial" w:cs="Arial"/>
          <w:sz w:val="22"/>
          <w:szCs w:val="22"/>
        </w:rPr>
        <w:t xml:space="preserve">  Although nutritional rehabilitation is effective in reversing the physical consequences of starvation in AN, </w:t>
      </w:r>
      <w:r w:rsidRPr="00C572B2">
        <w:rPr>
          <w:rFonts w:ascii="Arial" w:eastAsia="Times New Roman" w:hAnsi="Arial" w:cs="Arial"/>
          <w:sz w:val="22"/>
          <w:szCs w:val="22"/>
          <w:lang w:eastAsia="en-GB"/>
          <w14:ligatures w14:val="none"/>
        </w:rPr>
        <w:t>Halmi, Powers and Cunningham (1975), classic study found that psychological recovery often lags behind physical recovery. This limitation reinforces contemporary behaviour modification approach in treating Anorexia Nervosa and its</w:t>
      </w:r>
      <w:r w:rsidR="001F5A9A" w:rsidRPr="00C572B2">
        <w:rPr>
          <w:rFonts w:ascii="Arial" w:hAnsi="Arial" w:cs="Arial"/>
          <w:sz w:val="22"/>
          <w:szCs w:val="22"/>
        </w:rPr>
        <w:t xml:space="preserve"> </w:t>
      </w:r>
      <w:r w:rsidRPr="00C572B2">
        <w:rPr>
          <w:rFonts w:ascii="Arial" w:hAnsi="Arial" w:cs="Arial"/>
          <w:sz w:val="22"/>
          <w:szCs w:val="22"/>
        </w:rPr>
        <w:t>management requires</w:t>
      </w:r>
      <w:r w:rsidR="001F5A9A" w:rsidRPr="00C572B2">
        <w:rPr>
          <w:rFonts w:ascii="Arial" w:hAnsi="Arial" w:cs="Arial"/>
          <w:sz w:val="22"/>
          <w:szCs w:val="22"/>
        </w:rPr>
        <w:t xml:space="preserve"> multidisciplinary biopsychosocial approach. </w:t>
      </w:r>
      <w:r w:rsidR="00842A63" w:rsidRPr="00C572B2">
        <w:rPr>
          <w:rFonts w:ascii="Arial" w:hAnsi="Arial" w:cs="Arial"/>
          <w:sz w:val="22"/>
          <w:szCs w:val="22"/>
        </w:rPr>
        <w:t>Contemporary treatment of Anorexia Nervosa is designed to</w:t>
      </w:r>
      <w:r w:rsidR="001F5A9A" w:rsidRPr="00C572B2">
        <w:rPr>
          <w:rFonts w:ascii="Arial" w:hAnsi="Arial" w:cs="Arial"/>
          <w:sz w:val="22"/>
          <w:szCs w:val="22"/>
        </w:rPr>
        <w:t xml:space="preserve"> address the complex physical, psychological and social factors contributing to the disorder (Munro, Randell and Lawrie, 2017). According to </w:t>
      </w:r>
      <w:r w:rsidR="001F5A9A" w:rsidRPr="00C572B2">
        <w:rPr>
          <w:rFonts w:ascii="Arial" w:eastAsia="Times New Roman" w:hAnsi="Arial" w:cs="Arial"/>
          <w:sz w:val="22"/>
          <w:szCs w:val="22"/>
          <w:lang w:eastAsia="en-GB"/>
          <w14:ligatures w14:val="none"/>
        </w:rPr>
        <w:t xml:space="preserve">NICE (2017), the primary treatment goal is nutritional rehabilitation and weight restoration, as malnutrition impairs cognitive functioning and limits engagement with psychological interventions. Refeeding should be carefully monitored to minimise the risk of refeeding syndrome, particularly in severe cases. </w:t>
      </w:r>
    </w:p>
    <w:p w14:paraId="7B3AA306" w14:textId="06E4867E" w:rsidR="002F6C4D" w:rsidRPr="00C572B2" w:rsidRDefault="001F5A9A" w:rsidP="00F55009">
      <w:pPr>
        <w:spacing w:after="0" w:line="360" w:lineRule="auto"/>
        <w:rPr>
          <w:rFonts w:ascii="Arial" w:eastAsia="Times New Roman" w:hAnsi="Arial" w:cs="Arial"/>
          <w:sz w:val="22"/>
          <w:szCs w:val="22"/>
          <w:lang w:eastAsia="en-GB"/>
          <w14:ligatures w14:val="none"/>
        </w:rPr>
      </w:pPr>
      <w:r w:rsidRPr="00C572B2">
        <w:rPr>
          <w:rFonts w:ascii="Arial" w:hAnsi="Arial" w:cs="Arial"/>
          <w:sz w:val="22"/>
          <w:szCs w:val="22"/>
        </w:rPr>
        <w:t xml:space="preserve">Psychological interventions are considered the </w:t>
      </w:r>
      <w:r w:rsidR="000E1345" w:rsidRPr="00C572B2">
        <w:rPr>
          <w:rFonts w:ascii="Arial" w:hAnsi="Arial" w:cs="Arial"/>
          <w:sz w:val="22"/>
          <w:szCs w:val="22"/>
        </w:rPr>
        <w:t xml:space="preserve">corner </w:t>
      </w:r>
      <w:r w:rsidRPr="00C572B2">
        <w:rPr>
          <w:rFonts w:ascii="Arial" w:hAnsi="Arial" w:cs="Arial"/>
          <w:sz w:val="22"/>
          <w:szCs w:val="22"/>
        </w:rPr>
        <w:t>stone of long-term recovery once medical stability has been achieved. Family-</w:t>
      </w:r>
      <w:r w:rsidR="000E1345" w:rsidRPr="00C572B2">
        <w:rPr>
          <w:rFonts w:ascii="Arial" w:hAnsi="Arial" w:cs="Arial"/>
          <w:sz w:val="22"/>
          <w:szCs w:val="22"/>
        </w:rPr>
        <w:t>B</w:t>
      </w:r>
      <w:r w:rsidRPr="00C572B2">
        <w:rPr>
          <w:rFonts w:ascii="Arial" w:hAnsi="Arial" w:cs="Arial"/>
          <w:sz w:val="22"/>
          <w:szCs w:val="22"/>
        </w:rPr>
        <w:t xml:space="preserve">ased </w:t>
      </w:r>
      <w:r w:rsidR="000E1345" w:rsidRPr="00C572B2">
        <w:rPr>
          <w:rFonts w:ascii="Arial" w:hAnsi="Arial" w:cs="Arial"/>
          <w:sz w:val="22"/>
          <w:szCs w:val="22"/>
        </w:rPr>
        <w:t xml:space="preserve">Treatment </w:t>
      </w:r>
      <w:r w:rsidRPr="00C572B2">
        <w:rPr>
          <w:rFonts w:ascii="Arial" w:hAnsi="Arial" w:cs="Arial"/>
          <w:sz w:val="22"/>
          <w:szCs w:val="22"/>
        </w:rPr>
        <w:t>(</w:t>
      </w:r>
      <w:r w:rsidR="00673435" w:rsidRPr="00C572B2">
        <w:rPr>
          <w:rFonts w:ascii="Arial" w:hAnsi="Arial" w:cs="Arial"/>
          <w:sz w:val="22"/>
          <w:szCs w:val="22"/>
        </w:rPr>
        <w:t>F</w:t>
      </w:r>
      <w:r w:rsidRPr="00C572B2">
        <w:rPr>
          <w:rFonts w:ascii="Arial" w:hAnsi="Arial" w:cs="Arial"/>
          <w:sz w:val="22"/>
          <w:szCs w:val="22"/>
        </w:rPr>
        <w:t xml:space="preserve">BT) is recommended as first line intervention for children, and </w:t>
      </w:r>
      <w:r w:rsidR="000E1345" w:rsidRPr="00C572B2">
        <w:rPr>
          <w:rFonts w:ascii="Arial" w:hAnsi="Arial" w:cs="Arial"/>
          <w:sz w:val="22"/>
          <w:szCs w:val="22"/>
        </w:rPr>
        <w:t>adolescents</w:t>
      </w:r>
      <w:r w:rsidRPr="00C572B2">
        <w:rPr>
          <w:rFonts w:ascii="Arial" w:hAnsi="Arial" w:cs="Arial"/>
          <w:sz w:val="22"/>
          <w:szCs w:val="22"/>
        </w:rPr>
        <w:t>, while cognitive Behavioural Therap</w:t>
      </w:r>
      <w:r w:rsidR="000E1345" w:rsidRPr="00C572B2">
        <w:rPr>
          <w:rFonts w:ascii="Arial" w:hAnsi="Arial" w:cs="Arial"/>
          <w:sz w:val="22"/>
          <w:szCs w:val="22"/>
        </w:rPr>
        <w:t xml:space="preserve">y CBT) for eating disorders and Maudsley model of Anorexia Nervosa Treatment for Adults (MANTRA) are recommended for adults </w:t>
      </w:r>
      <w:r w:rsidR="000E1345" w:rsidRPr="00C572B2">
        <w:rPr>
          <w:rFonts w:ascii="Arial" w:eastAsia="Times New Roman" w:hAnsi="Arial" w:cs="Arial"/>
          <w:sz w:val="22"/>
          <w:szCs w:val="22"/>
          <w:lang w:eastAsia="en-GB"/>
          <w14:ligatures w14:val="none"/>
        </w:rPr>
        <w:t>(NHS, 2021).</w:t>
      </w:r>
      <w:r w:rsidR="00673435" w:rsidRPr="00C572B2">
        <w:rPr>
          <w:rFonts w:ascii="Arial" w:eastAsia="Times New Roman" w:hAnsi="Arial" w:cs="Arial"/>
          <w:sz w:val="22"/>
          <w:szCs w:val="22"/>
          <w:lang w:eastAsia="en-GB"/>
          <w14:ligatures w14:val="none"/>
        </w:rPr>
        <w:t xml:space="preserve"> These therapies aim to modify distorted beliefs about body image, improve emotional regulation and establish healthy eating behaviours.  According to Kass, Kolko and Wilfley (2013),</w:t>
      </w:r>
      <w:r w:rsidR="00F96C17" w:rsidRPr="00C572B2">
        <w:rPr>
          <w:rFonts w:ascii="Arial" w:eastAsia="Times New Roman" w:hAnsi="Arial" w:cs="Arial"/>
          <w:sz w:val="22"/>
          <w:szCs w:val="22"/>
          <w:lang w:eastAsia="en-GB"/>
          <w14:ligatures w14:val="none"/>
        </w:rPr>
        <w:t xml:space="preserve"> </w:t>
      </w:r>
      <w:r w:rsidR="00673435" w:rsidRPr="00C572B2">
        <w:rPr>
          <w:rFonts w:ascii="Arial" w:eastAsia="Times New Roman" w:hAnsi="Arial" w:cs="Arial"/>
          <w:sz w:val="22"/>
          <w:szCs w:val="22"/>
          <w:lang w:eastAsia="en-GB"/>
          <w14:ligatures w14:val="none"/>
        </w:rPr>
        <w:t xml:space="preserve">psychological treatments, particularly CBT and FBT demonstrate moderate effectiveness in improving eating disorder symptoms; however, evidence for sustained long-term recovery remains inconsistent due to high relapse rates and treatment dropout. </w:t>
      </w:r>
    </w:p>
    <w:p w14:paraId="16974CA3" w14:textId="3F90055B" w:rsidR="00673435" w:rsidRPr="00C572B2" w:rsidRDefault="00673435"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Bryson,</w:t>
      </w:r>
      <w:r w:rsidR="002F6C4D"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sz w:val="22"/>
          <w:szCs w:val="22"/>
          <w:lang w:eastAsia="en-GB"/>
          <w14:ligatures w14:val="none"/>
        </w:rPr>
        <w:t>Douglas and Schmidt (2024),</w:t>
      </w:r>
      <w:r w:rsidR="001B2172" w:rsidRPr="00C572B2">
        <w:rPr>
          <w:rFonts w:ascii="Arial" w:eastAsia="Times New Roman" w:hAnsi="Arial" w:cs="Arial"/>
          <w:sz w:val="22"/>
          <w:szCs w:val="22"/>
          <w:lang w:eastAsia="en-GB"/>
          <w14:ligatures w14:val="none"/>
        </w:rPr>
        <w:t xml:space="preserve"> and </w:t>
      </w:r>
      <w:r w:rsidR="001B2172" w:rsidRPr="00C572B2">
        <w:rPr>
          <w:rFonts w:ascii="Arial" w:hAnsi="Arial" w:cs="Arial"/>
          <w:sz w:val="22"/>
          <w:szCs w:val="22"/>
        </w:rPr>
        <w:t xml:space="preserve">Murray </w:t>
      </w:r>
      <w:r w:rsidR="001B2172" w:rsidRPr="00C572B2">
        <w:rPr>
          <w:rFonts w:ascii="Arial" w:hAnsi="Arial" w:cs="Arial"/>
          <w:i/>
          <w:iCs/>
          <w:sz w:val="22"/>
          <w:szCs w:val="22"/>
        </w:rPr>
        <w:t>et al.</w:t>
      </w:r>
      <w:r w:rsidR="001B2172" w:rsidRPr="00C572B2">
        <w:rPr>
          <w:rFonts w:ascii="Arial" w:hAnsi="Arial" w:cs="Arial"/>
          <w:sz w:val="22"/>
          <w:szCs w:val="22"/>
        </w:rPr>
        <w:t xml:space="preserve"> (2020),</w:t>
      </w:r>
      <w:r w:rsidRPr="00C572B2">
        <w:rPr>
          <w:rFonts w:ascii="Arial" w:eastAsia="Times New Roman" w:hAnsi="Arial" w:cs="Arial"/>
          <w:sz w:val="22"/>
          <w:szCs w:val="22"/>
          <w:lang w:eastAsia="en-GB"/>
          <w14:ligatures w14:val="none"/>
        </w:rPr>
        <w:t xml:space="preserve"> argued that although emerging therapie</w:t>
      </w:r>
      <w:r w:rsidR="00F96C17" w:rsidRPr="00C572B2">
        <w:rPr>
          <w:rFonts w:ascii="Arial" w:eastAsia="Times New Roman" w:hAnsi="Arial" w:cs="Arial"/>
          <w:sz w:val="22"/>
          <w:szCs w:val="22"/>
          <w:lang w:eastAsia="en-GB"/>
          <w14:ligatures w14:val="none"/>
        </w:rPr>
        <w:t>s</w:t>
      </w:r>
      <w:r w:rsidRPr="00C572B2">
        <w:rPr>
          <w:rFonts w:ascii="Arial" w:eastAsia="Times New Roman" w:hAnsi="Arial" w:cs="Arial"/>
          <w:sz w:val="22"/>
          <w:szCs w:val="22"/>
          <w:lang w:eastAsia="en-GB"/>
          <w14:ligatures w14:val="none"/>
        </w:rPr>
        <w:t xml:space="preserve"> including virtual reality and neuromodulation show</w:t>
      </w:r>
      <w:r w:rsidR="00F96C17" w:rsidRPr="00C572B2">
        <w:rPr>
          <w:rFonts w:ascii="Arial" w:eastAsia="Times New Roman" w:hAnsi="Arial" w:cs="Arial"/>
          <w:sz w:val="22"/>
          <w:szCs w:val="22"/>
          <w:lang w:eastAsia="en-GB"/>
          <w14:ligatures w14:val="none"/>
        </w:rPr>
        <w:t>s</w:t>
      </w:r>
      <w:r w:rsidRPr="00C572B2">
        <w:rPr>
          <w:rFonts w:ascii="Arial" w:eastAsia="Times New Roman" w:hAnsi="Arial" w:cs="Arial"/>
          <w:sz w:val="22"/>
          <w:szCs w:val="22"/>
          <w:lang w:eastAsia="en-GB"/>
          <w14:ligatures w14:val="none"/>
        </w:rPr>
        <w:t xml:space="preserve"> improvement but robust evidence is lacking. Consequently, despite improvements in multidisciplinary care, delayed diagnosis chronic illness trajectories and relapse continue to limit treatment effectiveness, emphasising the importance of early intervention and ongoing research (Muratore and Attia, 2021).</w:t>
      </w:r>
    </w:p>
    <w:p w14:paraId="2C632DD9" w14:textId="5E2A932A" w:rsidR="001B7D55" w:rsidRPr="00C572B2" w:rsidRDefault="00874D61"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Researchers identify both practice and research gap, as evidence-based treatments are not consistently implemented in routine clinical care and many individuals unable to access specialist services due to disparities in health care systems (Kazdin, Fitzsimmons-Craft and Wilfley, 2017). Experts also argue that current provision of care overly focused weight restoration as primary outcome, often overlooking psychological recovery and underlying biopsychosocial approaches. </w:t>
      </w:r>
      <w:r w:rsidR="000566BD" w:rsidRPr="00C572B2">
        <w:rPr>
          <w:rFonts w:ascii="Arial" w:eastAsia="Times New Roman" w:hAnsi="Arial" w:cs="Arial"/>
          <w:sz w:val="22"/>
          <w:szCs w:val="22"/>
          <w:lang w:eastAsia="en-GB"/>
          <w14:ligatures w14:val="none"/>
        </w:rPr>
        <w:t xml:space="preserve">Table shows major gaps in treatment and understanding of </w:t>
      </w:r>
      <w:r w:rsidR="000566BD" w:rsidRPr="00C572B2">
        <w:rPr>
          <w:rFonts w:ascii="Arial" w:eastAsia="Times New Roman" w:hAnsi="Arial" w:cs="Arial"/>
          <w:sz w:val="22"/>
          <w:szCs w:val="22"/>
          <w:lang w:eastAsia="en-GB"/>
          <w14:ligatures w14:val="none"/>
        </w:rPr>
        <w:lastRenderedPageBreak/>
        <w:t xml:space="preserve">Anorexia Nervosa (Bunnell </w:t>
      </w:r>
      <w:r w:rsidR="000566BD" w:rsidRPr="00C572B2">
        <w:rPr>
          <w:rFonts w:ascii="Arial" w:eastAsia="Times New Roman" w:hAnsi="Arial" w:cs="Arial"/>
          <w:i/>
          <w:iCs/>
          <w:sz w:val="22"/>
          <w:szCs w:val="22"/>
          <w:lang w:eastAsia="en-GB"/>
          <w14:ligatures w14:val="none"/>
        </w:rPr>
        <w:t>et al.</w:t>
      </w:r>
      <w:r w:rsidR="000566BD" w:rsidRPr="00C572B2">
        <w:rPr>
          <w:rFonts w:ascii="Arial" w:eastAsia="Times New Roman" w:hAnsi="Arial" w:cs="Arial"/>
          <w:sz w:val="22"/>
          <w:szCs w:val="22"/>
          <w:lang w:eastAsia="en-GB"/>
          <w14:ligatures w14:val="none"/>
        </w:rPr>
        <w:t xml:space="preserve">, 2013). </w:t>
      </w:r>
      <w:r w:rsidRPr="00C572B2">
        <w:rPr>
          <w:rFonts w:ascii="Arial" w:eastAsia="Times New Roman" w:hAnsi="Arial" w:cs="Arial"/>
          <w:sz w:val="22"/>
          <w:szCs w:val="22"/>
          <w:lang w:eastAsia="en-GB"/>
          <w14:ligatures w14:val="none"/>
        </w:rPr>
        <w:t>Limited MD collaboration, fragmentation</w:t>
      </w:r>
      <w:r w:rsidR="00F96C17" w:rsidRPr="00C572B2">
        <w:rPr>
          <w:rFonts w:ascii="Arial" w:eastAsia="Times New Roman" w:hAnsi="Arial" w:cs="Arial"/>
          <w:sz w:val="22"/>
          <w:szCs w:val="22"/>
          <w:lang w:eastAsia="en-GB"/>
          <w14:ligatures w14:val="none"/>
        </w:rPr>
        <w:t xml:space="preserve"> and</w:t>
      </w:r>
      <w:r w:rsidRPr="00C572B2">
        <w:rPr>
          <w:rFonts w:ascii="Arial" w:eastAsia="Times New Roman" w:hAnsi="Arial" w:cs="Arial"/>
          <w:sz w:val="22"/>
          <w:szCs w:val="22"/>
          <w:lang w:eastAsia="en-GB"/>
          <w14:ligatures w14:val="none"/>
        </w:rPr>
        <w:t xml:space="preserve"> insufficient research </w:t>
      </w:r>
      <w:r w:rsidR="005D6FCF" w:rsidRPr="00C572B2">
        <w:rPr>
          <w:rFonts w:ascii="Arial" w:eastAsia="Times New Roman" w:hAnsi="Arial" w:cs="Arial"/>
          <w:sz w:val="22"/>
          <w:szCs w:val="22"/>
          <w:lang w:eastAsia="en-GB"/>
          <w14:ligatures w14:val="none"/>
        </w:rPr>
        <w:t>continue</w:t>
      </w:r>
      <w:r w:rsidRPr="00C572B2">
        <w:rPr>
          <w:rFonts w:ascii="Arial" w:eastAsia="Times New Roman" w:hAnsi="Arial" w:cs="Arial"/>
          <w:sz w:val="22"/>
          <w:szCs w:val="22"/>
          <w:lang w:eastAsia="en-GB"/>
          <w14:ligatures w14:val="none"/>
        </w:rPr>
        <w:t xml:space="preserve"> to hinder improvements in long-term recovery</w:t>
      </w:r>
      <w:r w:rsidR="00804649" w:rsidRPr="00C572B2">
        <w:rPr>
          <w:rFonts w:ascii="Arial" w:eastAsia="Times New Roman" w:hAnsi="Arial" w:cs="Arial"/>
          <w:sz w:val="22"/>
          <w:szCs w:val="22"/>
          <w:lang w:eastAsia="en-GB"/>
          <w14:ligatures w14:val="none"/>
        </w:rPr>
        <w:t>. Rehabilitation should include psychological recovery, functional outcomes and personalised long-term support.</w:t>
      </w:r>
      <w:r w:rsidRPr="00C572B2">
        <w:rPr>
          <w:rFonts w:ascii="Arial" w:eastAsia="Times New Roman" w:hAnsi="Arial" w:cs="Arial"/>
          <w:sz w:val="22"/>
          <w:szCs w:val="22"/>
          <w:lang w:eastAsia="en-GB"/>
          <w14:ligatures w14:val="none"/>
        </w:rPr>
        <w:t xml:space="preserve"> </w:t>
      </w:r>
      <w:r w:rsidR="00EC4F53" w:rsidRPr="00EC4F53">
        <w:rPr>
          <w:rFonts w:ascii="Arial" w:hAnsi="Arial" w:cs="Arial"/>
          <w:b/>
          <w:bCs/>
          <w:noProof/>
        </w:rPr>
        <w:drawing>
          <wp:anchor distT="0" distB="0" distL="114300" distR="114300" simplePos="0" relativeHeight="251659264" behindDoc="0" locked="0" layoutInCell="1" allowOverlap="1" wp14:anchorId="295954EA" wp14:editId="225C98D7">
            <wp:simplePos x="0" y="0"/>
            <wp:positionH relativeFrom="margin">
              <wp:posOffset>228600</wp:posOffset>
            </wp:positionH>
            <wp:positionV relativeFrom="margin">
              <wp:posOffset>1071245</wp:posOffset>
            </wp:positionV>
            <wp:extent cx="5630545" cy="4236720"/>
            <wp:effectExtent l="0" t="0" r="8255" b="0"/>
            <wp:wrapSquare wrapText="bothSides"/>
            <wp:docPr id="1833183267" name="Picture 1" descr="The image is a Word document screenshot with text content on Anorexia Nervosa, detailing various aspects such as treatment dropout, patient engagement, and the need for personalized treatment pla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83267" name="Picture 1" descr="The image is a Word document screenshot with text content on Anorexia Nervosa, detailing various aspects such as treatment dropout, patient engagement, and the need for personalized treatment plans.&#10;&#10;AI-generated content may be incorrect."/>
                    <pic:cNvPicPr/>
                  </pic:nvPicPr>
                  <pic:blipFill rotWithShape="1">
                    <a:blip r:embed="rId8">
                      <a:extLst>
                        <a:ext uri="{28A0092B-C50C-407E-A947-70E740481C1C}">
                          <a14:useLocalDpi xmlns:a14="http://schemas.microsoft.com/office/drawing/2010/main" val="0"/>
                        </a:ext>
                      </a:extLst>
                    </a:blip>
                    <a:srcRect l="26667" t="20057" r="27949" b="10427"/>
                    <a:stretch>
                      <a:fillRect/>
                    </a:stretch>
                  </pic:blipFill>
                  <pic:spPr bwMode="auto">
                    <a:xfrm>
                      <a:off x="0" y="0"/>
                      <a:ext cx="5630545" cy="4236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572B2">
        <w:rPr>
          <w:rFonts w:ascii="Arial" w:eastAsia="Times New Roman" w:hAnsi="Arial" w:cs="Arial"/>
          <w:sz w:val="22"/>
          <w:szCs w:val="22"/>
          <w:lang w:eastAsia="en-GB"/>
          <w14:ligatures w14:val="none"/>
        </w:rPr>
        <w:t xml:space="preserve">(Phillipou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2025).</w:t>
      </w:r>
      <w:r w:rsidR="00804649" w:rsidRPr="00C572B2">
        <w:rPr>
          <w:rFonts w:ascii="Arial" w:eastAsia="Times New Roman" w:hAnsi="Arial" w:cs="Arial"/>
          <w:sz w:val="22"/>
          <w:szCs w:val="22"/>
          <w:lang w:eastAsia="en-GB"/>
          <w14:ligatures w14:val="none"/>
        </w:rPr>
        <w:t xml:space="preserve"> </w:t>
      </w:r>
    </w:p>
    <w:p w14:paraId="0D9F8FB4" w14:textId="0128223C" w:rsidR="0022474F" w:rsidRDefault="0022474F" w:rsidP="00F55009">
      <w:pPr>
        <w:spacing w:after="0" w:line="360" w:lineRule="auto"/>
        <w:rPr>
          <w:rFonts w:ascii="Arial" w:eastAsia="Times New Roman" w:hAnsi="Arial" w:cs="Arial"/>
          <w:sz w:val="22"/>
          <w:szCs w:val="22"/>
          <w:lang w:eastAsia="en-GB"/>
          <w14:ligatures w14:val="none"/>
        </w:rPr>
      </w:pPr>
    </w:p>
    <w:p w14:paraId="1A2C52F2" w14:textId="6328BEFE" w:rsidR="0022474F" w:rsidRPr="00EC4F53" w:rsidRDefault="0022474F" w:rsidP="00EC4F53">
      <w:pPr>
        <w:spacing w:after="0" w:line="360" w:lineRule="auto"/>
        <w:jc w:val="center"/>
        <w:rPr>
          <w:rFonts w:ascii="Arial" w:eastAsia="Times New Roman" w:hAnsi="Arial" w:cs="Arial"/>
          <w:sz w:val="22"/>
          <w:szCs w:val="22"/>
          <w:lang w:val="fr-FR" w:eastAsia="en-GB"/>
          <w14:ligatures w14:val="none"/>
        </w:rPr>
      </w:pPr>
      <w:r w:rsidRPr="00EC4F53">
        <w:rPr>
          <w:rFonts w:ascii="Arial" w:eastAsia="Times New Roman" w:hAnsi="Arial" w:cs="Arial"/>
          <w:sz w:val="22"/>
          <w:szCs w:val="22"/>
          <w:lang w:val="fr-FR" w:eastAsia="en-GB"/>
          <w14:ligatures w14:val="none"/>
        </w:rPr>
        <w:t xml:space="preserve">Table </w:t>
      </w:r>
      <w:r w:rsidR="00EC4F53" w:rsidRPr="00EC4F53">
        <w:rPr>
          <w:rFonts w:ascii="Arial" w:eastAsia="Times New Roman" w:hAnsi="Arial" w:cs="Arial"/>
          <w:sz w:val="22"/>
          <w:szCs w:val="22"/>
          <w:lang w:val="fr-FR" w:eastAsia="en-GB"/>
          <w14:ligatures w14:val="none"/>
        </w:rPr>
        <w:t>Source :</w:t>
      </w:r>
      <w:r w:rsidRPr="00EC4F53">
        <w:rPr>
          <w:rFonts w:ascii="Arial" w:eastAsia="Times New Roman" w:hAnsi="Arial" w:cs="Arial"/>
          <w:sz w:val="22"/>
          <w:szCs w:val="22"/>
          <w:lang w:val="fr-FR" w:eastAsia="en-GB"/>
          <w14:ligatures w14:val="none"/>
        </w:rPr>
        <w:t xml:space="preserve"> </w:t>
      </w:r>
      <w:r w:rsidR="000566BD" w:rsidRPr="00EC4F53">
        <w:rPr>
          <w:rFonts w:ascii="Arial" w:eastAsia="Times New Roman" w:hAnsi="Arial" w:cs="Arial"/>
          <w:sz w:val="22"/>
          <w:szCs w:val="22"/>
          <w:lang w:val="fr-FR" w:eastAsia="en-GB"/>
          <w14:ligatures w14:val="none"/>
        </w:rPr>
        <w:t xml:space="preserve">(Bunnell </w:t>
      </w:r>
      <w:r w:rsidR="000566BD" w:rsidRPr="00EC4F53">
        <w:rPr>
          <w:rFonts w:ascii="Arial" w:eastAsia="Times New Roman" w:hAnsi="Arial" w:cs="Arial"/>
          <w:i/>
          <w:iCs/>
          <w:sz w:val="22"/>
          <w:szCs w:val="22"/>
          <w:lang w:val="fr-FR" w:eastAsia="en-GB"/>
          <w14:ligatures w14:val="none"/>
        </w:rPr>
        <w:t>et al.</w:t>
      </w:r>
      <w:r w:rsidR="000566BD" w:rsidRPr="00EC4F53">
        <w:rPr>
          <w:rFonts w:ascii="Arial" w:eastAsia="Times New Roman" w:hAnsi="Arial" w:cs="Arial"/>
          <w:sz w:val="22"/>
          <w:szCs w:val="22"/>
          <w:lang w:val="fr-FR" w:eastAsia="en-GB"/>
          <w14:ligatures w14:val="none"/>
        </w:rPr>
        <w:t>, 2013)</w:t>
      </w:r>
    </w:p>
    <w:p w14:paraId="75C742B8" w14:textId="194C25EB" w:rsidR="00626DBF" w:rsidRPr="00EC4F53" w:rsidRDefault="00626DBF" w:rsidP="00EC4F53">
      <w:pPr>
        <w:pStyle w:val="Heading1"/>
        <w:numPr>
          <w:ilvl w:val="0"/>
          <w:numId w:val="2"/>
        </w:numPr>
        <w:spacing w:line="360" w:lineRule="auto"/>
        <w:rPr>
          <w:rFonts w:ascii="Arial" w:hAnsi="Arial" w:cs="Arial"/>
          <w:b/>
          <w:bCs/>
          <w:color w:val="auto"/>
          <w:sz w:val="24"/>
          <w:szCs w:val="24"/>
        </w:rPr>
      </w:pPr>
      <w:bookmarkStart w:id="5" w:name="_Toc235034867"/>
      <w:r w:rsidRPr="00EC4F53">
        <w:rPr>
          <w:rFonts w:ascii="Arial" w:hAnsi="Arial" w:cs="Arial"/>
          <w:b/>
          <w:bCs/>
          <w:color w:val="auto"/>
          <w:sz w:val="24"/>
          <w:szCs w:val="24"/>
        </w:rPr>
        <w:t>C</w:t>
      </w:r>
      <w:r w:rsidR="00E5418C" w:rsidRPr="00EC4F53">
        <w:rPr>
          <w:rFonts w:ascii="Arial" w:hAnsi="Arial" w:cs="Arial"/>
          <w:b/>
          <w:bCs/>
          <w:color w:val="auto"/>
          <w:sz w:val="24"/>
          <w:szCs w:val="24"/>
        </w:rPr>
        <w:t>ontemporary</w:t>
      </w:r>
      <w:r w:rsidRPr="00EC4F53">
        <w:rPr>
          <w:rFonts w:ascii="Arial" w:hAnsi="Arial" w:cs="Arial"/>
          <w:b/>
          <w:bCs/>
          <w:color w:val="auto"/>
          <w:sz w:val="24"/>
          <w:szCs w:val="24"/>
        </w:rPr>
        <w:t xml:space="preserve"> Debate and Emerging Issues</w:t>
      </w:r>
      <w:bookmarkEnd w:id="5"/>
    </w:p>
    <w:p w14:paraId="7DBB8767" w14:textId="3B2BF5DE" w:rsidR="00842A63" w:rsidRPr="00C572B2" w:rsidRDefault="00F96C17" w:rsidP="00F55009">
      <w:pPr>
        <w:spacing w:line="360" w:lineRule="auto"/>
        <w:rPr>
          <w:rFonts w:ascii="Arial" w:hAnsi="Arial" w:cs="Arial"/>
          <w:sz w:val="22"/>
          <w:szCs w:val="22"/>
        </w:rPr>
      </w:pPr>
      <w:r w:rsidRPr="00C572B2">
        <w:rPr>
          <w:rFonts w:ascii="Arial" w:hAnsi="Arial" w:cs="Arial"/>
          <w:sz w:val="22"/>
          <w:szCs w:val="22"/>
        </w:rPr>
        <w:t xml:space="preserve">Despite evidences in understanding and management of Anorexia Nervosa, significant debates remain </w:t>
      </w:r>
      <w:r w:rsidR="0017013F" w:rsidRPr="00C572B2">
        <w:rPr>
          <w:rFonts w:ascii="Arial" w:hAnsi="Arial" w:cs="Arial"/>
          <w:sz w:val="22"/>
          <w:szCs w:val="22"/>
        </w:rPr>
        <w:t xml:space="preserve">regarding its classification, diagnosis and treatment. </w:t>
      </w:r>
      <w:r w:rsidR="008512AC" w:rsidRPr="00C572B2">
        <w:rPr>
          <w:rFonts w:ascii="Arial" w:hAnsi="Arial" w:cs="Arial"/>
          <w:sz w:val="22"/>
          <w:szCs w:val="22"/>
        </w:rPr>
        <w:t>One of the key contemporary debates in</w:t>
      </w:r>
      <w:r w:rsidR="005D6FCF" w:rsidRPr="00C572B2">
        <w:rPr>
          <w:rFonts w:ascii="Arial" w:hAnsi="Arial" w:cs="Arial"/>
          <w:sz w:val="22"/>
          <w:szCs w:val="22"/>
        </w:rPr>
        <w:t xml:space="preserve"> </w:t>
      </w:r>
      <w:r w:rsidR="008512AC" w:rsidRPr="00C572B2">
        <w:rPr>
          <w:rFonts w:ascii="Arial" w:hAnsi="Arial" w:cs="Arial"/>
          <w:sz w:val="22"/>
          <w:szCs w:val="22"/>
        </w:rPr>
        <w:t xml:space="preserve">relevance of eating disorders and particularly Anorexia Nervosa is the balance between nutritional rehabilitation and psychological treatments. Historically treatment </w:t>
      </w:r>
      <w:r w:rsidR="005D6FCF" w:rsidRPr="00C572B2">
        <w:rPr>
          <w:rFonts w:ascii="Arial" w:hAnsi="Arial" w:cs="Arial"/>
          <w:sz w:val="22"/>
          <w:szCs w:val="22"/>
        </w:rPr>
        <w:t>prioritised</w:t>
      </w:r>
      <w:r w:rsidR="008512AC" w:rsidRPr="00C572B2">
        <w:rPr>
          <w:rFonts w:ascii="Arial" w:hAnsi="Arial" w:cs="Arial"/>
          <w:sz w:val="22"/>
          <w:szCs w:val="22"/>
        </w:rPr>
        <w:t xml:space="preserve"> weight restoration, supported by evidence from Minnesota Starvation Experiment and early clinical research demonstrating that starvation contributes to cognitive impairment and emotional disturbance</w:t>
      </w:r>
      <w:r w:rsidR="00AB5C80" w:rsidRPr="00C572B2">
        <w:rPr>
          <w:rFonts w:ascii="Arial" w:hAnsi="Arial" w:cs="Arial"/>
          <w:sz w:val="22"/>
          <w:szCs w:val="22"/>
        </w:rPr>
        <w:t xml:space="preserve"> (Kalm and Semba, 2005).</w:t>
      </w:r>
      <w:r w:rsidR="008512AC" w:rsidRPr="00C572B2">
        <w:rPr>
          <w:rFonts w:ascii="Arial" w:hAnsi="Arial" w:cs="Arial"/>
          <w:sz w:val="22"/>
          <w:szCs w:val="22"/>
        </w:rPr>
        <w:t xml:space="preserve"> However contemporary research argues that focusing predominantly on weight gain may overlook psychological recovery and quality of life. </w:t>
      </w:r>
      <w:r w:rsidR="005D6FCF" w:rsidRPr="00C572B2">
        <w:rPr>
          <w:rFonts w:ascii="Arial" w:hAnsi="Arial" w:cs="Arial"/>
          <w:sz w:val="22"/>
          <w:szCs w:val="22"/>
        </w:rPr>
        <w:lastRenderedPageBreak/>
        <w:t>Although</w:t>
      </w:r>
      <w:r w:rsidR="008512AC" w:rsidRPr="00C572B2">
        <w:rPr>
          <w:rFonts w:ascii="Arial" w:hAnsi="Arial" w:cs="Arial"/>
          <w:sz w:val="22"/>
          <w:szCs w:val="22"/>
        </w:rPr>
        <w:t xml:space="preserve"> </w:t>
      </w:r>
      <w:r w:rsidR="007E2191" w:rsidRPr="00C572B2">
        <w:rPr>
          <w:rFonts w:ascii="Arial" w:hAnsi="Arial" w:cs="Arial"/>
          <w:sz w:val="22"/>
          <w:szCs w:val="22"/>
        </w:rPr>
        <w:t>NICE (</w:t>
      </w:r>
      <w:r w:rsidR="002F6C4D" w:rsidRPr="00C572B2">
        <w:rPr>
          <w:rFonts w:ascii="Arial" w:hAnsi="Arial" w:cs="Arial"/>
          <w:sz w:val="22"/>
          <w:szCs w:val="22"/>
        </w:rPr>
        <w:t>2017</w:t>
      </w:r>
      <w:r w:rsidR="007E2191" w:rsidRPr="00C572B2">
        <w:rPr>
          <w:rFonts w:ascii="Arial" w:hAnsi="Arial" w:cs="Arial"/>
          <w:sz w:val="22"/>
          <w:szCs w:val="22"/>
        </w:rPr>
        <w:t>), recommends</w:t>
      </w:r>
      <w:r w:rsidR="008512AC" w:rsidRPr="00C572B2">
        <w:rPr>
          <w:rFonts w:ascii="Arial" w:hAnsi="Arial" w:cs="Arial"/>
          <w:sz w:val="22"/>
          <w:szCs w:val="22"/>
        </w:rPr>
        <w:t xml:space="preserve"> combining nutritional rehabilitation with evidence based psychological therapies like CGBT-</w:t>
      </w:r>
      <w:r w:rsidR="005D6FCF" w:rsidRPr="00C572B2">
        <w:rPr>
          <w:rFonts w:ascii="Arial" w:hAnsi="Arial" w:cs="Arial"/>
          <w:sz w:val="22"/>
          <w:szCs w:val="22"/>
        </w:rPr>
        <w:t>ED and</w:t>
      </w:r>
      <w:r w:rsidR="008512AC" w:rsidRPr="00C572B2">
        <w:rPr>
          <w:rFonts w:ascii="Arial" w:hAnsi="Arial" w:cs="Arial"/>
          <w:sz w:val="22"/>
          <w:szCs w:val="22"/>
        </w:rPr>
        <w:t xml:space="preserve"> FBT and MANTRA, relapse rates remain high, highlighting the </w:t>
      </w:r>
      <w:r w:rsidR="005D6FCF" w:rsidRPr="00C572B2">
        <w:rPr>
          <w:rFonts w:ascii="Arial" w:hAnsi="Arial" w:cs="Arial"/>
          <w:sz w:val="22"/>
          <w:szCs w:val="22"/>
        </w:rPr>
        <w:t>need</w:t>
      </w:r>
      <w:r w:rsidR="008512AC" w:rsidRPr="00C572B2">
        <w:rPr>
          <w:rFonts w:ascii="Arial" w:hAnsi="Arial" w:cs="Arial"/>
          <w:sz w:val="22"/>
          <w:szCs w:val="22"/>
        </w:rPr>
        <w:t xml:space="preserve"> for more personalised and </w:t>
      </w:r>
      <w:r w:rsidR="005D6FCF" w:rsidRPr="00C572B2">
        <w:rPr>
          <w:rFonts w:ascii="Arial" w:hAnsi="Arial" w:cs="Arial"/>
          <w:sz w:val="22"/>
          <w:szCs w:val="22"/>
        </w:rPr>
        <w:t>recovery-oriented</w:t>
      </w:r>
      <w:r w:rsidR="008512AC" w:rsidRPr="00C572B2">
        <w:rPr>
          <w:rFonts w:ascii="Arial" w:hAnsi="Arial" w:cs="Arial"/>
          <w:sz w:val="22"/>
          <w:szCs w:val="22"/>
        </w:rPr>
        <w:t xml:space="preserve"> interventions.</w:t>
      </w:r>
    </w:p>
    <w:p w14:paraId="720E5FF8" w14:textId="72619B74" w:rsidR="00E5418C" w:rsidRPr="0020275C" w:rsidRDefault="00260BA2" w:rsidP="00F55009">
      <w:pPr>
        <w:pStyle w:val="Heading2"/>
        <w:rPr>
          <w:rFonts w:ascii="Arial" w:eastAsia="Times New Roman" w:hAnsi="Arial" w:cs="Arial"/>
          <w:b/>
          <w:bCs/>
          <w:color w:val="auto"/>
          <w:sz w:val="24"/>
          <w:szCs w:val="24"/>
          <w:lang w:eastAsia="en-GB"/>
        </w:rPr>
      </w:pPr>
      <w:bookmarkStart w:id="6" w:name="_Toc235034868"/>
      <w:r>
        <w:rPr>
          <w:rFonts w:ascii="Arial" w:eastAsia="Times New Roman" w:hAnsi="Arial" w:cs="Arial"/>
          <w:b/>
          <w:bCs/>
          <w:color w:val="auto"/>
          <w:sz w:val="24"/>
          <w:szCs w:val="24"/>
          <w:lang w:eastAsia="en-GB"/>
        </w:rPr>
        <w:t>3</w:t>
      </w:r>
      <w:r w:rsidR="00BD2155">
        <w:rPr>
          <w:rFonts w:ascii="Arial" w:eastAsia="Times New Roman" w:hAnsi="Arial" w:cs="Arial"/>
          <w:b/>
          <w:bCs/>
          <w:color w:val="auto"/>
          <w:sz w:val="24"/>
          <w:szCs w:val="24"/>
          <w:lang w:eastAsia="en-GB"/>
        </w:rPr>
        <w:t>.1</w:t>
      </w:r>
      <w:r w:rsidR="00BD2155">
        <w:rPr>
          <w:rFonts w:ascii="Arial" w:eastAsia="Times New Roman" w:hAnsi="Arial" w:cs="Arial"/>
          <w:b/>
          <w:bCs/>
          <w:color w:val="auto"/>
          <w:sz w:val="24"/>
          <w:szCs w:val="24"/>
          <w:lang w:eastAsia="en-GB"/>
        </w:rPr>
        <w:tab/>
      </w:r>
      <w:r w:rsidR="00E5418C" w:rsidRPr="0020275C">
        <w:rPr>
          <w:rFonts w:ascii="Arial" w:eastAsia="Times New Roman" w:hAnsi="Arial" w:cs="Arial"/>
          <w:b/>
          <w:bCs/>
          <w:color w:val="auto"/>
          <w:sz w:val="24"/>
          <w:szCs w:val="24"/>
          <w:lang w:eastAsia="en-GB"/>
        </w:rPr>
        <w:t>Im</w:t>
      </w:r>
      <w:r w:rsidR="00B955E9">
        <w:rPr>
          <w:rFonts w:ascii="Arial" w:eastAsia="Times New Roman" w:hAnsi="Arial" w:cs="Arial"/>
          <w:b/>
          <w:bCs/>
          <w:color w:val="auto"/>
          <w:sz w:val="24"/>
          <w:szCs w:val="24"/>
          <w:lang w:eastAsia="en-GB"/>
        </w:rPr>
        <w:t xml:space="preserve">plication on </w:t>
      </w:r>
      <w:r w:rsidR="00E5418C" w:rsidRPr="0020275C">
        <w:rPr>
          <w:rFonts w:ascii="Arial" w:eastAsia="Times New Roman" w:hAnsi="Arial" w:cs="Arial"/>
          <w:b/>
          <w:bCs/>
          <w:color w:val="auto"/>
          <w:sz w:val="24"/>
          <w:szCs w:val="24"/>
          <w:lang w:eastAsia="en-GB"/>
        </w:rPr>
        <w:t>Classification</w:t>
      </w:r>
      <w:bookmarkEnd w:id="6"/>
    </w:p>
    <w:p w14:paraId="6980792E" w14:textId="09147D0F" w:rsidR="000566BD" w:rsidRPr="00C572B2" w:rsidRDefault="000566BD"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One of the major debates surrounding the classification </w:t>
      </w:r>
      <w:r w:rsidR="00E120D4" w:rsidRPr="00C572B2">
        <w:rPr>
          <w:rFonts w:ascii="Arial" w:eastAsia="Times New Roman" w:hAnsi="Arial" w:cs="Arial"/>
          <w:sz w:val="22"/>
          <w:szCs w:val="22"/>
          <w:lang w:eastAsia="en-GB"/>
          <w14:ligatures w14:val="none"/>
        </w:rPr>
        <w:t>of Anorexia</w:t>
      </w:r>
      <w:r w:rsidRPr="00C572B2">
        <w:rPr>
          <w:rFonts w:ascii="Arial" w:eastAsia="Times New Roman" w:hAnsi="Arial" w:cs="Arial"/>
          <w:sz w:val="22"/>
          <w:szCs w:val="22"/>
          <w:lang w:eastAsia="en-GB"/>
          <w14:ligatures w14:val="none"/>
        </w:rPr>
        <w:t xml:space="preserve"> Nervosa concerns the limitations of DSM- IV </w:t>
      </w:r>
      <w:r w:rsidR="00E120D4" w:rsidRPr="00C572B2">
        <w:rPr>
          <w:rFonts w:ascii="Arial" w:eastAsia="Times New Roman" w:hAnsi="Arial" w:cs="Arial"/>
          <w:sz w:val="22"/>
          <w:szCs w:val="22"/>
          <w:lang w:eastAsia="en-GB"/>
          <w14:ligatures w14:val="none"/>
        </w:rPr>
        <w:t>criteria, which resulted in up to 60% of eating disorder referrals being classified as eating disorders not Otherwise Specifies (EDNOS) rather than receiving a specific diagnosis. This highlighted that diagnostic threshold s was overly restrictive and failed to capture many individuals with clinically significant symptoms. The diagnostic criteria focused primarily on physical manifestations such slow body weight while giving less emphasis on cognitive and neuropsychological features of the disorder. Emerging evidence from genetics and neuroimaging has supported a transdiagnostic neurobiological perspective, contributing to broader diagnostic criteria in DSM-V and contemporary classification such as ICD-11 (</w:t>
      </w:r>
      <w:r w:rsidRPr="00C572B2">
        <w:rPr>
          <w:rFonts w:ascii="Arial" w:eastAsia="Times New Roman" w:hAnsi="Arial" w:cs="Arial"/>
          <w:sz w:val="22"/>
          <w:szCs w:val="22"/>
          <w:lang w:eastAsia="en-GB"/>
          <w14:ligatures w14:val="none"/>
        </w:rPr>
        <w:t xml:space="preserve">Brooks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2012)</w:t>
      </w:r>
      <w:r w:rsidR="00E120D4" w:rsidRPr="00C572B2">
        <w:rPr>
          <w:rFonts w:ascii="Arial" w:eastAsia="Times New Roman" w:hAnsi="Arial" w:cs="Arial"/>
          <w:sz w:val="22"/>
          <w:szCs w:val="22"/>
          <w:lang w:eastAsia="en-GB"/>
          <w14:ligatures w14:val="none"/>
        </w:rPr>
        <w:t>.</w:t>
      </w:r>
    </w:p>
    <w:p w14:paraId="78B36C0F" w14:textId="289C5F20" w:rsidR="00E120D4" w:rsidRPr="00C572B2" w:rsidRDefault="00BD2155" w:rsidP="00F55009">
      <w:pPr>
        <w:pStyle w:val="Heading2"/>
        <w:rPr>
          <w:rFonts w:ascii="Arial" w:eastAsia="Times New Roman" w:hAnsi="Arial" w:cs="Arial"/>
          <w:sz w:val="24"/>
          <w:szCs w:val="24"/>
          <w:lang w:eastAsia="en-GB"/>
        </w:rPr>
      </w:pPr>
      <w:bookmarkStart w:id="7" w:name="_Toc235034869"/>
      <w:r>
        <w:rPr>
          <w:rFonts w:ascii="Arial" w:eastAsia="Times New Roman" w:hAnsi="Arial" w:cs="Arial"/>
          <w:b/>
          <w:bCs/>
          <w:color w:val="auto"/>
          <w:sz w:val="24"/>
          <w:szCs w:val="24"/>
          <w:lang w:eastAsia="en-GB"/>
        </w:rPr>
        <w:t>3.2</w:t>
      </w:r>
      <w:r>
        <w:rPr>
          <w:rFonts w:ascii="Arial" w:eastAsia="Times New Roman" w:hAnsi="Arial" w:cs="Arial"/>
          <w:b/>
          <w:bCs/>
          <w:color w:val="auto"/>
          <w:sz w:val="24"/>
          <w:szCs w:val="24"/>
          <w:lang w:eastAsia="en-GB"/>
        </w:rPr>
        <w:tab/>
      </w:r>
      <w:r w:rsidR="00E120D4" w:rsidRPr="00FA677C">
        <w:rPr>
          <w:rFonts w:ascii="Arial" w:eastAsia="Times New Roman" w:hAnsi="Arial" w:cs="Arial"/>
          <w:b/>
          <w:bCs/>
          <w:color w:val="auto"/>
          <w:sz w:val="24"/>
          <w:szCs w:val="24"/>
          <w:lang w:eastAsia="en-GB"/>
        </w:rPr>
        <w:t>Cultural Perspective of Anorexia Nervosa</w:t>
      </w:r>
      <w:bookmarkEnd w:id="7"/>
    </w:p>
    <w:p w14:paraId="00407DE2" w14:textId="7007E9CF" w:rsidR="000566BD" w:rsidRPr="00C572B2" w:rsidRDefault="004A6C90" w:rsidP="00F55009">
      <w:pPr>
        <w:spacing w:line="360" w:lineRule="auto"/>
        <w:rPr>
          <w:rFonts w:ascii="Arial" w:hAnsi="Arial" w:cs="Arial"/>
          <w:sz w:val="22"/>
          <w:szCs w:val="22"/>
        </w:rPr>
      </w:pPr>
      <w:r w:rsidRPr="00C572B2">
        <w:rPr>
          <w:rFonts w:ascii="Arial" w:hAnsi="Arial" w:cs="Arial"/>
          <w:sz w:val="22"/>
          <w:szCs w:val="22"/>
        </w:rPr>
        <w:t>Historically, Anorexia Nervosa was conceptualised as a Western Cultural-bound syndrome, reflecting the belief that western societies emphasis on dieting, thinness and female body image contributes directly to the disorder. Research challenged this assumption, arguing that exclusive focus on western beauty ideals oversimplifies AN because self-starvation may also be influenced by religious beliefs, ascetic practices and culturally specific meaning attached to food and body (Banks, 1992). Contemporary research has further challenged the cultural bound model, demonstrating that AN occurs in diverse population and is increasingly recognised in non-western societies (Simpson, 2002).</w:t>
      </w:r>
    </w:p>
    <w:p w14:paraId="3982FCD4" w14:textId="1A142098" w:rsidR="00CE2042" w:rsidRPr="00C572B2" w:rsidRDefault="00BD2155" w:rsidP="00F55009">
      <w:pPr>
        <w:pStyle w:val="Heading2"/>
        <w:rPr>
          <w:rFonts w:ascii="Arial" w:hAnsi="Arial" w:cs="Arial"/>
          <w:sz w:val="24"/>
          <w:szCs w:val="24"/>
        </w:rPr>
      </w:pPr>
      <w:bookmarkStart w:id="8" w:name="_Toc235034870"/>
      <w:r>
        <w:rPr>
          <w:rFonts w:ascii="Arial" w:eastAsia="Times New Roman" w:hAnsi="Arial" w:cs="Arial"/>
          <w:b/>
          <w:bCs/>
          <w:color w:val="auto"/>
          <w:sz w:val="24"/>
          <w:szCs w:val="24"/>
          <w:lang w:eastAsia="en-GB"/>
        </w:rPr>
        <w:t>3.3</w:t>
      </w:r>
      <w:r>
        <w:rPr>
          <w:rFonts w:ascii="Arial" w:eastAsia="Times New Roman" w:hAnsi="Arial" w:cs="Arial"/>
          <w:b/>
          <w:bCs/>
          <w:color w:val="auto"/>
          <w:sz w:val="24"/>
          <w:szCs w:val="24"/>
          <w:lang w:eastAsia="en-GB"/>
        </w:rPr>
        <w:tab/>
      </w:r>
      <w:r w:rsidR="00CE2042" w:rsidRPr="00BD2155">
        <w:rPr>
          <w:rFonts w:ascii="Arial" w:eastAsia="Times New Roman" w:hAnsi="Arial" w:cs="Arial"/>
          <w:b/>
          <w:bCs/>
          <w:color w:val="auto"/>
          <w:sz w:val="24"/>
          <w:szCs w:val="24"/>
          <w:lang w:eastAsia="en-GB"/>
        </w:rPr>
        <w:t xml:space="preserve">Impact of Debate on </w:t>
      </w:r>
      <w:r w:rsidR="00B955E9">
        <w:rPr>
          <w:rFonts w:ascii="Arial" w:eastAsia="Times New Roman" w:hAnsi="Arial" w:cs="Arial"/>
          <w:b/>
          <w:bCs/>
          <w:color w:val="auto"/>
          <w:sz w:val="24"/>
          <w:szCs w:val="24"/>
          <w:lang w:eastAsia="en-GB"/>
        </w:rPr>
        <w:t>P</w:t>
      </w:r>
      <w:r w:rsidR="00CE2042" w:rsidRPr="00BD2155">
        <w:rPr>
          <w:rFonts w:ascii="Arial" w:eastAsia="Times New Roman" w:hAnsi="Arial" w:cs="Arial"/>
          <w:b/>
          <w:bCs/>
          <w:color w:val="auto"/>
          <w:sz w:val="24"/>
          <w:szCs w:val="24"/>
          <w:lang w:eastAsia="en-GB"/>
        </w:rPr>
        <w:t>olicy and Practice</w:t>
      </w:r>
      <w:bookmarkEnd w:id="8"/>
    </w:p>
    <w:p w14:paraId="09B19653" w14:textId="470E78FD" w:rsidR="00E120D4" w:rsidRPr="00C572B2" w:rsidRDefault="008512AC" w:rsidP="00F55009">
      <w:pPr>
        <w:spacing w:line="360" w:lineRule="auto"/>
        <w:rPr>
          <w:rFonts w:ascii="Arial" w:hAnsi="Arial" w:cs="Arial"/>
          <w:sz w:val="22"/>
          <w:szCs w:val="22"/>
        </w:rPr>
      </w:pPr>
      <w:r w:rsidRPr="00C572B2">
        <w:rPr>
          <w:rFonts w:ascii="Arial" w:hAnsi="Arial" w:cs="Arial"/>
          <w:sz w:val="22"/>
          <w:szCs w:val="22"/>
        </w:rPr>
        <w:t xml:space="preserve">The influence of Western beauty ideals has important implications for policy and clinical practice. Public health initiatives increasingly focus on promoting positive body image, regulating misleading media </w:t>
      </w:r>
      <w:r w:rsidR="005D6FCF" w:rsidRPr="00C572B2">
        <w:rPr>
          <w:rFonts w:ascii="Arial" w:hAnsi="Arial" w:cs="Arial"/>
          <w:sz w:val="22"/>
          <w:szCs w:val="22"/>
        </w:rPr>
        <w:t>portrayals and</w:t>
      </w:r>
      <w:r w:rsidRPr="00C572B2">
        <w:rPr>
          <w:rFonts w:ascii="Arial" w:hAnsi="Arial" w:cs="Arial"/>
          <w:sz w:val="22"/>
          <w:szCs w:val="22"/>
        </w:rPr>
        <w:t xml:space="preserve"> improving media literacy among young people</w:t>
      </w:r>
      <w:r w:rsidR="005D6FCF" w:rsidRPr="00C572B2">
        <w:rPr>
          <w:rFonts w:ascii="Arial" w:hAnsi="Arial" w:cs="Arial"/>
          <w:sz w:val="22"/>
          <w:szCs w:val="22"/>
        </w:rPr>
        <w:t xml:space="preserve"> (Gabrielli and Floriana Irtelli, 2022, chapter 8).</w:t>
      </w:r>
      <w:r w:rsidR="00AB5C80" w:rsidRPr="00C572B2">
        <w:rPr>
          <w:rFonts w:ascii="Arial" w:hAnsi="Arial" w:cs="Arial"/>
          <w:sz w:val="22"/>
          <w:szCs w:val="22"/>
        </w:rPr>
        <w:t xml:space="preserve"> In UK the </w:t>
      </w:r>
      <w:r w:rsidR="00B955E9">
        <w:rPr>
          <w:rFonts w:ascii="Arial" w:hAnsi="Arial" w:cs="Arial"/>
          <w:sz w:val="22"/>
          <w:szCs w:val="22"/>
        </w:rPr>
        <w:t>O</w:t>
      </w:r>
      <w:r w:rsidR="00AB5C80" w:rsidRPr="00C572B2">
        <w:rPr>
          <w:rFonts w:ascii="Arial" w:hAnsi="Arial" w:cs="Arial"/>
          <w:sz w:val="22"/>
          <w:szCs w:val="22"/>
        </w:rPr>
        <w:t xml:space="preserve">nline </w:t>
      </w:r>
      <w:r w:rsidR="00B955E9">
        <w:rPr>
          <w:rFonts w:ascii="Arial" w:hAnsi="Arial" w:cs="Arial"/>
          <w:sz w:val="22"/>
          <w:szCs w:val="22"/>
        </w:rPr>
        <w:t>S</w:t>
      </w:r>
      <w:r w:rsidR="00AB5C80" w:rsidRPr="00C572B2">
        <w:rPr>
          <w:rFonts w:ascii="Arial" w:hAnsi="Arial" w:cs="Arial"/>
          <w:sz w:val="22"/>
          <w:szCs w:val="22"/>
        </w:rPr>
        <w:t>afety Act 2023 is designed to help protect those with eating disorders and ensures that online platforms restrict posts and content which promote such behaviours (BEAT, 2026).</w:t>
      </w:r>
      <w:r w:rsidRPr="00C572B2">
        <w:rPr>
          <w:rFonts w:ascii="Arial" w:hAnsi="Arial" w:cs="Arial"/>
          <w:sz w:val="22"/>
          <w:szCs w:val="22"/>
        </w:rPr>
        <w:t xml:space="preserve"> However, critics argue that interventions </w:t>
      </w:r>
      <w:r w:rsidR="005D6FCF" w:rsidRPr="00C572B2">
        <w:rPr>
          <w:rFonts w:ascii="Arial" w:hAnsi="Arial" w:cs="Arial"/>
          <w:sz w:val="22"/>
          <w:szCs w:val="22"/>
        </w:rPr>
        <w:t>targeting social</w:t>
      </w:r>
      <w:r w:rsidRPr="00C572B2">
        <w:rPr>
          <w:rFonts w:ascii="Arial" w:hAnsi="Arial" w:cs="Arial"/>
          <w:sz w:val="22"/>
          <w:szCs w:val="22"/>
        </w:rPr>
        <w:t xml:space="preserve"> media or fashion industry alone are unlikely to reduce the incidence of Anorexia Nervosa </w:t>
      </w:r>
      <w:r w:rsidR="005D6FCF" w:rsidRPr="00C572B2">
        <w:rPr>
          <w:rFonts w:ascii="Arial" w:hAnsi="Arial" w:cs="Arial"/>
          <w:sz w:val="22"/>
          <w:szCs w:val="22"/>
        </w:rPr>
        <w:t>because the disorder is multifactorial. Therefore, prevention strategies should combine psychological interventions, and culturally sensitive mental health services</w:t>
      </w:r>
      <w:r w:rsidR="004A6C90" w:rsidRPr="00C572B2">
        <w:rPr>
          <w:rFonts w:ascii="Arial" w:hAnsi="Arial" w:cs="Arial"/>
          <w:sz w:val="22"/>
          <w:szCs w:val="22"/>
        </w:rPr>
        <w:t xml:space="preserve"> and a broader </w:t>
      </w:r>
      <w:r w:rsidR="004A6C90" w:rsidRPr="00C572B2">
        <w:rPr>
          <w:rFonts w:ascii="Arial" w:hAnsi="Arial" w:cs="Arial"/>
          <w:sz w:val="22"/>
          <w:szCs w:val="22"/>
        </w:rPr>
        <w:lastRenderedPageBreak/>
        <w:t xml:space="preserve">biopsychosocial framework </w:t>
      </w:r>
      <w:r w:rsidR="005D6FCF" w:rsidRPr="00C572B2">
        <w:rPr>
          <w:rFonts w:ascii="Arial" w:hAnsi="Arial" w:cs="Arial"/>
          <w:sz w:val="22"/>
          <w:szCs w:val="22"/>
        </w:rPr>
        <w:t xml:space="preserve">to address both societal pressures and individual vulnerabilities. </w:t>
      </w:r>
      <w:r w:rsidR="00AB5C80" w:rsidRPr="00C572B2">
        <w:rPr>
          <w:rFonts w:ascii="Arial" w:hAnsi="Arial" w:cs="Arial"/>
          <w:sz w:val="22"/>
          <w:szCs w:val="22"/>
        </w:rPr>
        <w:t xml:space="preserve"> </w:t>
      </w:r>
      <w:r w:rsidR="00E120D4" w:rsidRPr="00C572B2">
        <w:rPr>
          <w:rFonts w:ascii="Arial" w:eastAsia="Times New Roman" w:hAnsi="Arial" w:cs="Arial"/>
          <w:sz w:val="22"/>
          <w:szCs w:val="22"/>
          <w:lang w:eastAsia="en-GB"/>
          <w14:ligatures w14:val="none"/>
        </w:rPr>
        <w:t xml:space="preserve">These developments encourage policy makers to adopt more inclusive diagnostic frameworks, improve early detection pathways and support research into personalised multidisciplinary treatment approaches (Brooks </w:t>
      </w:r>
      <w:r w:rsidR="00E120D4" w:rsidRPr="00C572B2">
        <w:rPr>
          <w:rFonts w:ascii="Arial" w:eastAsia="Times New Roman" w:hAnsi="Arial" w:cs="Arial"/>
          <w:i/>
          <w:iCs/>
          <w:sz w:val="22"/>
          <w:szCs w:val="22"/>
          <w:lang w:eastAsia="en-GB"/>
          <w14:ligatures w14:val="none"/>
        </w:rPr>
        <w:t>et al.</w:t>
      </w:r>
      <w:r w:rsidR="00E120D4" w:rsidRPr="00C572B2">
        <w:rPr>
          <w:rFonts w:ascii="Arial" w:eastAsia="Times New Roman" w:hAnsi="Arial" w:cs="Arial"/>
          <w:sz w:val="22"/>
          <w:szCs w:val="22"/>
          <w:lang w:eastAsia="en-GB"/>
          <w14:ligatures w14:val="none"/>
        </w:rPr>
        <w:t>, 2012).</w:t>
      </w:r>
    </w:p>
    <w:p w14:paraId="774658C9" w14:textId="678072F0" w:rsidR="00626DBF" w:rsidRPr="002D55D4" w:rsidRDefault="00CE2042" w:rsidP="002D55D4">
      <w:pPr>
        <w:pStyle w:val="Heading1"/>
        <w:numPr>
          <w:ilvl w:val="0"/>
          <w:numId w:val="2"/>
        </w:numPr>
        <w:spacing w:line="360" w:lineRule="auto"/>
        <w:rPr>
          <w:rFonts w:ascii="Arial" w:hAnsi="Arial" w:cs="Arial"/>
          <w:b/>
          <w:bCs/>
          <w:color w:val="auto"/>
          <w:sz w:val="24"/>
          <w:szCs w:val="24"/>
        </w:rPr>
      </w:pPr>
      <w:bookmarkStart w:id="9" w:name="_Toc235034871"/>
      <w:r w:rsidRPr="002D55D4">
        <w:rPr>
          <w:rFonts w:ascii="Arial" w:hAnsi="Arial" w:cs="Arial"/>
          <w:b/>
          <w:bCs/>
          <w:color w:val="auto"/>
          <w:sz w:val="24"/>
          <w:szCs w:val="24"/>
        </w:rPr>
        <w:t>Recommendations</w:t>
      </w:r>
      <w:bookmarkEnd w:id="9"/>
    </w:p>
    <w:p w14:paraId="7F9F4486" w14:textId="285FA25D" w:rsidR="00CE2042" w:rsidRPr="00E86A2C" w:rsidRDefault="00E86A2C" w:rsidP="00F55009">
      <w:pPr>
        <w:pStyle w:val="Heading2"/>
        <w:rPr>
          <w:rFonts w:ascii="Arial" w:hAnsi="Arial" w:cs="Arial"/>
          <w:b/>
          <w:bCs/>
          <w:color w:val="auto"/>
          <w:sz w:val="24"/>
          <w:szCs w:val="24"/>
        </w:rPr>
      </w:pPr>
      <w:bookmarkStart w:id="10" w:name="_Toc235034872"/>
      <w:r w:rsidRPr="00E86A2C">
        <w:rPr>
          <w:rFonts w:ascii="Arial" w:hAnsi="Arial" w:cs="Arial"/>
          <w:b/>
          <w:bCs/>
          <w:color w:val="auto"/>
          <w:sz w:val="24"/>
          <w:szCs w:val="24"/>
        </w:rPr>
        <w:t>4.1</w:t>
      </w:r>
      <w:r w:rsidRPr="00E86A2C">
        <w:rPr>
          <w:rFonts w:ascii="Arial" w:hAnsi="Arial" w:cs="Arial"/>
          <w:b/>
          <w:bCs/>
          <w:color w:val="auto"/>
          <w:sz w:val="24"/>
          <w:szCs w:val="24"/>
        </w:rPr>
        <w:tab/>
      </w:r>
      <w:r w:rsidR="00CE2042" w:rsidRPr="00E86A2C">
        <w:rPr>
          <w:rFonts w:ascii="Arial" w:hAnsi="Arial" w:cs="Arial"/>
          <w:b/>
          <w:bCs/>
          <w:color w:val="auto"/>
          <w:sz w:val="24"/>
          <w:szCs w:val="24"/>
        </w:rPr>
        <w:t>Suggested Improvements</w:t>
      </w:r>
      <w:bookmarkEnd w:id="10"/>
    </w:p>
    <w:p w14:paraId="51D4D3F1" w14:textId="6CD3A92D" w:rsidR="00437205" w:rsidRPr="00C572B2" w:rsidRDefault="00437205"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Based on the contemporary research on eating disorders particularly Anorexia Nervosa there is need to improve classification, diagnosis and rehabilitation of the disorder.</w:t>
      </w:r>
    </w:p>
    <w:p w14:paraId="5BCD6649" w14:textId="599FF27F" w:rsidR="00AB5C80" w:rsidRPr="00C572B2" w:rsidRDefault="00437205"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The classification models should place more emphasis on psychological and behavioural symptoms alongside physical indicators. These approaches can further facilitate earlier diagnosis of individuals with atypical anorexia nervosa and reduce delays in accessing specialist support </w:t>
      </w:r>
      <w:r w:rsidR="00AB5C80" w:rsidRPr="00C572B2">
        <w:rPr>
          <w:rFonts w:ascii="Arial" w:eastAsia="Times New Roman" w:hAnsi="Arial" w:cs="Arial"/>
          <w:sz w:val="22"/>
          <w:szCs w:val="22"/>
          <w:lang w:eastAsia="en-GB"/>
          <w14:ligatures w14:val="none"/>
        </w:rPr>
        <w:t xml:space="preserve">(Bryant </w:t>
      </w:r>
      <w:r w:rsidR="00AB5C80" w:rsidRPr="00C572B2">
        <w:rPr>
          <w:rFonts w:ascii="Arial" w:eastAsia="Times New Roman" w:hAnsi="Arial" w:cs="Arial"/>
          <w:i/>
          <w:iCs/>
          <w:sz w:val="22"/>
          <w:szCs w:val="22"/>
          <w:lang w:eastAsia="en-GB"/>
          <w14:ligatures w14:val="none"/>
        </w:rPr>
        <w:t>et al.</w:t>
      </w:r>
      <w:r w:rsidR="00AB5C80" w:rsidRPr="00C572B2">
        <w:rPr>
          <w:rFonts w:ascii="Arial" w:eastAsia="Times New Roman" w:hAnsi="Arial" w:cs="Arial"/>
          <w:sz w:val="22"/>
          <w:szCs w:val="22"/>
          <w:lang w:eastAsia="en-GB"/>
          <w14:ligatures w14:val="none"/>
        </w:rPr>
        <w:t>, 2022)</w:t>
      </w:r>
      <w:r w:rsidRPr="00C572B2">
        <w:rPr>
          <w:rFonts w:ascii="Arial" w:eastAsia="Times New Roman" w:hAnsi="Arial" w:cs="Arial"/>
          <w:sz w:val="22"/>
          <w:szCs w:val="22"/>
          <w:lang w:eastAsia="en-GB"/>
          <w14:ligatures w14:val="none"/>
        </w:rPr>
        <w:t>.</w:t>
      </w:r>
    </w:p>
    <w:p w14:paraId="18C18FB2" w14:textId="77777777" w:rsidR="00105B71" w:rsidRPr="00C572B2" w:rsidRDefault="00437205"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Healthcare professionals should implement early identification and referral pathways within primary care. NICE recommends that all individuals with suspected eating disorders should receive a comprehensive physical, psychological and social assessment rather than relying only on body weight index as diagnostic indicator</w:t>
      </w:r>
      <w:r w:rsidR="00105B71" w:rsidRPr="00C572B2">
        <w:rPr>
          <w:rFonts w:ascii="Arial" w:eastAsia="Times New Roman" w:hAnsi="Arial" w:cs="Arial"/>
          <w:sz w:val="22"/>
          <w:szCs w:val="22"/>
          <w:lang w:eastAsia="en-GB"/>
          <w14:ligatures w14:val="none"/>
        </w:rPr>
        <w:t xml:space="preserve"> (NICE, 2017).</w:t>
      </w:r>
      <w:r w:rsidRPr="00C572B2">
        <w:rPr>
          <w:rFonts w:ascii="Arial" w:eastAsia="Times New Roman" w:hAnsi="Arial" w:cs="Arial"/>
          <w:sz w:val="22"/>
          <w:szCs w:val="22"/>
          <w:lang w:eastAsia="en-GB"/>
          <w14:ligatures w14:val="none"/>
        </w:rPr>
        <w:t xml:space="preserve"> But for this there is need for multidisciplinary collaboration and highly skilled practitioners in healthcare. Low funding and staff retention can be a huge challenge and there is need to invest in training and understanding of these disorders on primary care level</w:t>
      </w:r>
      <w:r w:rsidR="00105B71" w:rsidRPr="00C572B2">
        <w:rPr>
          <w:rFonts w:ascii="Arial" w:eastAsia="Times New Roman" w:hAnsi="Arial" w:cs="Arial"/>
          <w:sz w:val="22"/>
          <w:szCs w:val="22"/>
          <w:lang w:eastAsia="en-GB"/>
          <w14:ligatures w14:val="none"/>
        </w:rPr>
        <w:t xml:space="preserve">. </w:t>
      </w:r>
    </w:p>
    <w:p w14:paraId="6A916558" w14:textId="553CCE42" w:rsidR="00105B71" w:rsidRPr="00C572B2" w:rsidRDefault="00105B71"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Many healthcare professionals have insufficient knowledge and confidence in recognising atypical presentations and comorbid mental health conditions associated with Anorexia Nervosa. Stereotyping regarding gender and age continue to influence clinical decisions. To address these gaps there is need of evidence-based training for primary care settings to understand early signs neurodivergence and culturally persistent behaviours (Alessio Maria Monteleone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2024).</w:t>
      </w:r>
    </w:p>
    <w:p w14:paraId="7E773AB5" w14:textId="06C77F0E" w:rsidR="00AB5C80" w:rsidRPr="00C572B2" w:rsidRDefault="00437205" w:rsidP="00F55009">
      <w:pPr>
        <w:spacing w:after="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Person cantered approach, integrating medical stabilisation, nutritional rehabilitation, psychological therapies and family involvement are needed. Care plans should also adopt neurodivergent individuals and culturally diverse population to improve engagement and treatment outcomes </w:t>
      </w:r>
      <w:r w:rsidR="006F3A8F" w:rsidRPr="00C572B2">
        <w:rPr>
          <w:rFonts w:ascii="Arial" w:hAnsi="Arial" w:cs="Arial"/>
          <w:sz w:val="22"/>
          <w:szCs w:val="22"/>
        </w:rPr>
        <w:t>(Klein, Sylvester and Schvey, 2021)</w:t>
      </w:r>
      <w:r w:rsidRPr="00C572B2">
        <w:rPr>
          <w:rFonts w:ascii="Arial" w:hAnsi="Arial" w:cs="Arial"/>
          <w:sz w:val="22"/>
          <w:szCs w:val="22"/>
        </w:rPr>
        <w:t>.</w:t>
      </w:r>
    </w:p>
    <w:p w14:paraId="0A4180BA" w14:textId="4806E696" w:rsidR="00CE2042" w:rsidRPr="00644576" w:rsidRDefault="00644576" w:rsidP="00F55009">
      <w:pPr>
        <w:pStyle w:val="Heading2"/>
        <w:rPr>
          <w:rFonts w:ascii="Arial" w:hAnsi="Arial" w:cs="Arial"/>
          <w:b/>
          <w:bCs/>
          <w:color w:val="auto"/>
          <w:sz w:val="24"/>
          <w:szCs w:val="24"/>
        </w:rPr>
      </w:pPr>
      <w:bookmarkStart w:id="11" w:name="_Toc235034873"/>
      <w:r>
        <w:rPr>
          <w:rFonts w:ascii="Arial" w:hAnsi="Arial" w:cs="Arial"/>
          <w:b/>
          <w:bCs/>
          <w:color w:val="auto"/>
          <w:sz w:val="24"/>
          <w:szCs w:val="24"/>
        </w:rPr>
        <w:t>4.2</w:t>
      </w:r>
      <w:r>
        <w:rPr>
          <w:rFonts w:ascii="Arial" w:hAnsi="Arial" w:cs="Arial"/>
          <w:b/>
          <w:bCs/>
          <w:color w:val="auto"/>
          <w:sz w:val="24"/>
          <w:szCs w:val="24"/>
        </w:rPr>
        <w:tab/>
      </w:r>
      <w:r w:rsidR="00CE2042" w:rsidRPr="00644576">
        <w:rPr>
          <w:rFonts w:ascii="Arial" w:hAnsi="Arial" w:cs="Arial"/>
          <w:b/>
          <w:bCs/>
          <w:color w:val="auto"/>
          <w:sz w:val="24"/>
          <w:szCs w:val="24"/>
        </w:rPr>
        <w:t>Implications for practice, policy and further research</w:t>
      </w:r>
      <w:bookmarkEnd w:id="11"/>
    </w:p>
    <w:p w14:paraId="5CC128FC" w14:textId="3E898BD7" w:rsidR="00105B71" w:rsidRPr="00C572B2" w:rsidRDefault="00105B71" w:rsidP="00F55009">
      <w:pPr>
        <w:spacing w:line="360" w:lineRule="auto"/>
        <w:rPr>
          <w:rFonts w:ascii="Arial" w:hAnsi="Arial" w:cs="Arial"/>
          <w:sz w:val="22"/>
          <w:szCs w:val="22"/>
        </w:rPr>
      </w:pPr>
      <w:r w:rsidRPr="00C572B2">
        <w:rPr>
          <w:rFonts w:ascii="Arial" w:hAnsi="Arial" w:cs="Arial"/>
          <w:sz w:val="22"/>
          <w:szCs w:val="22"/>
        </w:rPr>
        <w:t xml:space="preserve">There is need to develop policies promoting equitable care for culturally diverse demographic </w:t>
      </w:r>
      <w:r w:rsidR="001B2172" w:rsidRPr="00C572B2">
        <w:rPr>
          <w:rFonts w:ascii="Arial" w:hAnsi="Arial" w:cs="Arial"/>
          <w:sz w:val="22"/>
          <w:szCs w:val="22"/>
        </w:rPr>
        <w:t>groups</w:t>
      </w:r>
      <w:r w:rsidRPr="00C572B2">
        <w:rPr>
          <w:rFonts w:ascii="Arial" w:hAnsi="Arial" w:cs="Arial"/>
          <w:sz w:val="22"/>
          <w:szCs w:val="22"/>
        </w:rPr>
        <w:t xml:space="preserve"> and neurodivergent </w:t>
      </w:r>
      <w:r w:rsidR="001B2172" w:rsidRPr="00C572B2">
        <w:rPr>
          <w:rFonts w:ascii="Arial" w:hAnsi="Arial" w:cs="Arial"/>
          <w:sz w:val="22"/>
          <w:szCs w:val="22"/>
        </w:rPr>
        <w:t>individuals</w:t>
      </w:r>
      <w:r w:rsidRPr="00C572B2">
        <w:rPr>
          <w:rFonts w:ascii="Arial" w:hAnsi="Arial" w:cs="Arial"/>
          <w:sz w:val="22"/>
          <w:szCs w:val="22"/>
        </w:rPr>
        <w:t xml:space="preserve">. There is also need to </w:t>
      </w:r>
      <w:r w:rsidR="001B2172" w:rsidRPr="00C572B2">
        <w:rPr>
          <w:rFonts w:ascii="Arial" w:hAnsi="Arial" w:cs="Arial"/>
          <w:sz w:val="22"/>
          <w:szCs w:val="22"/>
        </w:rPr>
        <w:t>strengthen</w:t>
      </w:r>
      <w:r w:rsidRPr="00C572B2">
        <w:rPr>
          <w:rFonts w:ascii="Arial" w:hAnsi="Arial" w:cs="Arial"/>
          <w:sz w:val="22"/>
          <w:szCs w:val="22"/>
        </w:rPr>
        <w:t xml:space="preserve"> </w:t>
      </w:r>
      <w:r w:rsidR="001B2172" w:rsidRPr="00C572B2">
        <w:rPr>
          <w:rFonts w:ascii="Arial" w:hAnsi="Arial" w:cs="Arial"/>
          <w:sz w:val="22"/>
          <w:szCs w:val="22"/>
        </w:rPr>
        <w:t>campaigns</w:t>
      </w:r>
      <w:r w:rsidRPr="00C572B2">
        <w:rPr>
          <w:rFonts w:ascii="Arial" w:hAnsi="Arial" w:cs="Arial"/>
          <w:sz w:val="22"/>
          <w:szCs w:val="22"/>
        </w:rPr>
        <w:t xml:space="preserve"> to raise </w:t>
      </w:r>
      <w:r w:rsidRPr="00C572B2">
        <w:rPr>
          <w:rFonts w:ascii="Arial" w:hAnsi="Arial" w:cs="Arial"/>
          <w:sz w:val="22"/>
          <w:szCs w:val="22"/>
        </w:rPr>
        <w:lastRenderedPageBreak/>
        <w:t xml:space="preserve">awareness and reduce stigma associated with eating disorders. Evaluate long term effectiveness of </w:t>
      </w:r>
      <w:r w:rsidR="001B2172" w:rsidRPr="00C572B2">
        <w:rPr>
          <w:rFonts w:ascii="Arial" w:hAnsi="Arial" w:cs="Arial"/>
          <w:sz w:val="22"/>
          <w:szCs w:val="22"/>
        </w:rPr>
        <w:t>personalised and</w:t>
      </w:r>
      <w:r w:rsidRPr="00C572B2">
        <w:rPr>
          <w:rFonts w:ascii="Arial" w:hAnsi="Arial" w:cs="Arial"/>
          <w:sz w:val="22"/>
          <w:szCs w:val="22"/>
        </w:rPr>
        <w:t xml:space="preserve"> neurodiversity informed interventions. There is also need to investigate biomarkers and </w:t>
      </w:r>
      <w:r w:rsidR="001B2172" w:rsidRPr="00C572B2">
        <w:rPr>
          <w:rFonts w:ascii="Arial" w:hAnsi="Arial" w:cs="Arial"/>
          <w:sz w:val="22"/>
          <w:szCs w:val="22"/>
        </w:rPr>
        <w:t>neurobiological</w:t>
      </w:r>
      <w:r w:rsidRPr="00C572B2">
        <w:rPr>
          <w:rFonts w:ascii="Arial" w:hAnsi="Arial" w:cs="Arial"/>
          <w:sz w:val="22"/>
          <w:szCs w:val="22"/>
        </w:rPr>
        <w:t xml:space="preserve"> mechanism to improve diagnosis accuracy</w:t>
      </w:r>
      <w:r w:rsidR="001B2172" w:rsidRPr="00C572B2">
        <w:rPr>
          <w:rFonts w:ascii="Arial" w:hAnsi="Arial" w:cs="Arial"/>
          <w:sz w:val="22"/>
          <w:szCs w:val="22"/>
        </w:rPr>
        <w:t xml:space="preserve"> (Powell, Harker and Bellis, 2018).</w:t>
      </w:r>
      <w:r w:rsidRPr="00C572B2">
        <w:rPr>
          <w:rFonts w:ascii="Arial" w:hAnsi="Arial" w:cs="Arial"/>
          <w:sz w:val="22"/>
          <w:szCs w:val="22"/>
        </w:rPr>
        <w:t xml:space="preserve"> </w:t>
      </w:r>
      <w:r w:rsidR="001B2172" w:rsidRPr="00C572B2">
        <w:rPr>
          <w:rFonts w:ascii="Arial" w:hAnsi="Arial" w:cs="Arial"/>
          <w:sz w:val="22"/>
          <w:szCs w:val="22"/>
        </w:rPr>
        <w:t xml:space="preserve">Assessment of emerging therapies and digital interventions like virtual reality and neuromodulation should be done through robust clinical trials (Murray </w:t>
      </w:r>
      <w:r w:rsidR="001B2172" w:rsidRPr="00C572B2">
        <w:rPr>
          <w:rFonts w:ascii="Arial" w:hAnsi="Arial" w:cs="Arial"/>
          <w:i/>
          <w:iCs/>
          <w:sz w:val="22"/>
          <w:szCs w:val="22"/>
        </w:rPr>
        <w:t>et al.</w:t>
      </w:r>
      <w:r w:rsidR="001B2172" w:rsidRPr="00C572B2">
        <w:rPr>
          <w:rFonts w:ascii="Arial" w:hAnsi="Arial" w:cs="Arial"/>
          <w:sz w:val="22"/>
          <w:szCs w:val="22"/>
        </w:rPr>
        <w:t>, 2020).</w:t>
      </w:r>
    </w:p>
    <w:p w14:paraId="1701051E" w14:textId="07B68FA2" w:rsidR="0089217D" w:rsidRPr="00FD4F29" w:rsidRDefault="0089217D" w:rsidP="00FD4F29">
      <w:pPr>
        <w:pStyle w:val="Heading1"/>
        <w:numPr>
          <w:ilvl w:val="0"/>
          <w:numId w:val="2"/>
        </w:numPr>
        <w:spacing w:line="360" w:lineRule="auto"/>
        <w:rPr>
          <w:rFonts w:ascii="Arial" w:hAnsi="Arial" w:cs="Arial"/>
          <w:b/>
          <w:bCs/>
          <w:color w:val="auto"/>
          <w:sz w:val="24"/>
          <w:szCs w:val="24"/>
        </w:rPr>
      </w:pPr>
      <w:bookmarkStart w:id="12" w:name="_Toc235034874"/>
      <w:r w:rsidRPr="00FD4F29">
        <w:rPr>
          <w:rFonts w:ascii="Arial" w:hAnsi="Arial" w:cs="Arial"/>
          <w:b/>
          <w:bCs/>
          <w:color w:val="auto"/>
          <w:sz w:val="24"/>
          <w:szCs w:val="24"/>
        </w:rPr>
        <w:t>Conclusion</w:t>
      </w:r>
      <w:bookmarkEnd w:id="12"/>
    </w:p>
    <w:p w14:paraId="29B6A70D" w14:textId="31B8769C" w:rsidR="001B2172" w:rsidRPr="00C572B2" w:rsidRDefault="001B2172" w:rsidP="00F55009">
      <w:pPr>
        <w:spacing w:line="360" w:lineRule="auto"/>
        <w:rPr>
          <w:rFonts w:ascii="Arial" w:hAnsi="Arial" w:cs="Arial"/>
          <w:sz w:val="22"/>
          <w:szCs w:val="22"/>
        </w:rPr>
      </w:pPr>
      <w:r w:rsidRPr="00C572B2">
        <w:rPr>
          <w:rFonts w:ascii="Arial" w:hAnsi="Arial" w:cs="Arial"/>
          <w:sz w:val="22"/>
          <w:szCs w:val="22"/>
        </w:rPr>
        <w:t>Anorexia Nervosa is a complex mental health disorder with physical, psychological and social consequences</w:t>
      </w:r>
      <w:r w:rsidR="003F097A" w:rsidRPr="00C572B2">
        <w:rPr>
          <w:rFonts w:ascii="Arial" w:hAnsi="Arial" w:cs="Arial"/>
          <w:sz w:val="22"/>
          <w:szCs w:val="22"/>
        </w:rPr>
        <w:t xml:space="preserve">, requiring accuracy in classification, early diagnosis and comprehensive multidisciplinary management. Although ICD-11 provides an improved framework for diagnosis, ongoing debates regarding weight-based criteria, neurodivergence and cultural influences highlight the need for continued refinement of classification systems. Current evidence supports integrated treatment combining nutritional rehabilitation, psychological therapies and long-term rehabilitation. However, challenges such as social stigma, delayed diagnosis, limited access to specialist survive and high relapse rates remain. </w:t>
      </w:r>
      <w:r w:rsidR="007E2191" w:rsidRPr="00C572B2">
        <w:rPr>
          <w:rFonts w:ascii="Arial" w:hAnsi="Arial" w:cs="Arial"/>
          <w:sz w:val="22"/>
          <w:szCs w:val="22"/>
        </w:rPr>
        <w:t>Strengthening</w:t>
      </w:r>
      <w:r w:rsidR="003F097A" w:rsidRPr="00C572B2">
        <w:rPr>
          <w:rFonts w:ascii="Arial" w:hAnsi="Arial" w:cs="Arial"/>
          <w:sz w:val="22"/>
          <w:szCs w:val="22"/>
        </w:rPr>
        <w:t xml:space="preserve"> training, promoting person centred and culturally sensitive care and investment in research will improve clinical outcomes for individuals with anorexia Nervosa.</w:t>
      </w:r>
    </w:p>
    <w:p w14:paraId="7FC0CB10" w14:textId="77777777" w:rsidR="003F097A" w:rsidRPr="00C572B2" w:rsidRDefault="003F097A" w:rsidP="00F55009">
      <w:pPr>
        <w:spacing w:line="360" w:lineRule="auto"/>
        <w:rPr>
          <w:rFonts w:ascii="Arial" w:hAnsi="Arial" w:cs="Arial"/>
          <w:sz w:val="22"/>
          <w:szCs w:val="22"/>
        </w:rPr>
      </w:pPr>
    </w:p>
    <w:p w14:paraId="5013B2B4" w14:textId="77777777" w:rsidR="003F097A" w:rsidRPr="00C572B2" w:rsidRDefault="003F097A" w:rsidP="00F55009">
      <w:pPr>
        <w:spacing w:line="360" w:lineRule="auto"/>
        <w:rPr>
          <w:rFonts w:ascii="Arial" w:hAnsi="Arial" w:cs="Arial"/>
          <w:sz w:val="22"/>
          <w:szCs w:val="22"/>
        </w:rPr>
      </w:pPr>
    </w:p>
    <w:p w14:paraId="7A1DB2B4" w14:textId="77777777" w:rsidR="003F097A" w:rsidRPr="00C572B2" w:rsidRDefault="003F097A" w:rsidP="00F55009">
      <w:pPr>
        <w:spacing w:line="360" w:lineRule="auto"/>
        <w:rPr>
          <w:rFonts w:ascii="Arial" w:hAnsi="Arial" w:cs="Arial"/>
          <w:sz w:val="22"/>
          <w:szCs w:val="22"/>
        </w:rPr>
      </w:pPr>
    </w:p>
    <w:p w14:paraId="231A9F4E" w14:textId="77777777" w:rsidR="003F097A" w:rsidRPr="00C572B2" w:rsidRDefault="003F097A" w:rsidP="00F55009">
      <w:pPr>
        <w:spacing w:line="360" w:lineRule="auto"/>
        <w:rPr>
          <w:rFonts w:ascii="Arial" w:hAnsi="Arial" w:cs="Arial"/>
          <w:sz w:val="22"/>
          <w:szCs w:val="22"/>
        </w:rPr>
      </w:pPr>
    </w:p>
    <w:p w14:paraId="2F967CAA" w14:textId="77777777" w:rsidR="003F097A" w:rsidRPr="00C572B2" w:rsidRDefault="003F097A" w:rsidP="00F55009">
      <w:pPr>
        <w:spacing w:line="360" w:lineRule="auto"/>
        <w:rPr>
          <w:rFonts w:ascii="Arial" w:hAnsi="Arial" w:cs="Arial"/>
          <w:sz w:val="22"/>
          <w:szCs w:val="22"/>
        </w:rPr>
      </w:pPr>
    </w:p>
    <w:p w14:paraId="219A7492" w14:textId="77777777" w:rsidR="003F097A" w:rsidRPr="00C572B2" w:rsidRDefault="003F097A" w:rsidP="00F55009">
      <w:pPr>
        <w:spacing w:line="360" w:lineRule="auto"/>
        <w:rPr>
          <w:rFonts w:ascii="Arial" w:hAnsi="Arial" w:cs="Arial"/>
          <w:sz w:val="22"/>
          <w:szCs w:val="22"/>
        </w:rPr>
      </w:pPr>
    </w:p>
    <w:p w14:paraId="03A8D3A0" w14:textId="77777777" w:rsidR="003F097A" w:rsidRPr="00C572B2" w:rsidRDefault="003F097A" w:rsidP="00F55009">
      <w:pPr>
        <w:spacing w:line="360" w:lineRule="auto"/>
        <w:rPr>
          <w:rFonts w:ascii="Arial" w:hAnsi="Arial" w:cs="Arial"/>
          <w:sz w:val="22"/>
          <w:szCs w:val="22"/>
        </w:rPr>
      </w:pPr>
    </w:p>
    <w:p w14:paraId="39F993C8" w14:textId="77777777" w:rsidR="003F097A" w:rsidRPr="00C572B2" w:rsidRDefault="003F097A" w:rsidP="00F55009">
      <w:pPr>
        <w:spacing w:line="360" w:lineRule="auto"/>
        <w:rPr>
          <w:rFonts w:ascii="Arial" w:hAnsi="Arial" w:cs="Arial"/>
          <w:sz w:val="22"/>
          <w:szCs w:val="22"/>
        </w:rPr>
      </w:pPr>
    </w:p>
    <w:p w14:paraId="5F8CA21F" w14:textId="77777777" w:rsidR="003F097A" w:rsidRPr="00C572B2" w:rsidRDefault="003F097A" w:rsidP="00F55009">
      <w:pPr>
        <w:spacing w:line="360" w:lineRule="auto"/>
        <w:rPr>
          <w:rFonts w:ascii="Arial" w:hAnsi="Arial" w:cs="Arial"/>
          <w:sz w:val="22"/>
          <w:szCs w:val="22"/>
        </w:rPr>
      </w:pPr>
    </w:p>
    <w:p w14:paraId="562949AC" w14:textId="77777777" w:rsidR="003F097A" w:rsidRPr="00C572B2" w:rsidRDefault="003F097A" w:rsidP="00F55009">
      <w:pPr>
        <w:spacing w:line="360" w:lineRule="auto"/>
        <w:rPr>
          <w:rFonts w:ascii="Arial" w:hAnsi="Arial" w:cs="Arial"/>
          <w:sz w:val="22"/>
          <w:szCs w:val="22"/>
        </w:rPr>
      </w:pPr>
    </w:p>
    <w:p w14:paraId="3B0C4A4A" w14:textId="77777777" w:rsidR="003F097A" w:rsidRPr="00C572B2" w:rsidRDefault="003F097A" w:rsidP="00F55009">
      <w:pPr>
        <w:spacing w:line="360" w:lineRule="auto"/>
        <w:rPr>
          <w:rFonts w:ascii="Arial" w:hAnsi="Arial" w:cs="Arial"/>
          <w:sz w:val="22"/>
          <w:szCs w:val="22"/>
        </w:rPr>
      </w:pPr>
    </w:p>
    <w:p w14:paraId="224CC5C9" w14:textId="38C22EEA" w:rsidR="003F097A" w:rsidRPr="00F55671" w:rsidRDefault="0089217D" w:rsidP="00F55671">
      <w:pPr>
        <w:pStyle w:val="Heading1"/>
        <w:numPr>
          <w:ilvl w:val="0"/>
          <w:numId w:val="2"/>
        </w:numPr>
        <w:spacing w:line="360" w:lineRule="auto"/>
        <w:rPr>
          <w:rFonts w:ascii="Arial" w:hAnsi="Arial" w:cs="Arial"/>
          <w:b/>
          <w:bCs/>
          <w:color w:val="auto"/>
          <w:sz w:val="24"/>
          <w:szCs w:val="24"/>
        </w:rPr>
      </w:pPr>
      <w:bookmarkStart w:id="13" w:name="_Toc235034875"/>
      <w:r w:rsidRPr="00F55671">
        <w:rPr>
          <w:rFonts w:ascii="Arial" w:hAnsi="Arial" w:cs="Arial"/>
          <w:b/>
          <w:bCs/>
          <w:color w:val="auto"/>
          <w:sz w:val="24"/>
          <w:szCs w:val="24"/>
        </w:rPr>
        <w:lastRenderedPageBreak/>
        <w:t>References</w:t>
      </w:r>
      <w:bookmarkEnd w:id="13"/>
    </w:p>
    <w:p w14:paraId="764C6FA1" w14:textId="680351AC" w:rsidR="003F097A" w:rsidRPr="00C572B2" w:rsidRDefault="003F097A" w:rsidP="00F55009">
      <w:pPr>
        <w:spacing w:after="240" w:line="360" w:lineRule="auto"/>
        <w:rPr>
          <w:rFonts w:ascii="Arial" w:eastAsia="Times New Roman" w:hAnsi="Arial" w:cs="Arial"/>
          <w:sz w:val="22"/>
          <w:szCs w:val="22"/>
          <w:lang w:eastAsia="en-GB"/>
          <w14:ligatures w14:val="none"/>
        </w:rPr>
      </w:pPr>
      <w:r w:rsidRPr="005C021D">
        <w:rPr>
          <w:rFonts w:ascii="Arial" w:eastAsia="Times New Roman" w:hAnsi="Arial" w:cs="Arial"/>
          <w:sz w:val="22"/>
          <w:szCs w:val="22"/>
          <w:lang w:val="it-IT" w:eastAsia="en-GB"/>
          <w14:ligatures w14:val="none"/>
        </w:rPr>
        <w:t xml:space="preserve">Alessio Maria Monteleone </w:t>
      </w:r>
      <w:r w:rsidRPr="005C021D">
        <w:rPr>
          <w:rFonts w:ascii="Arial" w:eastAsia="Times New Roman" w:hAnsi="Arial" w:cs="Arial"/>
          <w:i/>
          <w:iCs/>
          <w:sz w:val="22"/>
          <w:szCs w:val="22"/>
          <w:lang w:val="it-IT" w:eastAsia="en-GB"/>
          <w14:ligatures w14:val="none"/>
        </w:rPr>
        <w:t>et al.</w:t>
      </w:r>
      <w:r w:rsidRPr="005C021D">
        <w:rPr>
          <w:rFonts w:ascii="Arial" w:eastAsia="Times New Roman" w:hAnsi="Arial" w:cs="Arial"/>
          <w:sz w:val="22"/>
          <w:szCs w:val="22"/>
          <w:lang w:val="it-IT" w:eastAsia="en-GB"/>
          <w14:ligatures w14:val="none"/>
        </w:rPr>
        <w:t xml:space="preserve"> </w:t>
      </w:r>
      <w:r w:rsidRPr="00C572B2">
        <w:rPr>
          <w:rFonts w:ascii="Arial" w:eastAsia="Times New Roman" w:hAnsi="Arial" w:cs="Arial"/>
          <w:sz w:val="22"/>
          <w:szCs w:val="22"/>
          <w:lang w:eastAsia="en-GB"/>
          <w14:ligatures w14:val="none"/>
        </w:rPr>
        <w:t xml:space="preserve">(2024) “Attitudes and gaps in knowledge of the diagnosis, treatment, and psychopathology of eating disorders among different health professionals,” </w:t>
      </w:r>
      <w:r w:rsidRPr="00C572B2">
        <w:rPr>
          <w:rFonts w:ascii="Arial" w:eastAsia="Times New Roman" w:hAnsi="Arial" w:cs="Arial"/>
          <w:i/>
          <w:iCs/>
          <w:sz w:val="22"/>
          <w:szCs w:val="22"/>
          <w:lang w:eastAsia="en-GB"/>
          <w14:ligatures w14:val="none"/>
        </w:rPr>
        <w:t>Journal of eating disorders</w:t>
      </w:r>
      <w:r w:rsidRPr="00C572B2">
        <w:rPr>
          <w:rFonts w:ascii="Arial" w:eastAsia="Times New Roman" w:hAnsi="Arial" w:cs="Arial"/>
          <w:sz w:val="22"/>
          <w:szCs w:val="22"/>
          <w:lang w:eastAsia="en-GB"/>
          <w14:ligatures w14:val="none"/>
        </w:rPr>
        <w:t xml:space="preserve">, 12(1). Available at: </w:t>
      </w:r>
      <w:hyperlink r:id="rId9" w:history="1">
        <w:r w:rsidRPr="00C572B2">
          <w:rPr>
            <w:rStyle w:val="Hyperlink"/>
            <w:rFonts w:ascii="Arial" w:eastAsia="Times New Roman" w:hAnsi="Arial" w:cs="Arial"/>
            <w:sz w:val="22"/>
            <w:szCs w:val="22"/>
            <w:lang w:eastAsia="en-GB"/>
            <w14:ligatures w14:val="none"/>
          </w:rPr>
          <w:t>https://doi.org/10.1186/s40337-024-01053-5</w:t>
        </w:r>
      </w:hyperlink>
      <w:r w:rsidRPr="00C572B2">
        <w:rPr>
          <w:rFonts w:ascii="Arial" w:eastAsia="Times New Roman" w:hAnsi="Arial" w:cs="Arial"/>
          <w:sz w:val="22"/>
          <w:szCs w:val="22"/>
          <w:lang w:eastAsia="en-GB"/>
          <w14:ligatures w14:val="none"/>
        </w:rPr>
        <w:t xml:space="preserve">. </w:t>
      </w:r>
    </w:p>
    <w:p w14:paraId="6D637BDB" w14:textId="0A19A4CC"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American Psychiatric Association (2022) “Diagnostic and statistical manual of mental disorders,” </w:t>
      </w:r>
      <w:r w:rsidRPr="00C572B2">
        <w:rPr>
          <w:rFonts w:ascii="Arial" w:eastAsia="Times New Roman" w:hAnsi="Arial" w:cs="Arial"/>
          <w:i/>
          <w:iCs/>
          <w:sz w:val="22"/>
          <w:szCs w:val="22"/>
          <w:lang w:eastAsia="en-GB"/>
          <w14:ligatures w14:val="none"/>
        </w:rPr>
        <w:t>Diagnostic and Statistical Manual of Mental Disorders, Fifth Edition, Text Revision (DSM-5-TR)</w:t>
      </w:r>
      <w:r w:rsidRPr="00C572B2">
        <w:rPr>
          <w:rFonts w:ascii="Arial" w:eastAsia="Times New Roman" w:hAnsi="Arial" w:cs="Arial"/>
          <w:sz w:val="22"/>
          <w:szCs w:val="22"/>
          <w:lang w:eastAsia="en-GB"/>
          <w14:ligatures w14:val="none"/>
        </w:rPr>
        <w:t xml:space="preserve">, 5(5). Available at: </w:t>
      </w:r>
      <w:hyperlink r:id="rId10" w:history="1">
        <w:r w:rsidRPr="00C572B2">
          <w:rPr>
            <w:rStyle w:val="Hyperlink"/>
            <w:rFonts w:ascii="Arial" w:eastAsia="Times New Roman" w:hAnsi="Arial" w:cs="Arial"/>
            <w:sz w:val="22"/>
            <w:szCs w:val="22"/>
            <w:lang w:eastAsia="en-GB"/>
            <w14:ligatures w14:val="none"/>
          </w:rPr>
          <w:t>https://doi.org/10.1176/appi.books.9780890425787</w:t>
        </w:r>
      </w:hyperlink>
      <w:r w:rsidRPr="00C572B2">
        <w:rPr>
          <w:rFonts w:ascii="Arial" w:eastAsia="Times New Roman" w:hAnsi="Arial" w:cs="Arial"/>
          <w:sz w:val="22"/>
          <w:szCs w:val="22"/>
          <w:lang w:eastAsia="en-GB"/>
          <w14:ligatures w14:val="none"/>
        </w:rPr>
        <w:t xml:space="preserve">. </w:t>
      </w:r>
    </w:p>
    <w:p w14:paraId="1C9370E1" w14:textId="2E0AD09E"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Banks, C.G. (1992) “‘Culture’ in culture-bound syndromes: The case of anorexia nervosa,” </w:t>
      </w:r>
      <w:r w:rsidRPr="00C572B2">
        <w:rPr>
          <w:rFonts w:ascii="Arial" w:eastAsia="Times New Roman" w:hAnsi="Arial" w:cs="Arial"/>
          <w:i/>
          <w:iCs/>
          <w:sz w:val="22"/>
          <w:szCs w:val="22"/>
          <w:lang w:eastAsia="en-GB"/>
          <w14:ligatures w14:val="none"/>
        </w:rPr>
        <w:t>Social Science &amp; Medicine</w:t>
      </w:r>
      <w:r w:rsidRPr="00C572B2">
        <w:rPr>
          <w:rFonts w:ascii="Arial" w:eastAsia="Times New Roman" w:hAnsi="Arial" w:cs="Arial"/>
          <w:sz w:val="22"/>
          <w:szCs w:val="22"/>
          <w:lang w:eastAsia="en-GB"/>
          <w14:ligatures w14:val="none"/>
        </w:rPr>
        <w:t xml:space="preserve">, 34(8), pp. 867–884. Available at: </w:t>
      </w:r>
      <w:hyperlink r:id="rId11" w:history="1">
        <w:r w:rsidRPr="00C572B2">
          <w:rPr>
            <w:rStyle w:val="Hyperlink"/>
            <w:rFonts w:ascii="Arial" w:eastAsia="Times New Roman" w:hAnsi="Arial" w:cs="Arial"/>
            <w:sz w:val="22"/>
            <w:szCs w:val="22"/>
            <w:lang w:eastAsia="en-GB"/>
            <w14:ligatures w14:val="none"/>
          </w:rPr>
          <w:t>https://doi.org/10.1016/0277-9536(92)90256-p</w:t>
        </w:r>
      </w:hyperlink>
      <w:r w:rsidRPr="00C572B2">
        <w:rPr>
          <w:rFonts w:ascii="Arial" w:eastAsia="Times New Roman" w:hAnsi="Arial" w:cs="Arial"/>
          <w:sz w:val="22"/>
          <w:szCs w:val="22"/>
          <w:lang w:eastAsia="en-GB"/>
          <w14:ligatures w14:val="none"/>
        </w:rPr>
        <w:t xml:space="preserve">. </w:t>
      </w:r>
    </w:p>
    <w:p w14:paraId="5F5E2601" w14:textId="3B4D918C"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BEAT (2022) </w:t>
      </w:r>
      <w:r w:rsidRPr="00C572B2">
        <w:rPr>
          <w:rFonts w:ascii="Arial" w:eastAsia="Times New Roman" w:hAnsi="Arial" w:cs="Arial"/>
          <w:i/>
          <w:iCs/>
          <w:sz w:val="22"/>
          <w:szCs w:val="22"/>
          <w:lang w:eastAsia="en-GB"/>
          <w14:ligatures w14:val="none"/>
        </w:rPr>
        <w:t>How Many People Have an Eating Disorder in the UK?</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Beat Eating Disorders</w:t>
      </w:r>
      <w:r w:rsidRPr="00C572B2">
        <w:rPr>
          <w:rFonts w:ascii="Arial" w:eastAsia="Times New Roman" w:hAnsi="Arial" w:cs="Arial"/>
          <w:sz w:val="22"/>
          <w:szCs w:val="22"/>
          <w:lang w:eastAsia="en-GB"/>
          <w14:ligatures w14:val="none"/>
        </w:rPr>
        <w:t xml:space="preserve">. Available at: </w:t>
      </w:r>
      <w:hyperlink r:id="rId12" w:history="1">
        <w:r w:rsidRPr="00C572B2">
          <w:rPr>
            <w:rStyle w:val="Hyperlink"/>
            <w:rFonts w:ascii="Arial" w:eastAsia="Times New Roman" w:hAnsi="Arial" w:cs="Arial"/>
            <w:sz w:val="22"/>
            <w:szCs w:val="22"/>
            <w:lang w:eastAsia="en-GB"/>
            <w14:ligatures w14:val="none"/>
          </w:rPr>
          <w:t>https://www.beateatingdisorders.org.uk/get-information-and-support/about-eating-disorders/how-many-people-eating-disorder-uk/</w:t>
        </w:r>
      </w:hyperlink>
      <w:r w:rsidRPr="00C572B2">
        <w:rPr>
          <w:rFonts w:ascii="Arial" w:eastAsia="Times New Roman" w:hAnsi="Arial" w:cs="Arial"/>
          <w:sz w:val="22"/>
          <w:szCs w:val="22"/>
          <w:lang w:eastAsia="en-GB"/>
          <w14:ligatures w14:val="none"/>
        </w:rPr>
        <w:t xml:space="preserve">  (Accessed: July 14, 2026).</w:t>
      </w:r>
    </w:p>
    <w:p w14:paraId="39E4CC08" w14:textId="777477B5"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BEAT (2026) </w:t>
      </w:r>
      <w:r w:rsidRPr="00C572B2">
        <w:rPr>
          <w:rFonts w:ascii="Arial" w:eastAsia="Times New Roman" w:hAnsi="Arial" w:cs="Arial"/>
          <w:i/>
          <w:iCs/>
          <w:sz w:val="22"/>
          <w:szCs w:val="22"/>
          <w:lang w:eastAsia="en-GB"/>
          <w14:ligatures w14:val="none"/>
        </w:rPr>
        <w:t>Protecting people from eating disorder content: The Online Safety Act</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Beat</w:t>
      </w:r>
      <w:r w:rsidRPr="00C572B2">
        <w:rPr>
          <w:rFonts w:ascii="Arial" w:eastAsia="Times New Roman" w:hAnsi="Arial" w:cs="Arial"/>
          <w:sz w:val="22"/>
          <w:szCs w:val="22"/>
          <w:lang w:eastAsia="en-GB"/>
          <w14:ligatures w14:val="none"/>
        </w:rPr>
        <w:t xml:space="preserve">. Available at: </w:t>
      </w:r>
      <w:hyperlink r:id="rId13" w:history="1">
        <w:r w:rsidRPr="00C572B2">
          <w:rPr>
            <w:rStyle w:val="Hyperlink"/>
            <w:rFonts w:ascii="Arial" w:eastAsia="Times New Roman" w:hAnsi="Arial" w:cs="Arial"/>
            <w:sz w:val="22"/>
            <w:szCs w:val="22"/>
            <w:lang w:eastAsia="en-GB"/>
            <w14:ligatures w14:val="none"/>
          </w:rPr>
          <w:t>https://www.beateatingdisorders.org.uk/news/protecting-people-from-eating-disorder-content-the-online-safety-act/</w:t>
        </w:r>
      </w:hyperlink>
      <w:r w:rsidRPr="00C572B2">
        <w:rPr>
          <w:rFonts w:ascii="Arial" w:eastAsia="Times New Roman" w:hAnsi="Arial" w:cs="Arial"/>
          <w:sz w:val="22"/>
          <w:szCs w:val="22"/>
          <w:lang w:eastAsia="en-GB"/>
          <w14:ligatures w14:val="none"/>
        </w:rPr>
        <w:t xml:space="preserve">  (Accessed: July 15, 2026).</w:t>
      </w:r>
    </w:p>
    <w:p w14:paraId="19741651" w14:textId="703722FD"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Birgegård, A.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xml:space="preserve"> (2023) “Proposal for increasing diagnostic clarity in research and clinical practice by renaming and reframing atypical anorexia nervosa as ‘Restrictive Eating Disorder’ (RED),” </w:t>
      </w:r>
      <w:r w:rsidRPr="00C572B2">
        <w:rPr>
          <w:rFonts w:ascii="Arial" w:eastAsia="Times New Roman" w:hAnsi="Arial" w:cs="Arial"/>
          <w:i/>
          <w:iCs/>
          <w:sz w:val="22"/>
          <w:szCs w:val="22"/>
          <w:lang w:eastAsia="en-GB"/>
          <w14:ligatures w14:val="none"/>
        </w:rPr>
        <w:t>Eating Behaviors</w:t>
      </w:r>
      <w:r w:rsidRPr="00C572B2">
        <w:rPr>
          <w:rFonts w:ascii="Arial" w:eastAsia="Times New Roman" w:hAnsi="Arial" w:cs="Arial"/>
          <w:sz w:val="22"/>
          <w:szCs w:val="22"/>
          <w:lang w:eastAsia="en-GB"/>
          <w14:ligatures w14:val="none"/>
        </w:rPr>
        <w:t xml:space="preserve">, 50, p. 101750. Available at: </w:t>
      </w:r>
      <w:hyperlink r:id="rId14" w:history="1">
        <w:r w:rsidRPr="00C572B2">
          <w:rPr>
            <w:rStyle w:val="Hyperlink"/>
            <w:rFonts w:ascii="Arial" w:eastAsia="Times New Roman" w:hAnsi="Arial" w:cs="Arial"/>
            <w:sz w:val="22"/>
            <w:szCs w:val="22"/>
            <w:lang w:eastAsia="en-GB"/>
            <w14:ligatures w14:val="none"/>
          </w:rPr>
          <w:t>https://doi.org/10.1016/j.eatbeh.2023.101750</w:t>
        </w:r>
      </w:hyperlink>
      <w:r w:rsidRPr="00C572B2">
        <w:rPr>
          <w:rFonts w:ascii="Arial" w:eastAsia="Times New Roman" w:hAnsi="Arial" w:cs="Arial"/>
          <w:sz w:val="22"/>
          <w:szCs w:val="22"/>
          <w:lang w:eastAsia="en-GB"/>
          <w14:ligatures w14:val="none"/>
        </w:rPr>
        <w:t xml:space="preserve">. </w:t>
      </w:r>
    </w:p>
    <w:p w14:paraId="1588D8E0" w14:textId="308A5880" w:rsidR="003F097A" w:rsidRPr="001A37AB" w:rsidRDefault="003F097A" w:rsidP="00F55009">
      <w:pPr>
        <w:spacing w:after="240" w:line="360" w:lineRule="auto"/>
        <w:rPr>
          <w:rFonts w:ascii="Arial" w:eastAsia="Times New Roman" w:hAnsi="Arial" w:cs="Arial"/>
          <w:sz w:val="22"/>
          <w:szCs w:val="22"/>
          <w:lang w:val="fr-FR" w:eastAsia="en-GB"/>
          <w14:ligatures w14:val="none"/>
        </w:rPr>
      </w:pPr>
      <w:r w:rsidRPr="00C572B2">
        <w:rPr>
          <w:rFonts w:ascii="Arial" w:eastAsia="Times New Roman" w:hAnsi="Arial" w:cs="Arial"/>
          <w:sz w:val="22"/>
          <w:szCs w:val="22"/>
          <w:lang w:eastAsia="en-GB"/>
          <w14:ligatures w14:val="none"/>
        </w:rPr>
        <w:t xml:space="preserve">Brooks, S.J.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xml:space="preserve"> (2012) “A debate on current eating disorder diagnoses in light of neurobiological findings: Is it time for a spectrum model?,” </w:t>
      </w:r>
      <w:r w:rsidRPr="00C572B2">
        <w:rPr>
          <w:rFonts w:ascii="Arial" w:eastAsia="Times New Roman" w:hAnsi="Arial" w:cs="Arial"/>
          <w:i/>
          <w:iCs/>
          <w:sz w:val="22"/>
          <w:szCs w:val="22"/>
          <w:lang w:eastAsia="en-GB"/>
          <w14:ligatures w14:val="none"/>
        </w:rPr>
        <w:t>BMC Psychiatry</w:t>
      </w:r>
      <w:r w:rsidRPr="00C572B2">
        <w:rPr>
          <w:rFonts w:ascii="Arial" w:eastAsia="Times New Roman" w:hAnsi="Arial" w:cs="Arial"/>
          <w:sz w:val="22"/>
          <w:szCs w:val="22"/>
          <w:lang w:eastAsia="en-GB"/>
          <w14:ligatures w14:val="none"/>
        </w:rPr>
        <w:t xml:space="preserve">, 12(1). </w:t>
      </w:r>
      <w:r w:rsidRPr="001A37AB">
        <w:rPr>
          <w:rFonts w:ascii="Arial" w:eastAsia="Times New Roman" w:hAnsi="Arial" w:cs="Arial"/>
          <w:sz w:val="22"/>
          <w:szCs w:val="22"/>
          <w:lang w:val="fr-FR" w:eastAsia="en-GB"/>
          <w14:ligatures w14:val="none"/>
        </w:rPr>
        <w:t xml:space="preserve">Available at: </w:t>
      </w:r>
      <w:hyperlink r:id="rId15" w:history="1">
        <w:r w:rsidRPr="001A37AB">
          <w:rPr>
            <w:rStyle w:val="Hyperlink"/>
            <w:rFonts w:ascii="Arial" w:eastAsia="Times New Roman" w:hAnsi="Arial" w:cs="Arial"/>
            <w:sz w:val="22"/>
            <w:szCs w:val="22"/>
            <w:lang w:val="fr-FR" w:eastAsia="en-GB"/>
            <w14:ligatures w14:val="none"/>
          </w:rPr>
          <w:t>https://doi.org/10.1186/1471-244x-12-76</w:t>
        </w:r>
      </w:hyperlink>
      <w:r w:rsidRPr="001A37AB">
        <w:rPr>
          <w:rFonts w:ascii="Arial" w:eastAsia="Times New Roman" w:hAnsi="Arial" w:cs="Arial"/>
          <w:sz w:val="22"/>
          <w:szCs w:val="22"/>
          <w:lang w:val="fr-FR" w:eastAsia="en-GB"/>
          <w14:ligatures w14:val="none"/>
        </w:rPr>
        <w:t xml:space="preserve">. </w:t>
      </w:r>
    </w:p>
    <w:p w14:paraId="3DF4CCBC" w14:textId="1044E8B6" w:rsidR="003F097A" w:rsidRPr="00C572B2" w:rsidRDefault="003F097A" w:rsidP="00F55009">
      <w:pPr>
        <w:spacing w:after="240" w:line="360" w:lineRule="auto"/>
        <w:rPr>
          <w:rFonts w:ascii="Arial" w:eastAsia="Times New Roman" w:hAnsi="Arial" w:cs="Arial"/>
          <w:sz w:val="22"/>
          <w:szCs w:val="22"/>
          <w:lang w:eastAsia="en-GB"/>
          <w14:ligatures w14:val="none"/>
        </w:rPr>
      </w:pPr>
      <w:r w:rsidRPr="001A37AB">
        <w:rPr>
          <w:rFonts w:ascii="Arial" w:eastAsia="Times New Roman" w:hAnsi="Arial" w:cs="Arial"/>
          <w:sz w:val="22"/>
          <w:szCs w:val="22"/>
          <w:lang w:val="fr-FR" w:eastAsia="en-GB"/>
          <w14:ligatures w14:val="none"/>
        </w:rPr>
        <w:t xml:space="preserve">Bryant, E. </w:t>
      </w:r>
      <w:r w:rsidRPr="001A37AB">
        <w:rPr>
          <w:rFonts w:ascii="Arial" w:eastAsia="Times New Roman" w:hAnsi="Arial" w:cs="Arial"/>
          <w:i/>
          <w:iCs/>
          <w:sz w:val="22"/>
          <w:szCs w:val="22"/>
          <w:lang w:val="fr-FR" w:eastAsia="en-GB"/>
          <w14:ligatures w14:val="none"/>
        </w:rPr>
        <w:t>et al.</w:t>
      </w:r>
      <w:r w:rsidRPr="001A37AB">
        <w:rPr>
          <w:rFonts w:ascii="Arial" w:eastAsia="Times New Roman" w:hAnsi="Arial" w:cs="Arial"/>
          <w:sz w:val="22"/>
          <w:szCs w:val="22"/>
          <w:lang w:val="fr-FR" w:eastAsia="en-GB"/>
          <w14:ligatures w14:val="none"/>
        </w:rPr>
        <w:t xml:space="preserve"> </w:t>
      </w:r>
      <w:r w:rsidRPr="00C572B2">
        <w:rPr>
          <w:rFonts w:ascii="Arial" w:eastAsia="Times New Roman" w:hAnsi="Arial" w:cs="Arial"/>
          <w:sz w:val="22"/>
          <w:szCs w:val="22"/>
          <w:lang w:eastAsia="en-GB"/>
          <w14:ligatures w14:val="none"/>
        </w:rPr>
        <w:t xml:space="preserve">(2022) “Screening, assessment and diagnosis in the eating disorders: Findings from a rapid review,” </w:t>
      </w:r>
      <w:r w:rsidRPr="00C572B2">
        <w:rPr>
          <w:rFonts w:ascii="Arial" w:eastAsia="Times New Roman" w:hAnsi="Arial" w:cs="Arial"/>
          <w:i/>
          <w:iCs/>
          <w:sz w:val="22"/>
          <w:szCs w:val="22"/>
          <w:lang w:eastAsia="en-GB"/>
          <w14:ligatures w14:val="none"/>
        </w:rPr>
        <w:t>Journal of Eating Disorders</w:t>
      </w:r>
      <w:r w:rsidRPr="00C572B2">
        <w:rPr>
          <w:rFonts w:ascii="Arial" w:eastAsia="Times New Roman" w:hAnsi="Arial" w:cs="Arial"/>
          <w:sz w:val="22"/>
          <w:szCs w:val="22"/>
          <w:lang w:eastAsia="en-GB"/>
          <w14:ligatures w14:val="none"/>
        </w:rPr>
        <w:t xml:space="preserve">, 10(1). Available at: </w:t>
      </w:r>
      <w:hyperlink r:id="rId16" w:history="1">
        <w:r w:rsidRPr="00C572B2">
          <w:rPr>
            <w:rStyle w:val="Hyperlink"/>
            <w:rFonts w:ascii="Arial" w:eastAsia="Times New Roman" w:hAnsi="Arial" w:cs="Arial"/>
            <w:sz w:val="22"/>
            <w:szCs w:val="22"/>
            <w:lang w:eastAsia="en-GB"/>
            <w14:ligatures w14:val="none"/>
          </w:rPr>
          <w:t>https://doi.org/10.1186/s40337-022-00597-8</w:t>
        </w:r>
      </w:hyperlink>
      <w:r w:rsidRPr="00C572B2">
        <w:rPr>
          <w:rFonts w:ascii="Arial" w:eastAsia="Times New Roman" w:hAnsi="Arial" w:cs="Arial"/>
          <w:sz w:val="22"/>
          <w:szCs w:val="22"/>
          <w:lang w:eastAsia="en-GB"/>
          <w14:ligatures w14:val="none"/>
        </w:rPr>
        <w:t xml:space="preserve">. </w:t>
      </w:r>
    </w:p>
    <w:p w14:paraId="735F2D72" w14:textId="2657F0B8"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Bryson, C., Douglas, D. and Schmidt, U. (2024) “Established and emerging treatments for eating disorders,” </w:t>
      </w:r>
      <w:r w:rsidRPr="00C572B2">
        <w:rPr>
          <w:rFonts w:ascii="Arial" w:eastAsia="Times New Roman" w:hAnsi="Arial" w:cs="Arial"/>
          <w:i/>
          <w:iCs/>
          <w:sz w:val="22"/>
          <w:szCs w:val="22"/>
          <w:lang w:eastAsia="en-GB"/>
          <w14:ligatures w14:val="none"/>
        </w:rPr>
        <w:t>Trends in molecular medicine</w:t>
      </w:r>
      <w:r w:rsidRPr="00C572B2">
        <w:rPr>
          <w:rFonts w:ascii="Arial" w:eastAsia="Times New Roman" w:hAnsi="Arial" w:cs="Arial"/>
          <w:sz w:val="22"/>
          <w:szCs w:val="22"/>
          <w:lang w:eastAsia="en-GB"/>
          <w14:ligatures w14:val="none"/>
        </w:rPr>
        <w:t xml:space="preserve">, 30(4). Available at: </w:t>
      </w:r>
      <w:hyperlink r:id="rId17" w:history="1">
        <w:r w:rsidRPr="00C572B2">
          <w:rPr>
            <w:rStyle w:val="Hyperlink"/>
            <w:rFonts w:ascii="Arial" w:eastAsia="Times New Roman" w:hAnsi="Arial" w:cs="Arial"/>
            <w:sz w:val="22"/>
            <w:szCs w:val="22"/>
            <w:lang w:eastAsia="en-GB"/>
            <w14:ligatures w14:val="none"/>
          </w:rPr>
          <w:t>https://doi.org/10.1016/j.molmed.2024.02.009</w:t>
        </w:r>
      </w:hyperlink>
      <w:r w:rsidRPr="00C572B2">
        <w:rPr>
          <w:rFonts w:ascii="Arial" w:eastAsia="Times New Roman" w:hAnsi="Arial" w:cs="Arial"/>
          <w:sz w:val="22"/>
          <w:szCs w:val="22"/>
          <w:lang w:eastAsia="en-GB"/>
          <w14:ligatures w14:val="none"/>
        </w:rPr>
        <w:t xml:space="preserve">. </w:t>
      </w:r>
    </w:p>
    <w:p w14:paraId="255F76DC" w14:textId="7252DA42"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lastRenderedPageBreak/>
        <w:t xml:space="preserve">Bunnell, D.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xml:space="preserve"> (2013) </w:t>
      </w:r>
      <w:r w:rsidRPr="00C572B2">
        <w:rPr>
          <w:rFonts w:ascii="Arial" w:eastAsia="Times New Roman" w:hAnsi="Arial" w:cs="Arial"/>
          <w:i/>
          <w:iCs/>
          <w:sz w:val="22"/>
          <w:szCs w:val="22"/>
          <w:lang w:eastAsia="en-GB"/>
          <w14:ligatures w14:val="none"/>
        </w:rPr>
        <w:t>Current Trends and Controversies in the Treatment of Eating Disorders</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Behavioral Health News</w:t>
      </w:r>
      <w:r w:rsidRPr="00C572B2">
        <w:rPr>
          <w:rFonts w:ascii="Arial" w:eastAsia="Times New Roman" w:hAnsi="Arial" w:cs="Arial"/>
          <w:sz w:val="22"/>
          <w:szCs w:val="22"/>
          <w:lang w:eastAsia="en-GB"/>
          <w14:ligatures w14:val="none"/>
        </w:rPr>
        <w:t xml:space="preserve">. Available at: </w:t>
      </w:r>
      <w:hyperlink r:id="rId18" w:history="1">
        <w:r w:rsidRPr="00C572B2">
          <w:rPr>
            <w:rStyle w:val="Hyperlink"/>
            <w:rFonts w:ascii="Arial" w:eastAsia="Times New Roman" w:hAnsi="Arial" w:cs="Arial"/>
            <w:sz w:val="22"/>
            <w:szCs w:val="22"/>
            <w:lang w:eastAsia="en-GB"/>
            <w14:ligatures w14:val="none"/>
          </w:rPr>
          <w:t>https://behavioralhealthnews.org/current-trends-and-controversies-in-the-treatment-of-eating-disorders/</w:t>
        </w:r>
      </w:hyperlink>
      <w:r w:rsidRPr="00C572B2">
        <w:rPr>
          <w:rFonts w:ascii="Arial" w:eastAsia="Times New Roman" w:hAnsi="Arial" w:cs="Arial"/>
          <w:sz w:val="22"/>
          <w:szCs w:val="22"/>
          <w:lang w:eastAsia="en-GB"/>
          <w14:ligatures w14:val="none"/>
        </w:rPr>
        <w:t xml:space="preserve">  (Accessed: July 15, 2026).</w:t>
      </w:r>
    </w:p>
    <w:p w14:paraId="5A5FA6EB" w14:textId="77777777"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Gabrielli, F. and Floriana Irtelli (2022) </w:t>
      </w:r>
      <w:r w:rsidRPr="00C572B2">
        <w:rPr>
          <w:rFonts w:ascii="Arial" w:eastAsia="Times New Roman" w:hAnsi="Arial" w:cs="Arial"/>
          <w:i/>
          <w:iCs/>
          <w:sz w:val="22"/>
          <w:szCs w:val="22"/>
          <w:lang w:eastAsia="en-GB"/>
          <w14:ligatures w14:val="none"/>
        </w:rPr>
        <w:t>Body Image and Eating Disorders</w:t>
      </w:r>
      <w:r w:rsidRPr="00C572B2">
        <w:rPr>
          <w:rFonts w:ascii="Arial" w:eastAsia="Times New Roman" w:hAnsi="Arial" w:cs="Arial"/>
          <w:sz w:val="22"/>
          <w:szCs w:val="22"/>
          <w:lang w:eastAsia="en-GB"/>
          <w14:ligatures w14:val="none"/>
        </w:rPr>
        <w:t>. Cambridge University Press.</w:t>
      </w:r>
    </w:p>
    <w:p w14:paraId="22936CC6" w14:textId="5D0539E6"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Guarda, A. (2023) </w:t>
      </w:r>
      <w:r w:rsidRPr="00C572B2">
        <w:rPr>
          <w:rFonts w:ascii="Arial" w:eastAsia="Times New Roman" w:hAnsi="Arial" w:cs="Arial"/>
          <w:i/>
          <w:iCs/>
          <w:sz w:val="22"/>
          <w:szCs w:val="22"/>
          <w:lang w:eastAsia="en-GB"/>
          <w14:ligatures w14:val="none"/>
        </w:rPr>
        <w:t>What Are Eating Disorders?</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American Psychiatric Association</w:t>
      </w:r>
      <w:r w:rsidRPr="00C572B2">
        <w:rPr>
          <w:rFonts w:ascii="Arial" w:eastAsia="Times New Roman" w:hAnsi="Arial" w:cs="Arial"/>
          <w:sz w:val="22"/>
          <w:szCs w:val="22"/>
          <w:lang w:eastAsia="en-GB"/>
          <w14:ligatures w14:val="none"/>
        </w:rPr>
        <w:t xml:space="preserve">. Available at: </w:t>
      </w:r>
      <w:hyperlink r:id="rId19" w:history="1">
        <w:r w:rsidRPr="00C572B2">
          <w:rPr>
            <w:rStyle w:val="Hyperlink"/>
            <w:rFonts w:ascii="Arial" w:eastAsia="Times New Roman" w:hAnsi="Arial" w:cs="Arial"/>
            <w:sz w:val="22"/>
            <w:szCs w:val="22"/>
            <w:lang w:eastAsia="en-GB"/>
            <w14:ligatures w14:val="none"/>
          </w:rPr>
          <w:t>https://www.psychiatry.org/patients-families/eating-disorders/what-are-eating-disorders</w:t>
        </w:r>
      </w:hyperlink>
      <w:r w:rsidRPr="00C572B2">
        <w:rPr>
          <w:rFonts w:ascii="Arial" w:eastAsia="Times New Roman" w:hAnsi="Arial" w:cs="Arial"/>
          <w:sz w:val="22"/>
          <w:szCs w:val="22"/>
          <w:lang w:eastAsia="en-GB"/>
          <w14:ligatures w14:val="none"/>
        </w:rPr>
        <w:t xml:space="preserve">   (Accessed: July 14, 2026).</w:t>
      </w:r>
    </w:p>
    <w:p w14:paraId="0CC0B4E2" w14:textId="375DB209"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Halmi, K.A., Powers, P. and Cunningham, S. (1975) “Treatment of anorexia nervosa with behavior modification. Effectiveness of formula feeding and isolation,” </w:t>
      </w:r>
      <w:r w:rsidRPr="00C572B2">
        <w:rPr>
          <w:rFonts w:ascii="Arial" w:eastAsia="Times New Roman" w:hAnsi="Arial" w:cs="Arial"/>
          <w:i/>
          <w:iCs/>
          <w:sz w:val="22"/>
          <w:szCs w:val="22"/>
          <w:lang w:eastAsia="en-GB"/>
          <w14:ligatures w14:val="none"/>
        </w:rPr>
        <w:t>Archives of general psychiatry</w:t>
      </w:r>
      <w:r w:rsidRPr="00C572B2">
        <w:rPr>
          <w:rFonts w:ascii="Arial" w:eastAsia="Times New Roman" w:hAnsi="Arial" w:cs="Arial"/>
          <w:sz w:val="22"/>
          <w:szCs w:val="22"/>
          <w:lang w:eastAsia="en-GB"/>
          <w14:ligatures w14:val="none"/>
        </w:rPr>
        <w:t xml:space="preserve">, 32(1), pp. 93–6. Available at: </w:t>
      </w:r>
      <w:hyperlink r:id="rId20" w:history="1">
        <w:r w:rsidRPr="00C572B2">
          <w:rPr>
            <w:rStyle w:val="Hyperlink"/>
            <w:rFonts w:ascii="Arial" w:eastAsia="Times New Roman" w:hAnsi="Arial" w:cs="Arial"/>
            <w:sz w:val="22"/>
            <w:szCs w:val="22"/>
            <w:lang w:eastAsia="en-GB"/>
            <w14:ligatures w14:val="none"/>
          </w:rPr>
          <w:t>https://doi.org/10.1001/archpsyc.1975.01760190095011</w:t>
        </w:r>
      </w:hyperlink>
      <w:r w:rsidRPr="00C572B2">
        <w:rPr>
          <w:rFonts w:ascii="Arial" w:eastAsia="Times New Roman" w:hAnsi="Arial" w:cs="Arial"/>
          <w:sz w:val="22"/>
          <w:szCs w:val="22"/>
          <w:lang w:eastAsia="en-GB"/>
          <w14:ligatures w14:val="none"/>
        </w:rPr>
        <w:t xml:space="preserve">. </w:t>
      </w:r>
    </w:p>
    <w:p w14:paraId="57E80A7B" w14:textId="588EC39A"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ICD-11 (2026) </w:t>
      </w:r>
      <w:r w:rsidRPr="00C572B2">
        <w:rPr>
          <w:rFonts w:ascii="Arial" w:eastAsia="Times New Roman" w:hAnsi="Arial" w:cs="Arial"/>
          <w:i/>
          <w:iCs/>
          <w:sz w:val="22"/>
          <w:szCs w:val="22"/>
          <w:lang w:eastAsia="en-GB"/>
          <w14:ligatures w14:val="none"/>
        </w:rPr>
        <w:t>ICD-11 for Mortality and Morbidity Statistics</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Who.int</w:t>
      </w:r>
      <w:r w:rsidRPr="00C572B2">
        <w:rPr>
          <w:rFonts w:ascii="Arial" w:eastAsia="Times New Roman" w:hAnsi="Arial" w:cs="Arial"/>
          <w:sz w:val="22"/>
          <w:szCs w:val="22"/>
          <w:lang w:eastAsia="en-GB"/>
          <w14:ligatures w14:val="none"/>
        </w:rPr>
        <w:t xml:space="preserve">. Available at: </w:t>
      </w:r>
      <w:hyperlink r:id="rId21" w:anchor="263852475" w:history="1">
        <w:r w:rsidRPr="00C572B2">
          <w:rPr>
            <w:rStyle w:val="Hyperlink"/>
            <w:rFonts w:ascii="Arial" w:eastAsia="Times New Roman" w:hAnsi="Arial" w:cs="Arial"/>
            <w:sz w:val="22"/>
            <w:szCs w:val="22"/>
            <w:lang w:eastAsia="en-GB"/>
            <w14:ligatures w14:val="none"/>
          </w:rPr>
          <w:t>https://icd.who.int/browse/2026-01/mms/en#263852475</w:t>
        </w:r>
      </w:hyperlink>
      <w:r w:rsidRPr="00C572B2">
        <w:rPr>
          <w:rFonts w:ascii="Arial" w:eastAsia="Times New Roman" w:hAnsi="Arial" w:cs="Arial"/>
          <w:sz w:val="22"/>
          <w:szCs w:val="22"/>
          <w:lang w:eastAsia="en-GB"/>
          <w14:ligatures w14:val="none"/>
        </w:rPr>
        <w:t xml:space="preserve">  (Accessed: July 14, 2026).</w:t>
      </w:r>
    </w:p>
    <w:p w14:paraId="7BE6FC5A" w14:textId="16741EA4"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Kalm, L.M. and Semba, R.D. (2005) “They Starved So That Others Be Better Fed: Remembering Ancel Keys and the Minnesota Experiment,” </w:t>
      </w:r>
      <w:r w:rsidRPr="00C572B2">
        <w:rPr>
          <w:rFonts w:ascii="Arial" w:eastAsia="Times New Roman" w:hAnsi="Arial" w:cs="Arial"/>
          <w:i/>
          <w:iCs/>
          <w:sz w:val="22"/>
          <w:szCs w:val="22"/>
          <w:lang w:eastAsia="en-GB"/>
          <w14:ligatures w14:val="none"/>
        </w:rPr>
        <w:t>The Journal of Nutrition</w:t>
      </w:r>
      <w:r w:rsidRPr="00C572B2">
        <w:rPr>
          <w:rFonts w:ascii="Arial" w:eastAsia="Times New Roman" w:hAnsi="Arial" w:cs="Arial"/>
          <w:sz w:val="22"/>
          <w:szCs w:val="22"/>
          <w:lang w:eastAsia="en-GB"/>
          <w14:ligatures w14:val="none"/>
        </w:rPr>
        <w:t xml:space="preserve">, 135(6), pp. 1347–1352. Available at: </w:t>
      </w:r>
      <w:hyperlink r:id="rId22" w:history="1">
        <w:r w:rsidRPr="00C572B2">
          <w:rPr>
            <w:rStyle w:val="Hyperlink"/>
            <w:rFonts w:ascii="Arial" w:eastAsia="Times New Roman" w:hAnsi="Arial" w:cs="Arial"/>
            <w:sz w:val="22"/>
            <w:szCs w:val="22"/>
            <w:lang w:eastAsia="en-GB"/>
            <w14:ligatures w14:val="none"/>
          </w:rPr>
          <w:t>https://doi.org/10.1093/jn/135.6.1347</w:t>
        </w:r>
      </w:hyperlink>
      <w:r w:rsidRPr="00C572B2">
        <w:rPr>
          <w:rFonts w:ascii="Arial" w:eastAsia="Times New Roman" w:hAnsi="Arial" w:cs="Arial"/>
          <w:sz w:val="22"/>
          <w:szCs w:val="22"/>
          <w:lang w:eastAsia="en-GB"/>
          <w14:ligatures w14:val="none"/>
        </w:rPr>
        <w:t xml:space="preserve">. </w:t>
      </w:r>
    </w:p>
    <w:p w14:paraId="676C0992" w14:textId="0A6CC04C"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Kass, A.E., Kolko, R.P. and Wilfley, D.E. (2013) “Psychological treatments for eating disorders,” </w:t>
      </w:r>
      <w:r w:rsidRPr="00C572B2">
        <w:rPr>
          <w:rFonts w:ascii="Arial" w:eastAsia="Times New Roman" w:hAnsi="Arial" w:cs="Arial"/>
          <w:i/>
          <w:iCs/>
          <w:sz w:val="22"/>
          <w:szCs w:val="22"/>
          <w:lang w:eastAsia="en-GB"/>
          <w14:ligatures w14:val="none"/>
        </w:rPr>
        <w:t>Current Opinion in Psychiatry</w:t>
      </w:r>
      <w:r w:rsidRPr="00C572B2">
        <w:rPr>
          <w:rFonts w:ascii="Arial" w:eastAsia="Times New Roman" w:hAnsi="Arial" w:cs="Arial"/>
          <w:sz w:val="22"/>
          <w:szCs w:val="22"/>
          <w:lang w:eastAsia="en-GB"/>
          <w14:ligatures w14:val="none"/>
        </w:rPr>
        <w:t xml:space="preserve">, 26(6), pp. 549–555. Available at: </w:t>
      </w:r>
      <w:hyperlink r:id="rId23" w:history="1">
        <w:r w:rsidRPr="00C572B2">
          <w:rPr>
            <w:rStyle w:val="Hyperlink"/>
            <w:rFonts w:ascii="Arial" w:eastAsia="Times New Roman" w:hAnsi="Arial" w:cs="Arial"/>
            <w:sz w:val="22"/>
            <w:szCs w:val="22"/>
            <w:lang w:eastAsia="en-GB"/>
            <w14:ligatures w14:val="none"/>
          </w:rPr>
          <w:t>https://doi.org/10.1097/yco.0b013e328365a30e</w:t>
        </w:r>
      </w:hyperlink>
      <w:r w:rsidRPr="00C572B2">
        <w:rPr>
          <w:rFonts w:ascii="Arial" w:eastAsia="Times New Roman" w:hAnsi="Arial" w:cs="Arial"/>
          <w:sz w:val="22"/>
          <w:szCs w:val="22"/>
          <w:lang w:eastAsia="en-GB"/>
          <w14:ligatures w14:val="none"/>
        </w:rPr>
        <w:t xml:space="preserve">. </w:t>
      </w:r>
    </w:p>
    <w:p w14:paraId="36B81010" w14:textId="4D1C48F9"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Kazdin, A.E., Fitzsimmons-Craft, E.E. and Wilfley, D.E. (2017) “Addressing critical gaps in the treatment of eating disorders,” </w:t>
      </w:r>
      <w:r w:rsidRPr="00C572B2">
        <w:rPr>
          <w:rFonts w:ascii="Arial" w:eastAsia="Times New Roman" w:hAnsi="Arial" w:cs="Arial"/>
          <w:i/>
          <w:iCs/>
          <w:sz w:val="22"/>
          <w:szCs w:val="22"/>
          <w:lang w:eastAsia="en-GB"/>
          <w14:ligatures w14:val="none"/>
        </w:rPr>
        <w:t>International Journal of Eating Disorders</w:t>
      </w:r>
      <w:r w:rsidRPr="00C572B2">
        <w:rPr>
          <w:rFonts w:ascii="Arial" w:eastAsia="Times New Roman" w:hAnsi="Arial" w:cs="Arial"/>
          <w:sz w:val="22"/>
          <w:szCs w:val="22"/>
          <w:lang w:eastAsia="en-GB"/>
          <w14:ligatures w14:val="none"/>
        </w:rPr>
        <w:t xml:space="preserve">, 50(3), pp. 170–189. Available at: </w:t>
      </w:r>
      <w:hyperlink r:id="rId24" w:history="1">
        <w:r w:rsidRPr="00C572B2">
          <w:rPr>
            <w:rStyle w:val="Hyperlink"/>
            <w:rFonts w:ascii="Arial" w:eastAsia="Times New Roman" w:hAnsi="Arial" w:cs="Arial"/>
            <w:sz w:val="22"/>
            <w:szCs w:val="22"/>
            <w:lang w:eastAsia="en-GB"/>
            <w14:ligatures w14:val="none"/>
          </w:rPr>
          <w:t>https://doi.org/10.1002/eat.22670</w:t>
        </w:r>
      </w:hyperlink>
      <w:r w:rsidRPr="00C572B2">
        <w:rPr>
          <w:rFonts w:ascii="Arial" w:eastAsia="Times New Roman" w:hAnsi="Arial" w:cs="Arial"/>
          <w:sz w:val="22"/>
          <w:szCs w:val="22"/>
          <w:lang w:eastAsia="en-GB"/>
          <w14:ligatures w14:val="none"/>
        </w:rPr>
        <w:t xml:space="preserve">. </w:t>
      </w:r>
    </w:p>
    <w:p w14:paraId="4E4D107A" w14:textId="256C8075"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Klein, D.A., Sylvester, J.E. and Schvey, N.A. (2021) “Eating Disorders in Primary Care: Diagnosis and Management,” </w:t>
      </w:r>
      <w:r w:rsidRPr="00C572B2">
        <w:rPr>
          <w:rFonts w:ascii="Arial" w:eastAsia="Times New Roman" w:hAnsi="Arial" w:cs="Arial"/>
          <w:i/>
          <w:iCs/>
          <w:sz w:val="22"/>
          <w:szCs w:val="22"/>
          <w:lang w:eastAsia="en-GB"/>
          <w14:ligatures w14:val="none"/>
        </w:rPr>
        <w:t>American Family Physician</w:t>
      </w:r>
      <w:r w:rsidRPr="00C572B2">
        <w:rPr>
          <w:rFonts w:ascii="Arial" w:eastAsia="Times New Roman" w:hAnsi="Arial" w:cs="Arial"/>
          <w:sz w:val="22"/>
          <w:szCs w:val="22"/>
          <w:lang w:eastAsia="en-GB"/>
          <w14:ligatures w14:val="none"/>
        </w:rPr>
        <w:t xml:space="preserve">, 103(1), pp. 22–32. Available at: </w:t>
      </w:r>
      <w:hyperlink r:id="rId25" w:history="1">
        <w:r w:rsidRPr="00C572B2">
          <w:rPr>
            <w:rStyle w:val="Hyperlink"/>
            <w:rFonts w:ascii="Arial" w:eastAsia="Times New Roman" w:hAnsi="Arial" w:cs="Arial"/>
            <w:sz w:val="22"/>
            <w:szCs w:val="22"/>
            <w:lang w:eastAsia="en-GB"/>
            <w14:ligatures w14:val="none"/>
          </w:rPr>
          <w:t>https://www.aafp.org/afp/2021/0101/p22</w:t>
        </w:r>
      </w:hyperlink>
      <w:r w:rsidRPr="00C572B2">
        <w:rPr>
          <w:rFonts w:ascii="Arial" w:eastAsia="Times New Roman" w:hAnsi="Arial" w:cs="Arial"/>
          <w:sz w:val="22"/>
          <w:szCs w:val="22"/>
          <w:lang w:eastAsia="en-GB"/>
          <w14:ligatures w14:val="none"/>
        </w:rPr>
        <w:t xml:space="preserve">  (Accessed: July 15, 2026).</w:t>
      </w:r>
    </w:p>
    <w:p w14:paraId="7D7DE9EA" w14:textId="07C59526"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lastRenderedPageBreak/>
        <w:t xml:space="preserve">Minot, D. (1970) </w:t>
      </w:r>
      <w:r w:rsidRPr="00C572B2">
        <w:rPr>
          <w:rFonts w:ascii="Arial" w:eastAsia="Times New Roman" w:hAnsi="Arial" w:cs="Arial"/>
          <w:i/>
          <w:iCs/>
          <w:sz w:val="22"/>
          <w:szCs w:val="22"/>
          <w:lang w:eastAsia="en-GB"/>
          <w14:ligatures w14:val="none"/>
        </w:rPr>
        <w:t>Current Trends and Controversies in the Treatment of Eating Disorders</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Behavioral Health News</w:t>
      </w:r>
      <w:r w:rsidRPr="00C572B2">
        <w:rPr>
          <w:rFonts w:ascii="Arial" w:eastAsia="Times New Roman" w:hAnsi="Arial" w:cs="Arial"/>
          <w:sz w:val="22"/>
          <w:szCs w:val="22"/>
          <w:lang w:eastAsia="en-GB"/>
          <w14:ligatures w14:val="none"/>
        </w:rPr>
        <w:t xml:space="preserve">. Available at: </w:t>
      </w:r>
      <w:hyperlink r:id="rId26" w:history="1">
        <w:r w:rsidRPr="00C572B2">
          <w:rPr>
            <w:rStyle w:val="Hyperlink"/>
            <w:rFonts w:ascii="Arial" w:eastAsia="Times New Roman" w:hAnsi="Arial" w:cs="Arial"/>
            <w:sz w:val="22"/>
            <w:szCs w:val="22"/>
            <w:lang w:eastAsia="en-GB"/>
            <w14:ligatures w14:val="none"/>
          </w:rPr>
          <w:t>https://behavioralhealthnews.org/current-trends-and-controversies-in-the-treatment-of-eating-disorders/</w:t>
        </w:r>
      </w:hyperlink>
      <w:r w:rsidRPr="00C572B2">
        <w:rPr>
          <w:rFonts w:ascii="Arial" w:eastAsia="Times New Roman" w:hAnsi="Arial" w:cs="Arial"/>
          <w:sz w:val="22"/>
          <w:szCs w:val="22"/>
          <w:lang w:eastAsia="en-GB"/>
          <w14:ligatures w14:val="none"/>
        </w:rPr>
        <w:t xml:space="preserve">  (Accessed: July 15, 2026).</w:t>
      </w:r>
    </w:p>
    <w:p w14:paraId="6283AECA" w14:textId="37EFFF0C"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Munro, C., Randell, L. and Lawrie, S.M. (2017) “An Integrative Bio-Psycho-Social Theory of Anorexia Nervosa,” </w:t>
      </w:r>
      <w:r w:rsidRPr="00C572B2">
        <w:rPr>
          <w:rFonts w:ascii="Arial" w:eastAsia="Times New Roman" w:hAnsi="Arial" w:cs="Arial"/>
          <w:i/>
          <w:iCs/>
          <w:sz w:val="22"/>
          <w:szCs w:val="22"/>
          <w:lang w:eastAsia="en-GB"/>
          <w14:ligatures w14:val="none"/>
        </w:rPr>
        <w:t>Clinical Psychology &amp; Psychotherapy</w:t>
      </w:r>
      <w:r w:rsidRPr="00C572B2">
        <w:rPr>
          <w:rFonts w:ascii="Arial" w:eastAsia="Times New Roman" w:hAnsi="Arial" w:cs="Arial"/>
          <w:sz w:val="22"/>
          <w:szCs w:val="22"/>
          <w:lang w:eastAsia="en-GB"/>
          <w14:ligatures w14:val="none"/>
        </w:rPr>
        <w:t xml:space="preserve">, 24(1), pp. 1–21. Available at: </w:t>
      </w:r>
      <w:hyperlink r:id="rId27" w:history="1">
        <w:r w:rsidRPr="00C572B2">
          <w:rPr>
            <w:rStyle w:val="Hyperlink"/>
            <w:rFonts w:ascii="Arial" w:eastAsia="Times New Roman" w:hAnsi="Arial" w:cs="Arial"/>
            <w:sz w:val="22"/>
            <w:szCs w:val="22"/>
            <w:lang w:eastAsia="en-GB"/>
            <w14:ligatures w14:val="none"/>
          </w:rPr>
          <w:t>https://doi.org/10.1002/cpp.2047</w:t>
        </w:r>
      </w:hyperlink>
      <w:r w:rsidRPr="00C572B2">
        <w:rPr>
          <w:rFonts w:ascii="Arial" w:eastAsia="Times New Roman" w:hAnsi="Arial" w:cs="Arial"/>
          <w:sz w:val="22"/>
          <w:szCs w:val="22"/>
          <w:lang w:eastAsia="en-GB"/>
          <w14:ligatures w14:val="none"/>
        </w:rPr>
        <w:t xml:space="preserve">. </w:t>
      </w:r>
    </w:p>
    <w:p w14:paraId="70D57417" w14:textId="476A6D86"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Muratore, A.F. and Attia, E. (2021) “Current therapeutic approaches to anorexia nervosa: State of the art,” </w:t>
      </w:r>
      <w:r w:rsidRPr="00C572B2">
        <w:rPr>
          <w:rFonts w:ascii="Arial" w:eastAsia="Times New Roman" w:hAnsi="Arial" w:cs="Arial"/>
          <w:i/>
          <w:iCs/>
          <w:sz w:val="22"/>
          <w:szCs w:val="22"/>
          <w:lang w:eastAsia="en-GB"/>
          <w14:ligatures w14:val="none"/>
        </w:rPr>
        <w:t>Clinical Therapeutics</w:t>
      </w:r>
      <w:r w:rsidRPr="00C572B2">
        <w:rPr>
          <w:rFonts w:ascii="Arial" w:eastAsia="Times New Roman" w:hAnsi="Arial" w:cs="Arial"/>
          <w:sz w:val="22"/>
          <w:szCs w:val="22"/>
          <w:lang w:eastAsia="en-GB"/>
          <w14:ligatures w14:val="none"/>
        </w:rPr>
        <w:t xml:space="preserve">, 43(1). Available at: </w:t>
      </w:r>
      <w:hyperlink r:id="rId28" w:history="1">
        <w:r w:rsidRPr="00C572B2">
          <w:rPr>
            <w:rStyle w:val="Hyperlink"/>
            <w:rFonts w:ascii="Arial" w:eastAsia="Times New Roman" w:hAnsi="Arial" w:cs="Arial"/>
            <w:sz w:val="22"/>
            <w:szCs w:val="22"/>
            <w:lang w:eastAsia="en-GB"/>
            <w14:ligatures w14:val="none"/>
          </w:rPr>
          <w:t>https://doi.org/10.1016/j.clinthera.2020.11.006</w:t>
        </w:r>
      </w:hyperlink>
      <w:r w:rsidRPr="00C572B2">
        <w:rPr>
          <w:rFonts w:ascii="Arial" w:eastAsia="Times New Roman" w:hAnsi="Arial" w:cs="Arial"/>
          <w:sz w:val="22"/>
          <w:szCs w:val="22"/>
          <w:lang w:eastAsia="en-GB"/>
          <w14:ligatures w14:val="none"/>
        </w:rPr>
        <w:t xml:space="preserve">. </w:t>
      </w:r>
    </w:p>
    <w:p w14:paraId="47D38819" w14:textId="3495AA10" w:rsidR="003F097A" w:rsidRPr="00C572B2" w:rsidRDefault="003F097A" w:rsidP="00F55009">
      <w:pPr>
        <w:spacing w:after="240" w:line="360" w:lineRule="auto"/>
        <w:rPr>
          <w:rFonts w:ascii="Arial" w:eastAsia="Times New Roman" w:hAnsi="Arial" w:cs="Arial"/>
          <w:sz w:val="22"/>
          <w:szCs w:val="22"/>
          <w:lang w:eastAsia="en-GB"/>
          <w14:ligatures w14:val="none"/>
        </w:rPr>
      </w:pPr>
      <w:r w:rsidRPr="001A37AB">
        <w:rPr>
          <w:rFonts w:ascii="Arial" w:eastAsia="Times New Roman" w:hAnsi="Arial" w:cs="Arial"/>
          <w:sz w:val="22"/>
          <w:szCs w:val="22"/>
          <w:lang w:val="fr-FR" w:eastAsia="en-GB"/>
          <w14:ligatures w14:val="none"/>
        </w:rPr>
        <w:t xml:space="preserve">Murray, S.B. </w:t>
      </w:r>
      <w:r w:rsidRPr="001A37AB">
        <w:rPr>
          <w:rFonts w:ascii="Arial" w:eastAsia="Times New Roman" w:hAnsi="Arial" w:cs="Arial"/>
          <w:i/>
          <w:iCs/>
          <w:sz w:val="22"/>
          <w:szCs w:val="22"/>
          <w:lang w:val="fr-FR" w:eastAsia="en-GB"/>
          <w14:ligatures w14:val="none"/>
        </w:rPr>
        <w:t>et al.</w:t>
      </w:r>
      <w:r w:rsidRPr="001A37AB">
        <w:rPr>
          <w:rFonts w:ascii="Arial" w:eastAsia="Times New Roman" w:hAnsi="Arial" w:cs="Arial"/>
          <w:sz w:val="22"/>
          <w:szCs w:val="22"/>
          <w:lang w:val="fr-FR" w:eastAsia="en-GB"/>
          <w14:ligatures w14:val="none"/>
        </w:rPr>
        <w:t xml:space="preserve"> </w:t>
      </w:r>
      <w:r w:rsidRPr="00C572B2">
        <w:rPr>
          <w:rFonts w:ascii="Arial" w:eastAsia="Times New Roman" w:hAnsi="Arial" w:cs="Arial"/>
          <w:sz w:val="22"/>
          <w:szCs w:val="22"/>
          <w:lang w:eastAsia="en-GB"/>
          <w14:ligatures w14:val="none"/>
        </w:rPr>
        <w:t xml:space="preserve">(2020) “Neurosurgery and neuromodulation for anorexia nervosa in the 21st century: A systematic review of treatment outcomes,” </w:t>
      </w:r>
      <w:r w:rsidRPr="00C572B2">
        <w:rPr>
          <w:rFonts w:ascii="Arial" w:eastAsia="Times New Roman" w:hAnsi="Arial" w:cs="Arial"/>
          <w:i/>
          <w:iCs/>
          <w:sz w:val="22"/>
          <w:szCs w:val="22"/>
          <w:lang w:eastAsia="en-GB"/>
          <w14:ligatures w14:val="none"/>
        </w:rPr>
        <w:t>Eating Disorders</w:t>
      </w:r>
      <w:r w:rsidRPr="00C572B2">
        <w:rPr>
          <w:rFonts w:ascii="Arial" w:eastAsia="Times New Roman" w:hAnsi="Arial" w:cs="Arial"/>
          <w:sz w:val="22"/>
          <w:szCs w:val="22"/>
          <w:lang w:eastAsia="en-GB"/>
          <w14:ligatures w14:val="none"/>
        </w:rPr>
        <w:t xml:space="preserve">, pp. 1–28. Available at: </w:t>
      </w:r>
      <w:hyperlink r:id="rId29" w:history="1">
        <w:r w:rsidRPr="00C572B2">
          <w:rPr>
            <w:rStyle w:val="Hyperlink"/>
            <w:rFonts w:ascii="Arial" w:eastAsia="Times New Roman" w:hAnsi="Arial" w:cs="Arial"/>
            <w:sz w:val="22"/>
            <w:szCs w:val="22"/>
            <w:lang w:eastAsia="en-GB"/>
            <w14:ligatures w14:val="none"/>
          </w:rPr>
          <w:t>https://doi.org/10.1080/10640266.2020.1790270</w:t>
        </w:r>
      </w:hyperlink>
      <w:r w:rsidRPr="00C572B2">
        <w:rPr>
          <w:rFonts w:ascii="Arial" w:eastAsia="Times New Roman" w:hAnsi="Arial" w:cs="Arial"/>
          <w:sz w:val="22"/>
          <w:szCs w:val="22"/>
          <w:lang w:eastAsia="en-GB"/>
          <w14:ligatures w14:val="none"/>
        </w:rPr>
        <w:t xml:space="preserve">. </w:t>
      </w:r>
    </w:p>
    <w:p w14:paraId="6DBE40FE" w14:textId="63601CAF"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National Institute of Mental Health (2024) </w:t>
      </w:r>
      <w:r w:rsidRPr="00C572B2">
        <w:rPr>
          <w:rFonts w:ascii="Arial" w:eastAsia="Times New Roman" w:hAnsi="Arial" w:cs="Arial"/>
          <w:i/>
          <w:iCs/>
          <w:sz w:val="22"/>
          <w:szCs w:val="22"/>
          <w:lang w:eastAsia="en-GB"/>
          <w14:ligatures w14:val="none"/>
        </w:rPr>
        <w:t>Eating disorders</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Www.nimh.nih.gov</w:t>
      </w:r>
      <w:r w:rsidRPr="00C572B2">
        <w:rPr>
          <w:rFonts w:ascii="Arial" w:eastAsia="Times New Roman" w:hAnsi="Arial" w:cs="Arial"/>
          <w:sz w:val="22"/>
          <w:szCs w:val="22"/>
          <w:lang w:eastAsia="en-GB"/>
          <w14:ligatures w14:val="none"/>
        </w:rPr>
        <w:t xml:space="preserve">. National Institute of Mental Health. Available at: </w:t>
      </w:r>
      <w:hyperlink r:id="rId30" w:history="1">
        <w:r w:rsidRPr="00C572B2">
          <w:rPr>
            <w:rStyle w:val="Hyperlink"/>
            <w:rFonts w:ascii="Arial" w:eastAsia="Times New Roman" w:hAnsi="Arial" w:cs="Arial"/>
            <w:sz w:val="22"/>
            <w:szCs w:val="22"/>
            <w:lang w:eastAsia="en-GB"/>
            <w14:ligatures w14:val="none"/>
          </w:rPr>
          <w:t>https://www.nimh.nih.gov/health/topics/eating-disorders</w:t>
        </w:r>
      </w:hyperlink>
      <w:r w:rsidRPr="00C572B2">
        <w:rPr>
          <w:rFonts w:ascii="Arial" w:eastAsia="Times New Roman" w:hAnsi="Arial" w:cs="Arial"/>
          <w:sz w:val="22"/>
          <w:szCs w:val="22"/>
          <w:lang w:eastAsia="en-GB"/>
          <w14:ligatures w14:val="none"/>
        </w:rPr>
        <w:t xml:space="preserve">  (Accessed: July 14, 2026).</w:t>
      </w:r>
    </w:p>
    <w:p w14:paraId="36D0410B" w14:textId="4C9B8C1C"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NHS (2021) </w:t>
      </w:r>
      <w:r w:rsidRPr="00C572B2">
        <w:rPr>
          <w:rFonts w:ascii="Arial" w:eastAsia="Times New Roman" w:hAnsi="Arial" w:cs="Arial"/>
          <w:i/>
          <w:iCs/>
          <w:sz w:val="22"/>
          <w:szCs w:val="22"/>
          <w:lang w:eastAsia="en-GB"/>
          <w14:ligatures w14:val="none"/>
        </w:rPr>
        <w:t>Treatment - anorexia</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Nhs.uk</w:t>
      </w:r>
      <w:r w:rsidRPr="00C572B2">
        <w:rPr>
          <w:rFonts w:ascii="Arial" w:eastAsia="Times New Roman" w:hAnsi="Arial" w:cs="Arial"/>
          <w:sz w:val="22"/>
          <w:szCs w:val="22"/>
          <w:lang w:eastAsia="en-GB"/>
          <w14:ligatures w14:val="none"/>
        </w:rPr>
        <w:t xml:space="preserve">. Available at: </w:t>
      </w:r>
      <w:hyperlink r:id="rId31" w:history="1">
        <w:r w:rsidRPr="00C572B2">
          <w:rPr>
            <w:rStyle w:val="Hyperlink"/>
            <w:rFonts w:ascii="Arial" w:eastAsia="Times New Roman" w:hAnsi="Arial" w:cs="Arial"/>
            <w:sz w:val="22"/>
            <w:szCs w:val="22"/>
            <w:lang w:eastAsia="en-GB"/>
            <w14:ligatures w14:val="none"/>
          </w:rPr>
          <w:t>https://www.nhs.uk/mental-health/conditions/anorexia/treatment/</w:t>
        </w:r>
      </w:hyperlink>
      <w:r w:rsidRPr="00C572B2">
        <w:rPr>
          <w:rFonts w:ascii="Arial" w:eastAsia="Times New Roman" w:hAnsi="Arial" w:cs="Arial"/>
          <w:sz w:val="22"/>
          <w:szCs w:val="22"/>
          <w:lang w:eastAsia="en-GB"/>
          <w14:ligatures w14:val="none"/>
        </w:rPr>
        <w:t xml:space="preserve">  (Accessed: July 15, 2026).</w:t>
      </w:r>
    </w:p>
    <w:p w14:paraId="6E5C04B5" w14:textId="6FB9BC3A"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NHS (2024) </w:t>
      </w:r>
      <w:r w:rsidRPr="00C572B2">
        <w:rPr>
          <w:rFonts w:ascii="Arial" w:eastAsia="Times New Roman" w:hAnsi="Arial" w:cs="Arial"/>
          <w:i/>
          <w:iCs/>
          <w:sz w:val="22"/>
          <w:szCs w:val="22"/>
          <w:lang w:eastAsia="en-GB"/>
          <w14:ligatures w14:val="none"/>
        </w:rPr>
        <w:t>Overview - Anorexia</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Nhs.uk</w:t>
      </w:r>
      <w:r w:rsidRPr="00C572B2">
        <w:rPr>
          <w:rFonts w:ascii="Arial" w:eastAsia="Times New Roman" w:hAnsi="Arial" w:cs="Arial"/>
          <w:sz w:val="22"/>
          <w:szCs w:val="22"/>
          <w:lang w:eastAsia="en-GB"/>
          <w14:ligatures w14:val="none"/>
        </w:rPr>
        <w:t xml:space="preserve">. NHS. Available at: </w:t>
      </w:r>
      <w:hyperlink r:id="rId32" w:history="1">
        <w:r w:rsidRPr="00C572B2">
          <w:rPr>
            <w:rStyle w:val="Hyperlink"/>
            <w:rFonts w:ascii="Arial" w:eastAsia="Times New Roman" w:hAnsi="Arial" w:cs="Arial"/>
            <w:sz w:val="22"/>
            <w:szCs w:val="22"/>
            <w:lang w:eastAsia="en-GB"/>
            <w14:ligatures w14:val="none"/>
          </w:rPr>
          <w:t>https://www.nhs.uk/mental-health/conditions/anorexia/overview/</w:t>
        </w:r>
      </w:hyperlink>
      <w:r w:rsidRPr="00C572B2">
        <w:rPr>
          <w:rFonts w:ascii="Arial" w:eastAsia="Times New Roman" w:hAnsi="Arial" w:cs="Arial"/>
          <w:sz w:val="22"/>
          <w:szCs w:val="22"/>
          <w:lang w:eastAsia="en-GB"/>
          <w14:ligatures w14:val="none"/>
        </w:rPr>
        <w:t xml:space="preserve">  (Accessed: July 14, 2026).</w:t>
      </w:r>
    </w:p>
    <w:p w14:paraId="5B2D790E" w14:textId="78B3E1F4"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NICE (2017) </w:t>
      </w:r>
      <w:r w:rsidRPr="00C572B2">
        <w:rPr>
          <w:rFonts w:ascii="Arial" w:eastAsia="Times New Roman" w:hAnsi="Arial" w:cs="Arial"/>
          <w:i/>
          <w:iCs/>
          <w:sz w:val="22"/>
          <w:szCs w:val="22"/>
          <w:lang w:eastAsia="en-GB"/>
          <w14:ligatures w14:val="none"/>
        </w:rPr>
        <w:t>Overview | Eating disorders: Recognition and Treatment | Guidance | NICE</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Nice.org.uk</w:t>
      </w:r>
      <w:r w:rsidRPr="00C572B2">
        <w:rPr>
          <w:rFonts w:ascii="Arial" w:eastAsia="Times New Roman" w:hAnsi="Arial" w:cs="Arial"/>
          <w:sz w:val="22"/>
          <w:szCs w:val="22"/>
          <w:lang w:eastAsia="en-GB"/>
          <w14:ligatures w14:val="none"/>
        </w:rPr>
        <w:t xml:space="preserve">. NICE. Available at: </w:t>
      </w:r>
      <w:hyperlink r:id="rId33" w:history="1">
        <w:r w:rsidRPr="00C572B2">
          <w:rPr>
            <w:rStyle w:val="Hyperlink"/>
            <w:rFonts w:ascii="Arial" w:eastAsia="Times New Roman" w:hAnsi="Arial" w:cs="Arial"/>
            <w:sz w:val="22"/>
            <w:szCs w:val="22"/>
            <w:lang w:eastAsia="en-GB"/>
            <w14:ligatures w14:val="none"/>
          </w:rPr>
          <w:t>https://www.nice.org.uk/guidance/ng69</w:t>
        </w:r>
      </w:hyperlink>
      <w:r w:rsidRPr="00C572B2">
        <w:rPr>
          <w:rFonts w:ascii="Arial" w:eastAsia="Times New Roman" w:hAnsi="Arial" w:cs="Arial"/>
          <w:sz w:val="22"/>
          <w:szCs w:val="22"/>
          <w:lang w:eastAsia="en-GB"/>
          <w14:ligatures w14:val="none"/>
        </w:rPr>
        <w:t xml:space="preserve">  (Accessed: July 15, 2026).</w:t>
      </w:r>
    </w:p>
    <w:p w14:paraId="7A89FE1A" w14:textId="1574683C" w:rsidR="003F097A" w:rsidRPr="001A37AB" w:rsidRDefault="003F097A" w:rsidP="00F55009">
      <w:pPr>
        <w:spacing w:after="240" w:line="360" w:lineRule="auto"/>
        <w:rPr>
          <w:rFonts w:ascii="Arial" w:eastAsia="Times New Roman" w:hAnsi="Arial" w:cs="Arial"/>
          <w:sz w:val="22"/>
          <w:szCs w:val="22"/>
          <w:lang w:val="fr-FR" w:eastAsia="en-GB"/>
          <w14:ligatures w14:val="none"/>
        </w:rPr>
      </w:pPr>
      <w:r w:rsidRPr="00C572B2">
        <w:rPr>
          <w:rFonts w:ascii="Arial" w:eastAsia="Times New Roman" w:hAnsi="Arial" w:cs="Arial"/>
          <w:sz w:val="22"/>
          <w:szCs w:val="22"/>
          <w:lang w:eastAsia="en-GB"/>
          <w14:ligatures w14:val="none"/>
        </w:rPr>
        <w:t xml:space="preserve">Petkova, H. </w:t>
      </w:r>
      <w:r w:rsidRPr="00C572B2">
        <w:rPr>
          <w:rFonts w:ascii="Arial" w:eastAsia="Times New Roman" w:hAnsi="Arial" w:cs="Arial"/>
          <w:i/>
          <w:iCs/>
          <w:sz w:val="22"/>
          <w:szCs w:val="22"/>
          <w:lang w:eastAsia="en-GB"/>
          <w14:ligatures w14:val="none"/>
        </w:rPr>
        <w:t>et al.</w:t>
      </w:r>
      <w:r w:rsidRPr="00C572B2">
        <w:rPr>
          <w:rFonts w:ascii="Arial" w:eastAsia="Times New Roman" w:hAnsi="Arial" w:cs="Arial"/>
          <w:sz w:val="22"/>
          <w:szCs w:val="22"/>
          <w:lang w:eastAsia="en-GB"/>
          <w14:ligatures w14:val="none"/>
        </w:rPr>
        <w:t xml:space="preserve"> (2019) “Incidence of anorexia nervosa in young people in the UK and Ireland: A national surveillance study,” </w:t>
      </w:r>
      <w:r w:rsidRPr="00C572B2">
        <w:rPr>
          <w:rFonts w:ascii="Arial" w:eastAsia="Times New Roman" w:hAnsi="Arial" w:cs="Arial"/>
          <w:i/>
          <w:iCs/>
          <w:sz w:val="22"/>
          <w:szCs w:val="22"/>
          <w:lang w:eastAsia="en-GB"/>
          <w14:ligatures w14:val="none"/>
        </w:rPr>
        <w:t>BMJ Open</w:t>
      </w:r>
      <w:r w:rsidRPr="00C572B2">
        <w:rPr>
          <w:rFonts w:ascii="Arial" w:eastAsia="Times New Roman" w:hAnsi="Arial" w:cs="Arial"/>
          <w:sz w:val="22"/>
          <w:szCs w:val="22"/>
          <w:lang w:eastAsia="en-GB"/>
          <w14:ligatures w14:val="none"/>
        </w:rPr>
        <w:t xml:space="preserve">, 9(10), p. e027339. </w:t>
      </w:r>
      <w:r w:rsidRPr="001A37AB">
        <w:rPr>
          <w:rFonts w:ascii="Arial" w:eastAsia="Times New Roman" w:hAnsi="Arial" w:cs="Arial"/>
          <w:sz w:val="22"/>
          <w:szCs w:val="22"/>
          <w:lang w:val="fr-FR" w:eastAsia="en-GB"/>
          <w14:ligatures w14:val="none"/>
        </w:rPr>
        <w:t xml:space="preserve">Available at: </w:t>
      </w:r>
      <w:hyperlink r:id="rId34" w:history="1">
        <w:r w:rsidRPr="001A37AB">
          <w:rPr>
            <w:rStyle w:val="Hyperlink"/>
            <w:rFonts w:ascii="Arial" w:eastAsia="Times New Roman" w:hAnsi="Arial" w:cs="Arial"/>
            <w:sz w:val="22"/>
            <w:szCs w:val="22"/>
            <w:lang w:val="fr-FR" w:eastAsia="en-GB"/>
            <w14:ligatures w14:val="none"/>
          </w:rPr>
          <w:t>https://doi.org/10.1136/bmjopen-2018-027339</w:t>
        </w:r>
      </w:hyperlink>
      <w:r w:rsidRPr="001A37AB">
        <w:rPr>
          <w:rFonts w:ascii="Arial" w:eastAsia="Times New Roman" w:hAnsi="Arial" w:cs="Arial"/>
          <w:sz w:val="22"/>
          <w:szCs w:val="22"/>
          <w:lang w:val="fr-FR" w:eastAsia="en-GB"/>
          <w14:ligatures w14:val="none"/>
        </w:rPr>
        <w:t xml:space="preserve">. </w:t>
      </w:r>
    </w:p>
    <w:p w14:paraId="1AE61A7E" w14:textId="4350F1D3" w:rsidR="003F097A" w:rsidRPr="00C572B2" w:rsidRDefault="003F097A" w:rsidP="00F55009">
      <w:pPr>
        <w:spacing w:after="240" w:line="360" w:lineRule="auto"/>
        <w:rPr>
          <w:rFonts w:ascii="Arial" w:eastAsia="Times New Roman" w:hAnsi="Arial" w:cs="Arial"/>
          <w:sz w:val="22"/>
          <w:szCs w:val="22"/>
          <w:lang w:eastAsia="en-GB"/>
          <w14:ligatures w14:val="none"/>
        </w:rPr>
      </w:pPr>
      <w:r w:rsidRPr="001A37AB">
        <w:rPr>
          <w:rFonts w:ascii="Arial" w:eastAsia="Times New Roman" w:hAnsi="Arial" w:cs="Arial"/>
          <w:sz w:val="22"/>
          <w:szCs w:val="22"/>
          <w:lang w:val="fr-FR" w:eastAsia="en-GB"/>
          <w14:ligatures w14:val="none"/>
        </w:rPr>
        <w:t xml:space="preserve">Phillipou, A. </w:t>
      </w:r>
      <w:r w:rsidRPr="001A37AB">
        <w:rPr>
          <w:rFonts w:ascii="Arial" w:eastAsia="Times New Roman" w:hAnsi="Arial" w:cs="Arial"/>
          <w:i/>
          <w:iCs/>
          <w:sz w:val="22"/>
          <w:szCs w:val="22"/>
          <w:lang w:val="fr-FR" w:eastAsia="en-GB"/>
          <w14:ligatures w14:val="none"/>
        </w:rPr>
        <w:t>et al.</w:t>
      </w:r>
      <w:r w:rsidRPr="001A37AB">
        <w:rPr>
          <w:rFonts w:ascii="Arial" w:eastAsia="Times New Roman" w:hAnsi="Arial" w:cs="Arial"/>
          <w:sz w:val="22"/>
          <w:szCs w:val="22"/>
          <w:lang w:val="fr-FR" w:eastAsia="en-GB"/>
          <w14:ligatures w14:val="none"/>
        </w:rPr>
        <w:t xml:space="preserve"> </w:t>
      </w:r>
      <w:r w:rsidRPr="00C572B2">
        <w:rPr>
          <w:rFonts w:ascii="Arial" w:eastAsia="Times New Roman" w:hAnsi="Arial" w:cs="Arial"/>
          <w:sz w:val="22"/>
          <w:szCs w:val="22"/>
          <w:lang w:eastAsia="en-GB"/>
          <w14:ligatures w14:val="none"/>
        </w:rPr>
        <w:t xml:space="preserve">(2025) “Anorexia Nervosa—Facts, Frustrations, and the Future,” </w:t>
      </w:r>
      <w:r w:rsidRPr="00C572B2">
        <w:rPr>
          <w:rFonts w:ascii="Arial" w:eastAsia="Times New Roman" w:hAnsi="Arial" w:cs="Arial"/>
          <w:i/>
          <w:iCs/>
          <w:sz w:val="22"/>
          <w:szCs w:val="22"/>
          <w:lang w:eastAsia="en-GB"/>
          <w14:ligatures w14:val="none"/>
        </w:rPr>
        <w:t>JAMA Psychiatry</w:t>
      </w:r>
      <w:r w:rsidRPr="00C572B2">
        <w:rPr>
          <w:rFonts w:ascii="Arial" w:eastAsia="Times New Roman" w:hAnsi="Arial" w:cs="Arial"/>
          <w:sz w:val="22"/>
          <w:szCs w:val="22"/>
          <w:lang w:eastAsia="en-GB"/>
          <w14:ligatures w14:val="none"/>
        </w:rPr>
        <w:t xml:space="preserve"> [Preprint]. Available at: </w:t>
      </w:r>
      <w:hyperlink r:id="rId35" w:history="1">
        <w:r w:rsidRPr="00C572B2">
          <w:rPr>
            <w:rStyle w:val="Hyperlink"/>
            <w:rFonts w:ascii="Arial" w:eastAsia="Times New Roman" w:hAnsi="Arial" w:cs="Arial"/>
            <w:sz w:val="22"/>
            <w:szCs w:val="22"/>
            <w:lang w:eastAsia="en-GB"/>
            <w14:ligatures w14:val="none"/>
          </w:rPr>
          <w:t>https://doi.org/10.1001/jamapsychiatry.2025.0812</w:t>
        </w:r>
      </w:hyperlink>
      <w:r w:rsidRPr="00C572B2">
        <w:rPr>
          <w:rFonts w:ascii="Arial" w:eastAsia="Times New Roman" w:hAnsi="Arial" w:cs="Arial"/>
          <w:sz w:val="22"/>
          <w:szCs w:val="22"/>
          <w:lang w:eastAsia="en-GB"/>
          <w14:ligatures w14:val="none"/>
        </w:rPr>
        <w:t xml:space="preserve">. </w:t>
      </w:r>
    </w:p>
    <w:p w14:paraId="08930EBF" w14:textId="090E6A55"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lastRenderedPageBreak/>
        <w:t xml:space="preserve">Powell, T., Harker, R. and Bellis, A. (2018) </w:t>
      </w:r>
      <w:r w:rsidRPr="00C572B2">
        <w:rPr>
          <w:rFonts w:ascii="Arial" w:eastAsia="Times New Roman" w:hAnsi="Arial" w:cs="Arial"/>
          <w:i/>
          <w:iCs/>
          <w:sz w:val="22"/>
          <w:szCs w:val="22"/>
          <w:lang w:eastAsia="en-GB"/>
          <w14:ligatures w14:val="none"/>
        </w:rPr>
        <w:t>Reducing stigma around eating disorders</w:t>
      </w:r>
      <w:r w:rsidRPr="00C572B2">
        <w:rPr>
          <w:rFonts w:ascii="Arial" w:eastAsia="Times New Roman" w:hAnsi="Arial" w:cs="Arial"/>
          <w:sz w:val="22"/>
          <w:szCs w:val="22"/>
          <w:lang w:eastAsia="en-GB"/>
          <w14:ligatures w14:val="none"/>
        </w:rPr>
        <w:t xml:space="preserve">, </w:t>
      </w:r>
      <w:hyperlink r:id="rId36" w:history="1">
        <w:r w:rsidRPr="00C572B2">
          <w:rPr>
            <w:rStyle w:val="Hyperlink"/>
            <w:rFonts w:ascii="Arial" w:eastAsia="Times New Roman" w:hAnsi="Arial" w:cs="Arial"/>
            <w:i/>
            <w:iCs/>
            <w:sz w:val="22"/>
            <w:szCs w:val="22"/>
            <w:lang w:eastAsia="en-GB"/>
            <w14:ligatures w14:val="none"/>
          </w:rPr>
          <w:t>https://researchbriefings.files.parliament.uk/documents/CDP-2018-0220/CDP-2018-0220.pdf</w:t>
        </w:r>
      </w:hyperlink>
      <w:r w:rsidRPr="00C572B2">
        <w:rPr>
          <w:rFonts w:ascii="Arial" w:eastAsia="Times New Roman" w:hAnsi="Arial" w:cs="Arial"/>
          <w:i/>
          <w:iCs/>
          <w:sz w:val="22"/>
          <w:szCs w:val="22"/>
          <w:lang w:eastAsia="en-GB"/>
          <w14:ligatures w14:val="none"/>
        </w:rPr>
        <w:t xml:space="preserve"> </w:t>
      </w:r>
      <w:r w:rsidRPr="00C572B2">
        <w:rPr>
          <w:rFonts w:ascii="Arial" w:eastAsia="Times New Roman" w:hAnsi="Arial" w:cs="Arial"/>
          <w:sz w:val="22"/>
          <w:szCs w:val="22"/>
          <w:lang w:eastAsia="en-GB"/>
          <w14:ligatures w14:val="none"/>
        </w:rPr>
        <w:t xml:space="preserve">.  The House of Commons Library. </w:t>
      </w:r>
    </w:p>
    <w:p w14:paraId="0CA966FE" w14:textId="2B815102"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Simpson, K.J. (2002) “Anorexia Nervosa and Culture,” </w:t>
      </w:r>
      <w:r w:rsidRPr="00C572B2">
        <w:rPr>
          <w:rFonts w:ascii="Arial" w:eastAsia="Times New Roman" w:hAnsi="Arial" w:cs="Arial"/>
          <w:i/>
          <w:iCs/>
          <w:sz w:val="22"/>
          <w:szCs w:val="22"/>
          <w:lang w:eastAsia="en-GB"/>
          <w14:ligatures w14:val="none"/>
        </w:rPr>
        <w:t>Journal of Psychiatric and Mental Health Nursing</w:t>
      </w:r>
      <w:r w:rsidRPr="00C572B2">
        <w:rPr>
          <w:rFonts w:ascii="Arial" w:eastAsia="Times New Roman" w:hAnsi="Arial" w:cs="Arial"/>
          <w:sz w:val="22"/>
          <w:szCs w:val="22"/>
          <w:lang w:eastAsia="en-GB"/>
          <w14:ligatures w14:val="none"/>
        </w:rPr>
        <w:t xml:space="preserve">, 9(1), pp. 65–71. Available at: </w:t>
      </w:r>
      <w:hyperlink r:id="rId37" w:history="1">
        <w:r w:rsidRPr="00C572B2">
          <w:rPr>
            <w:rStyle w:val="Hyperlink"/>
            <w:rFonts w:ascii="Arial" w:eastAsia="Times New Roman" w:hAnsi="Arial" w:cs="Arial"/>
            <w:sz w:val="22"/>
            <w:szCs w:val="22"/>
            <w:lang w:eastAsia="en-GB"/>
            <w14:ligatures w14:val="none"/>
          </w:rPr>
          <w:t>https://doi.org/10.1046/j.1351-0126.2001.00443.x</w:t>
        </w:r>
      </w:hyperlink>
      <w:r w:rsidRPr="00C572B2">
        <w:rPr>
          <w:rFonts w:ascii="Arial" w:eastAsia="Times New Roman" w:hAnsi="Arial" w:cs="Arial"/>
          <w:sz w:val="22"/>
          <w:szCs w:val="22"/>
          <w:lang w:eastAsia="en-GB"/>
          <w14:ligatures w14:val="none"/>
        </w:rPr>
        <w:t xml:space="preserve">. </w:t>
      </w:r>
    </w:p>
    <w:p w14:paraId="59E0DB30" w14:textId="6064F308"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Substance Abuse and Mental Health Services Administration (2016) </w:t>
      </w:r>
      <w:r w:rsidRPr="00C572B2">
        <w:rPr>
          <w:rFonts w:ascii="Arial" w:eastAsia="Times New Roman" w:hAnsi="Arial" w:cs="Arial"/>
          <w:i/>
          <w:iCs/>
          <w:sz w:val="22"/>
          <w:szCs w:val="22"/>
          <w:lang w:eastAsia="en-GB"/>
          <w14:ligatures w14:val="none"/>
        </w:rPr>
        <w:t>Table 19, DSM-IV to DSM-5 Anorexia Nervosa Comparison</w:t>
      </w:r>
      <w:r w:rsidRPr="00C572B2">
        <w:rPr>
          <w:rFonts w:ascii="Arial" w:eastAsia="Times New Roman" w:hAnsi="Arial" w:cs="Arial"/>
          <w:sz w:val="22"/>
          <w:szCs w:val="22"/>
          <w:lang w:eastAsia="en-GB"/>
          <w14:ligatures w14:val="none"/>
        </w:rPr>
        <w:t xml:space="preserve">, </w:t>
      </w:r>
      <w:r w:rsidRPr="00C572B2">
        <w:rPr>
          <w:rFonts w:ascii="Arial" w:eastAsia="Times New Roman" w:hAnsi="Arial" w:cs="Arial"/>
          <w:i/>
          <w:iCs/>
          <w:sz w:val="22"/>
          <w:szCs w:val="22"/>
          <w:lang w:eastAsia="en-GB"/>
          <w14:ligatures w14:val="none"/>
        </w:rPr>
        <w:t>National Library of Medicine</w:t>
      </w:r>
      <w:r w:rsidRPr="00C572B2">
        <w:rPr>
          <w:rFonts w:ascii="Arial" w:eastAsia="Times New Roman" w:hAnsi="Arial" w:cs="Arial"/>
          <w:sz w:val="22"/>
          <w:szCs w:val="22"/>
          <w:lang w:eastAsia="en-GB"/>
          <w14:ligatures w14:val="none"/>
        </w:rPr>
        <w:t xml:space="preserve">. Substance Abuse and Mental Health Services Administration (US). Available at: </w:t>
      </w:r>
      <w:hyperlink r:id="rId38" w:history="1">
        <w:r w:rsidRPr="00C572B2">
          <w:rPr>
            <w:rStyle w:val="Hyperlink"/>
            <w:rFonts w:ascii="Arial" w:eastAsia="Times New Roman" w:hAnsi="Arial" w:cs="Arial"/>
            <w:sz w:val="22"/>
            <w:szCs w:val="22"/>
            <w:lang w:eastAsia="en-GB"/>
            <w14:ligatures w14:val="none"/>
          </w:rPr>
          <w:t>https://www.ncbi.nlm.nih.gov/books/NBK519712/table/ch3.t15/</w:t>
        </w:r>
      </w:hyperlink>
      <w:r w:rsidRPr="00C572B2">
        <w:rPr>
          <w:rFonts w:ascii="Arial" w:eastAsia="Times New Roman" w:hAnsi="Arial" w:cs="Arial"/>
          <w:sz w:val="22"/>
          <w:szCs w:val="22"/>
          <w:lang w:eastAsia="en-GB"/>
          <w14:ligatures w14:val="none"/>
        </w:rPr>
        <w:t xml:space="preserve">  (Accessed: July 15, 2026).</w:t>
      </w:r>
    </w:p>
    <w:p w14:paraId="2245B421" w14:textId="74E33E9F" w:rsidR="003F097A" w:rsidRPr="00C572B2" w:rsidRDefault="003F097A" w:rsidP="00F55009">
      <w:pPr>
        <w:spacing w:after="240" w:line="360" w:lineRule="auto"/>
        <w:rPr>
          <w:rFonts w:ascii="Arial" w:eastAsia="Times New Roman" w:hAnsi="Arial" w:cs="Arial"/>
          <w:sz w:val="22"/>
          <w:szCs w:val="22"/>
          <w:lang w:eastAsia="en-GB"/>
          <w14:ligatures w14:val="none"/>
        </w:rPr>
      </w:pPr>
      <w:r w:rsidRPr="00C572B2">
        <w:rPr>
          <w:rFonts w:ascii="Arial" w:eastAsia="Times New Roman" w:hAnsi="Arial" w:cs="Arial"/>
          <w:sz w:val="22"/>
          <w:szCs w:val="22"/>
          <w:lang w:eastAsia="en-GB"/>
          <w14:ligatures w14:val="none"/>
        </w:rPr>
        <w:t xml:space="preserve">Van Eeden, A.E., Van Hoeken, D. and Hoek, H.W. (2021) “Incidence, Prevalence and Mortality of Anorexia Nervosa and Bulimia Nervosa,” </w:t>
      </w:r>
      <w:r w:rsidRPr="00C572B2">
        <w:rPr>
          <w:rFonts w:ascii="Arial" w:eastAsia="Times New Roman" w:hAnsi="Arial" w:cs="Arial"/>
          <w:i/>
          <w:iCs/>
          <w:sz w:val="22"/>
          <w:szCs w:val="22"/>
          <w:lang w:eastAsia="en-GB"/>
          <w14:ligatures w14:val="none"/>
        </w:rPr>
        <w:t>Current Opinion in Psychiatry</w:t>
      </w:r>
      <w:r w:rsidRPr="00C572B2">
        <w:rPr>
          <w:rFonts w:ascii="Arial" w:eastAsia="Times New Roman" w:hAnsi="Arial" w:cs="Arial"/>
          <w:sz w:val="22"/>
          <w:szCs w:val="22"/>
          <w:lang w:eastAsia="en-GB"/>
          <w14:ligatures w14:val="none"/>
        </w:rPr>
        <w:t xml:space="preserve">, 34(6), pp. 515–524. Available at: </w:t>
      </w:r>
      <w:hyperlink r:id="rId39" w:history="1">
        <w:r w:rsidRPr="00C572B2">
          <w:rPr>
            <w:rStyle w:val="Hyperlink"/>
            <w:rFonts w:ascii="Arial" w:eastAsia="Times New Roman" w:hAnsi="Arial" w:cs="Arial"/>
            <w:sz w:val="22"/>
            <w:szCs w:val="22"/>
            <w:lang w:eastAsia="en-GB"/>
            <w14:ligatures w14:val="none"/>
          </w:rPr>
          <w:t>https://doi.org/10.1097/yco.0000000000000739</w:t>
        </w:r>
      </w:hyperlink>
      <w:r w:rsidRPr="00C572B2">
        <w:rPr>
          <w:rFonts w:ascii="Arial" w:eastAsia="Times New Roman" w:hAnsi="Arial" w:cs="Arial"/>
          <w:sz w:val="22"/>
          <w:szCs w:val="22"/>
          <w:lang w:eastAsia="en-GB"/>
          <w14:ligatures w14:val="none"/>
        </w:rPr>
        <w:t xml:space="preserve">. </w:t>
      </w:r>
    </w:p>
    <w:p w14:paraId="770792FC" w14:textId="77777777" w:rsidR="003F097A" w:rsidRPr="00C572B2" w:rsidRDefault="003F097A" w:rsidP="00F55009"/>
    <w:p w14:paraId="53851253" w14:textId="77777777" w:rsidR="00626DBF" w:rsidRPr="00C572B2" w:rsidRDefault="00626DBF" w:rsidP="00F55009"/>
    <w:sectPr w:rsidR="00626DBF" w:rsidRPr="00C572B2" w:rsidSect="00033A03">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7C5974" w14:textId="77777777" w:rsidR="00F56BFB" w:rsidRDefault="00F56BFB" w:rsidP="00626DBF">
      <w:pPr>
        <w:spacing w:after="0" w:line="240" w:lineRule="auto"/>
      </w:pPr>
      <w:r>
        <w:separator/>
      </w:r>
    </w:p>
  </w:endnote>
  <w:endnote w:type="continuationSeparator" w:id="0">
    <w:p w14:paraId="114EDBF1" w14:textId="77777777" w:rsidR="00F56BFB" w:rsidRDefault="00F56BFB" w:rsidP="0062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71068151"/>
      <w:docPartObj>
        <w:docPartGallery w:val="Page Numbers (Bottom of Page)"/>
        <w:docPartUnique/>
      </w:docPartObj>
    </w:sdtPr>
    <w:sdtEndPr>
      <w:rPr>
        <w:noProof/>
      </w:rPr>
    </w:sdtEndPr>
    <w:sdtContent>
      <w:p w14:paraId="10F5210C" w14:textId="7FE8265C" w:rsidR="00626DBF" w:rsidRDefault="00626D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FFC41E" w14:textId="77777777" w:rsidR="00626DBF" w:rsidRDefault="00626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BA9298" w14:textId="77777777" w:rsidR="00F56BFB" w:rsidRDefault="00F56BFB" w:rsidP="00626DBF">
      <w:pPr>
        <w:spacing w:after="0" w:line="240" w:lineRule="auto"/>
      </w:pPr>
      <w:r>
        <w:separator/>
      </w:r>
    </w:p>
  </w:footnote>
  <w:footnote w:type="continuationSeparator" w:id="0">
    <w:p w14:paraId="5035FB3E" w14:textId="77777777" w:rsidR="00F56BFB" w:rsidRDefault="00F56BFB" w:rsidP="00626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FA5A40"/>
    <w:multiLevelType w:val="multilevel"/>
    <w:tmpl w:val="E4D679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790D33DE"/>
    <w:multiLevelType w:val="multilevel"/>
    <w:tmpl w:val="E5384BFE"/>
    <w:lvl w:ilvl="0">
      <w:start w:val="1"/>
      <w:numFmt w:val="decimal"/>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621571214">
    <w:abstractNumId w:val="0"/>
  </w:num>
  <w:num w:numId="2" w16cid:durableId="80570436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DBF"/>
    <w:rsid w:val="00024C58"/>
    <w:rsid w:val="00031DE0"/>
    <w:rsid w:val="00033A03"/>
    <w:rsid w:val="000566BD"/>
    <w:rsid w:val="00064753"/>
    <w:rsid w:val="000E1345"/>
    <w:rsid w:val="00105B71"/>
    <w:rsid w:val="0017013F"/>
    <w:rsid w:val="001978E6"/>
    <w:rsid w:val="001A37AB"/>
    <w:rsid w:val="001B2172"/>
    <w:rsid w:val="001B7D55"/>
    <w:rsid w:val="001E5443"/>
    <w:rsid w:val="001E7E10"/>
    <w:rsid w:val="001F5A9A"/>
    <w:rsid w:val="0020275C"/>
    <w:rsid w:val="002150D9"/>
    <w:rsid w:val="0022474F"/>
    <w:rsid w:val="00254BA5"/>
    <w:rsid w:val="00260BA2"/>
    <w:rsid w:val="002813F7"/>
    <w:rsid w:val="002A0682"/>
    <w:rsid w:val="002D55D4"/>
    <w:rsid w:val="002F6C4D"/>
    <w:rsid w:val="003042DE"/>
    <w:rsid w:val="00356B58"/>
    <w:rsid w:val="00361E72"/>
    <w:rsid w:val="003E6D30"/>
    <w:rsid w:val="003F097A"/>
    <w:rsid w:val="00434686"/>
    <w:rsid w:val="00437205"/>
    <w:rsid w:val="00460083"/>
    <w:rsid w:val="004839C7"/>
    <w:rsid w:val="004A6C90"/>
    <w:rsid w:val="00571300"/>
    <w:rsid w:val="005872F3"/>
    <w:rsid w:val="005C021D"/>
    <w:rsid w:val="005D6FCF"/>
    <w:rsid w:val="00617C7F"/>
    <w:rsid w:val="00626DBF"/>
    <w:rsid w:val="00644576"/>
    <w:rsid w:val="00673435"/>
    <w:rsid w:val="006B72C3"/>
    <w:rsid w:val="006F3A8F"/>
    <w:rsid w:val="007C5699"/>
    <w:rsid w:val="007E2191"/>
    <w:rsid w:val="00804649"/>
    <w:rsid w:val="008330D0"/>
    <w:rsid w:val="00842A63"/>
    <w:rsid w:val="008512AC"/>
    <w:rsid w:val="00874D61"/>
    <w:rsid w:val="0089217D"/>
    <w:rsid w:val="0089511B"/>
    <w:rsid w:val="008C1A5A"/>
    <w:rsid w:val="008C286E"/>
    <w:rsid w:val="009039E2"/>
    <w:rsid w:val="00942335"/>
    <w:rsid w:val="00944023"/>
    <w:rsid w:val="009B6227"/>
    <w:rsid w:val="009E2AF7"/>
    <w:rsid w:val="00AB5C80"/>
    <w:rsid w:val="00AE2224"/>
    <w:rsid w:val="00B02FC8"/>
    <w:rsid w:val="00B34F3D"/>
    <w:rsid w:val="00B955E9"/>
    <w:rsid w:val="00BA4522"/>
    <w:rsid w:val="00BC0543"/>
    <w:rsid w:val="00BD1B04"/>
    <w:rsid w:val="00BD2155"/>
    <w:rsid w:val="00BD30C0"/>
    <w:rsid w:val="00C572B2"/>
    <w:rsid w:val="00C57F17"/>
    <w:rsid w:val="00CE2042"/>
    <w:rsid w:val="00D66C46"/>
    <w:rsid w:val="00D83E13"/>
    <w:rsid w:val="00DC1186"/>
    <w:rsid w:val="00DC44CD"/>
    <w:rsid w:val="00DE5635"/>
    <w:rsid w:val="00E120D4"/>
    <w:rsid w:val="00E2311F"/>
    <w:rsid w:val="00E369DE"/>
    <w:rsid w:val="00E412C2"/>
    <w:rsid w:val="00E5418C"/>
    <w:rsid w:val="00E86A2C"/>
    <w:rsid w:val="00E870A6"/>
    <w:rsid w:val="00EA1813"/>
    <w:rsid w:val="00EB6D73"/>
    <w:rsid w:val="00EC4F53"/>
    <w:rsid w:val="00F20869"/>
    <w:rsid w:val="00F55009"/>
    <w:rsid w:val="00F55671"/>
    <w:rsid w:val="00F56BFB"/>
    <w:rsid w:val="00F8441E"/>
    <w:rsid w:val="00F96C17"/>
    <w:rsid w:val="00FA677C"/>
    <w:rsid w:val="00FD4F29"/>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F23A9"/>
  <w15:chartTrackingRefBased/>
  <w15:docId w15:val="{9454C99B-BA94-457A-A7AA-446489E37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172"/>
  </w:style>
  <w:style w:type="paragraph" w:styleId="Heading1">
    <w:name w:val="heading 1"/>
    <w:basedOn w:val="Normal"/>
    <w:next w:val="Normal"/>
    <w:link w:val="Heading1Char"/>
    <w:uiPriority w:val="9"/>
    <w:qFormat/>
    <w:rsid w:val="00626D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26D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6DB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6DB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6DB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6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D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26D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6DB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6DB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6DB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6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DBF"/>
    <w:rPr>
      <w:rFonts w:eastAsiaTheme="majorEastAsia" w:cstheme="majorBidi"/>
      <w:color w:val="272727" w:themeColor="text1" w:themeTint="D8"/>
    </w:rPr>
  </w:style>
  <w:style w:type="paragraph" w:styleId="Title">
    <w:name w:val="Title"/>
    <w:basedOn w:val="Normal"/>
    <w:next w:val="Normal"/>
    <w:link w:val="TitleChar"/>
    <w:uiPriority w:val="10"/>
    <w:qFormat/>
    <w:rsid w:val="00626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DBF"/>
    <w:pPr>
      <w:spacing w:before="160"/>
      <w:jc w:val="center"/>
    </w:pPr>
    <w:rPr>
      <w:i/>
      <w:iCs/>
      <w:color w:val="404040" w:themeColor="text1" w:themeTint="BF"/>
    </w:rPr>
  </w:style>
  <w:style w:type="character" w:customStyle="1" w:styleId="QuoteChar">
    <w:name w:val="Quote Char"/>
    <w:basedOn w:val="DefaultParagraphFont"/>
    <w:link w:val="Quote"/>
    <w:uiPriority w:val="29"/>
    <w:rsid w:val="00626DBF"/>
    <w:rPr>
      <w:i/>
      <w:iCs/>
      <w:color w:val="404040" w:themeColor="text1" w:themeTint="BF"/>
    </w:rPr>
  </w:style>
  <w:style w:type="paragraph" w:styleId="ListParagraph">
    <w:name w:val="List Paragraph"/>
    <w:basedOn w:val="Normal"/>
    <w:uiPriority w:val="34"/>
    <w:qFormat/>
    <w:rsid w:val="00626DBF"/>
    <w:pPr>
      <w:ind w:left="720"/>
      <w:contextualSpacing/>
    </w:pPr>
  </w:style>
  <w:style w:type="character" w:styleId="IntenseEmphasis">
    <w:name w:val="Intense Emphasis"/>
    <w:basedOn w:val="DefaultParagraphFont"/>
    <w:uiPriority w:val="21"/>
    <w:qFormat/>
    <w:rsid w:val="00626DBF"/>
    <w:rPr>
      <w:i/>
      <w:iCs/>
      <w:color w:val="2F5496" w:themeColor="accent1" w:themeShade="BF"/>
    </w:rPr>
  </w:style>
  <w:style w:type="paragraph" w:styleId="IntenseQuote">
    <w:name w:val="Intense Quote"/>
    <w:basedOn w:val="Normal"/>
    <w:next w:val="Normal"/>
    <w:link w:val="IntenseQuoteChar"/>
    <w:uiPriority w:val="30"/>
    <w:qFormat/>
    <w:rsid w:val="00626D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6DBF"/>
    <w:rPr>
      <w:i/>
      <w:iCs/>
      <w:color w:val="2F5496" w:themeColor="accent1" w:themeShade="BF"/>
    </w:rPr>
  </w:style>
  <w:style w:type="character" w:styleId="IntenseReference">
    <w:name w:val="Intense Reference"/>
    <w:basedOn w:val="DefaultParagraphFont"/>
    <w:uiPriority w:val="32"/>
    <w:qFormat/>
    <w:rsid w:val="00626DBF"/>
    <w:rPr>
      <w:b/>
      <w:bCs/>
      <w:smallCaps/>
      <w:color w:val="2F5496" w:themeColor="accent1" w:themeShade="BF"/>
      <w:spacing w:val="5"/>
    </w:rPr>
  </w:style>
  <w:style w:type="paragraph" w:styleId="TOCHeading">
    <w:name w:val="TOC Heading"/>
    <w:basedOn w:val="Heading1"/>
    <w:next w:val="Normal"/>
    <w:uiPriority w:val="39"/>
    <w:unhideWhenUsed/>
    <w:qFormat/>
    <w:rsid w:val="00626DBF"/>
    <w:pPr>
      <w:spacing w:before="240" w:after="0" w:line="259" w:lineRule="auto"/>
      <w:outlineLvl w:val="9"/>
    </w:pPr>
    <w:rPr>
      <w:sz w:val="32"/>
      <w:szCs w:val="32"/>
      <w:lang w:val="en-US"/>
      <w14:ligatures w14:val="none"/>
    </w:rPr>
  </w:style>
  <w:style w:type="paragraph" w:styleId="Header">
    <w:name w:val="header"/>
    <w:basedOn w:val="Normal"/>
    <w:link w:val="HeaderChar"/>
    <w:uiPriority w:val="99"/>
    <w:unhideWhenUsed/>
    <w:rsid w:val="00626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DBF"/>
  </w:style>
  <w:style w:type="paragraph" w:styleId="Footer">
    <w:name w:val="footer"/>
    <w:basedOn w:val="Normal"/>
    <w:link w:val="FooterChar"/>
    <w:uiPriority w:val="99"/>
    <w:unhideWhenUsed/>
    <w:rsid w:val="00626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DBF"/>
  </w:style>
  <w:style w:type="paragraph" w:styleId="TOC1">
    <w:name w:val="toc 1"/>
    <w:basedOn w:val="Normal"/>
    <w:next w:val="Normal"/>
    <w:autoRedefine/>
    <w:uiPriority w:val="39"/>
    <w:unhideWhenUsed/>
    <w:rsid w:val="0089217D"/>
    <w:pPr>
      <w:spacing w:after="100"/>
    </w:pPr>
  </w:style>
  <w:style w:type="paragraph" w:styleId="TOC2">
    <w:name w:val="toc 2"/>
    <w:basedOn w:val="Normal"/>
    <w:next w:val="Normal"/>
    <w:autoRedefine/>
    <w:uiPriority w:val="39"/>
    <w:unhideWhenUsed/>
    <w:rsid w:val="0089217D"/>
    <w:pPr>
      <w:spacing w:after="100"/>
      <w:ind w:left="240"/>
    </w:pPr>
  </w:style>
  <w:style w:type="character" w:styleId="Hyperlink">
    <w:name w:val="Hyperlink"/>
    <w:basedOn w:val="DefaultParagraphFont"/>
    <w:uiPriority w:val="99"/>
    <w:unhideWhenUsed/>
    <w:rsid w:val="0089217D"/>
    <w:rPr>
      <w:color w:val="0563C1" w:themeColor="hyperlink"/>
      <w:u w:val="single"/>
    </w:rPr>
  </w:style>
  <w:style w:type="table" w:styleId="TableGrid">
    <w:name w:val="Table Grid"/>
    <w:basedOn w:val="TableNormal"/>
    <w:uiPriority w:val="39"/>
    <w:rsid w:val="00224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2474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22474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3F097A"/>
    <w:rPr>
      <w:color w:val="605E5C"/>
      <w:shd w:val="clear" w:color="auto" w:fill="E1DFDD"/>
    </w:rPr>
  </w:style>
  <w:style w:type="character" w:styleId="CommentReference">
    <w:name w:val="annotation reference"/>
    <w:basedOn w:val="DefaultParagraphFont"/>
    <w:uiPriority w:val="99"/>
    <w:semiHidden/>
    <w:unhideWhenUsed/>
    <w:rsid w:val="003F097A"/>
    <w:rPr>
      <w:sz w:val="16"/>
      <w:szCs w:val="16"/>
    </w:rPr>
  </w:style>
  <w:style w:type="paragraph" w:styleId="CommentText">
    <w:name w:val="annotation text"/>
    <w:basedOn w:val="Normal"/>
    <w:link w:val="CommentTextChar"/>
    <w:uiPriority w:val="99"/>
    <w:semiHidden/>
    <w:unhideWhenUsed/>
    <w:rsid w:val="003F097A"/>
    <w:pPr>
      <w:spacing w:line="240" w:lineRule="auto"/>
    </w:pPr>
    <w:rPr>
      <w:sz w:val="20"/>
      <w:szCs w:val="20"/>
    </w:rPr>
  </w:style>
  <w:style w:type="character" w:customStyle="1" w:styleId="CommentTextChar">
    <w:name w:val="Comment Text Char"/>
    <w:basedOn w:val="DefaultParagraphFont"/>
    <w:link w:val="CommentText"/>
    <w:uiPriority w:val="99"/>
    <w:semiHidden/>
    <w:rsid w:val="003F097A"/>
    <w:rPr>
      <w:sz w:val="20"/>
      <w:szCs w:val="20"/>
    </w:rPr>
  </w:style>
  <w:style w:type="paragraph" w:styleId="CommentSubject">
    <w:name w:val="annotation subject"/>
    <w:basedOn w:val="CommentText"/>
    <w:next w:val="CommentText"/>
    <w:link w:val="CommentSubjectChar"/>
    <w:uiPriority w:val="99"/>
    <w:semiHidden/>
    <w:unhideWhenUsed/>
    <w:rsid w:val="003F097A"/>
    <w:rPr>
      <w:b/>
      <w:bCs/>
    </w:rPr>
  </w:style>
  <w:style w:type="character" w:customStyle="1" w:styleId="CommentSubjectChar">
    <w:name w:val="Comment Subject Char"/>
    <w:basedOn w:val="CommentTextChar"/>
    <w:link w:val="CommentSubject"/>
    <w:uiPriority w:val="99"/>
    <w:semiHidden/>
    <w:rsid w:val="003F09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ateatingdisorders.org.uk/news/protecting-people-from-eating-disorder-content-the-online-safety-act/" TargetMode="External"/><Relationship Id="rId18" Type="http://schemas.openxmlformats.org/officeDocument/2006/relationships/hyperlink" Target="https://behavioralhealthnews.org/current-trends-and-controversies-in-the-treatment-of-eating-disorders/" TargetMode="External"/><Relationship Id="rId26" Type="http://schemas.openxmlformats.org/officeDocument/2006/relationships/hyperlink" Target="https://behavioralhealthnews.org/current-trends-and-controversies-in-the-treatment-of-eating-disorders/" TargetMode="External"/><Relationship Id="rId39" Type="http://schemas.openxmlformats.org/officeDocument/2006/relationships/hyperlink" Target="https://doi.org/10.1097/yco.0000000000000739" TargetMode="External"/><Relationship Id="rId21" Type="http://schemas.openxmlformats.org/officeDocument/2006/relationships/hyperlink" Target="https://icd.who.int/browse/2026-01/mms/en" TargetMode="External"/><Relationship Id="rId34" Type="http://schemas.openxmlformats.org/officeDocument/2006/relationships/hyperlink" Target="https://doi.org/10.1136/bmjopen-2018-027339"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86/s40337-022-00597-8" TargetMode="External"/><Relationship Id="rId20" Type="http://schemas.openxmlformats.org/officeDocument/2006/relationships/hyperlink" Target="https://doi.org/10.1001/archpsyc.1975.01760190095011" TargetMode="External"/><Relationship Id="rId29" Type="http://schemas.openxmlformats.org/officeDocument/2006/relationships/hyperlink" Target="https://doi.org/10.1080/10640266.2020.179027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277-9536(92)90256-p" TargetMode="External"/><Relationship Id="rId24" Type="http://schemas.openxmlformats.org/officeDocument/2006/relationships/hyperlink" Target="https://doi.org/10.1002/eat.22670" TargetMode="External"/><Relationship Id="rId32" Type="http://schemas.openxmlformats.org/officeDocument/2006/relationships/hyperlink" Target="https://www.nhs.uk/mental-health/conditions/anorexia/overview/" TargetMode="External"/><Relationship Id="rId37" Type="http://schemas.openxmlformats.org/officeDocument/2006/relationships/hyperlink" Target="https://doi.org/10.1046/j.1351-0126.2001.00443.x"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86/1471-244x-12-76" TargetMode="External"/><Relationship Id="rId23" Type="http://schemas.openxmlformats.org/officeDocument/2006/relationships/hyperlink" Target="https://doi.org/10.1097/yco.0b013e328365a30e" TargetMode="External"/><Relationship Id="rId28" Type="http://schemas.openxmlformats.org/officeDocument/2006/relationships/hyperlink" Target="https://doi.org/10.1016/j.clinthera.2020.11.006" TargetMode="External"/><Relationship Id="rId36" Type="http://schemas.openxmlformats.org/officeDocument/2006/relationships/hyperlink" Target="https://researchbriefings.files.parliament.uk/documents/CDP-2018-0220/CDP-2018-0220.pdf" TargetMode="External"/><Relationship Id="rId10" Type="http://schemas.openxmlformats.org/officeDocument/2006/relationships/hyperlink" Target="https://doi.org/10.1176/appi.books.9780890425787" TargetMode="External"/><Relationship Id="rId19" Type="http://schemas.openxmlformats.org/officeDocument/2006/relationships/hyperlink" Target="https://www.psychiatry.org/patients-families/eating-disorders/what-are-eating-disorders" TargetMode="External"/><Relationship Id="rId31" Type="http://schemas.openxmlformats.org/officeDocument/2006/relationships/hyperlink" Target="https://www.nhs.uk/mental-health/conditions/anorexia/treatment/" TargetMode="External"/><Relationship Id="rId4" Type="http://schemas.openxmlformats.org/officeDocument/2006/relationships/settings" Target="settings.xml"/><Relationship Id="rId9" Type="http://schemas.openxmlformats.org/officeDocument/2006/relationships/hyperlink" Target="https://doi.org/10.1186/s40337-024-01053-5" TargetMode="External"/><Relationship Id="rId14" Type="http://schemas.openxmlformats.org/officeDocument/2006/relationships/hyperlink" Target="https://doi.org/10.1016/j.eatbeh.2023.101750" TargetMode="External"/><Relationship Id="rId22" Type="http://schemas.openxmlformats.org/officeDocument/2006/relationships/hyperlink" Target="https://doi.org/10.1093/jn/135.6.1347" TargetMode="External"/><Relationship Id="rId27" Type="http://schemas.openxmlformats.org/officeDocument/2006/relationships/hyperlink" Target="https://doi.org/10.1002/cpp.2047" TargetMode="External"/><Relationship Id="rId30" Type="http://schemas.openxmlformats.org/officeDocument/2006/relationships/hyperlink" Target="https://www.nimh.nih.gov/health/topics/eating-disorders" TargetMode="External"/><Relationship Id="rId35" Type="http://schemas.openxmlformats.org/officeDocument/2006/relationships/hyperlink" Target="https://doi.org/10.1001/jamapsychiatry.2025.081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eateatingdisorders.org.uk/get-information-and-support/about-eating-disorders/how-many-people-eating-disorder-uk/" TargetMode="External"/><Relationship Id="rId17" Type="http://schemas.openxmlformats.org/officeDocument/2006/relationships/hyperlink" Target="https://doi.org/10.1016/j.molmed.2024.02.009" TargetMode="External"/><Relationship Id="rId25" Type="http://schemas.openxmlformats.org/officeDocument/2006/relationships/hyperlink" Target="https://www.aafp.org/afp/2021/0101/p22" TargetMode="External"/><Relationship Id="rId33" Type="http://schemas.openxmlformats.org/officeDocument/2006/relationships/hyperlink" Target="https://www.nice.org.uk/guidance/ng69" TargetMode="External"/><Relationship Id="rId38" Type="http://schemas.openxmlformats.org/officeDocument/2006/relationships/hyperlink" Target="https://www.ncbi.nlm.nih.gov/books/NBK519712/table/ch3.t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95C9A-14C6-485D-8E03-7E43BBDBD7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3984</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Thaira Bano</dc:creator>
  <cp:keywords/>
  <dc:description/>
  <cp:lastModifiedBy>Thaira Bano (2328508)</cp:lastModifiedBy>
  <cp:revision>2</cp:revision>
  <dcterms:created xsi:type="dcterms:W3CDTF">2026-07-15T17:19:00Z</dcterms:created>
  <dcterms:modified xsi:type="dcterms:W3CDTF">2026-07-15T17:19:00Z</dcterms:modified>
</cp:coreProperties>
</file>