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DBC875" w14:textId="77777777" w:rsidR="008E0C61" w:rsidRPr="00442FFD" w:rsidRDefault="008E0C61" w:rsidP="008E0C61">
      <w:pPr>
        <w:pStyle w:val="Title"/>
        <w:jc w:val="center"/>
        <w:rPr>
          <w:b/>
          <w:bCs/>
        </w:rPr>
      </w:pPr>
      <w:bookmarkStart w:id="0" w:name="_h4igs2mrz6t8" w:colFirst="0" w:colLast="0"/>
      <w:bookmarkEnd w:id="0"/>
      <w:r w:rsidRPr="00442FFD">
        <w:rPr>
          <w:b/>
          <w:bCs/>
        </w:rPr>
        <w:t>A Scoping Review of the Effectiveness of Early Help Interventions in the UK Children’s Social Care System</w:t>
      </w:r>
    </w:p>
    <w:p w14:paraId="5DF098C9" w14:textId="6BB9CF55" w:rsidR="00722A12" w:rsidRDefault="008E0C61" w:rsidP="008E0C61">
      <w:pPr>
        <w:pStyle w:val="Heading1"/>
        <w:rPr>
          <w:rFonts w:ascii="Times New Roman" w:hAnsi="Times New Roman" w:cs="Times New Roman"/>
          <w:b/>
          <w:bCs/>
          <w:color w:val="auto"/>
        </w:rPr>
      </w:pPr>
      <w:r>
        <w:rPr>
          <w:rFonts w:ascii="Times New Roman" w:hAnsi="Times New Roman" w:cs="Times New Roman"/>
          <w:b/>
          <w:bCs/>
          <w:color w:val="auto"/>
        </w:rPr>
        <w:t>1.</w:t>
      </w:r>
      <w:r w:rsidR="00722A12" w:rsidRPr="008E0C61">
        <w:rPr>
          <w:rFonts w:ascii="Times New Roman" w:hAnsi="Times New Roman" w:cs="Times New Roman"/>
          <w:b/>
          <w:bCs/>
          <w:color w:val="auto"/>
        </w:rPr>
        <w:t>Introduction</w:t>
      </w:r>
    </w:p>
    <w:p w14:paraId="335E78A4"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t>In the United Kingdom, one of the key pillars of the policy of children social care is Early Help. It means the assistance to children, youth and families at the youngest age when the problems first appear, and the goal is to avoid the development of the more serious issues that would need statutory intervention in the area of child protection. Instead of providing support once a major damage is already done, Early Help aims to recognize the risk factors and unmet needs at an early stage and provide coherent assistance that enhances the functioning of families and establishes favorable results in children.</w:t>
      </w:r>
    </w:p>
    <w:p w14:paraId="4A46FAB4"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t>The Early Help philosophy is based on the concept of prevention. It appreciates that most families undergo phases of hardship that are related to poverty, mental illness of parents, substance abuse, domestic violence, housing uncertainties or social isolation. These stressors can be dealt with in their early stages, in a way that prevents the situation developing into abuse, neglect, and long-term adverse developmental outcomes. Early Help then, has the aim of minimizing instances of statutory interventions but at the same time seek to enhance child wellbeing, resiliency, and family stability.</w:t>
      </w:r>
    </w:p>
    <w:p w14:paraId="200C9E0A"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t>Prevention is an economic and ethical justification. Regarding safeguarding, it is based on the idea that the welfare of the children needs to be preserved before any substantial damage is done. Politically, it is also considered to be cost economical. Stronger child protection measures such as care proceedings and long term foster placements are much costlier than the community based family support. Early intervention paradigms presuppose that the prompt assistance may stop the increased social and economic expenditures in the future.</w:t>
      </w:r>
    </w:p>
    <w:p w14:paraId="1F17A686"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t>Early Help has been integrated into the statutory safeguarding provisions by national guidelines. Working Together to Safeguard Children (HM Government, 2018; 2023) fixes Early Help as a collaborative effort among agencies and focuses on the multi-agency approach, information exchange, assessment and coordinated intervention, and proportional response. The overall responsibility to protect does not lie with local authorities, but with schools, health services, police and voluntary organisations, all of which are involved in defining needs that are emerging and contributing to support plans.</w:t>
      </w:r>
    </w:p>
    <w:p w14:paraId="695C21B1"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t xml:space="preserve">On the legislative level, Early Help is within the broader context of the Children Act 1989 and the Children Act 2004. Section 17 of the Children Act 1989 defines the term, a child in need, and incorporates a responsibility on the local authorities to protect and enhance the welfare of the children in need. Children Act 2004 further strengthened the multi-agency collaboration </w:t>
      </w:r>
      <w:r w:rsidRPr="00E032C9">
        <w:rPr>
          <w:rFonts w:ascii="Times New Roman" w:hAnsi="Times New Roman" w:cs="Times New Roman"/>
        </w:rPr>
        <w:lastRenderedPageBreak/>
        <w:t>after the reforms of Every Child Matters. Collectively, the frameworks offer the legal basis of Early Help practice.</w:t>
      </w:r>
    </w:p>
    <w:p w14:paraId="0E857A4A"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t>Early Help is in between universal services like education and primary healthcare and statutory child protection. These are the parenting programmes, mentoring, emotional support, mental health support, domestic abuse intervention, substance misuse intervention, youth services and school attendance. Depending on the needs that have been assessed, interventions can either be universal, targeted, or specialist. Standards Like the Common Assessment Framework (CAF) and subsequent encouragement sharing Assessment Standards like the Early Help Assessment have been applied in standardising assessment processes and in stimulating information sharing.</w:t>
      </w:r>
    </w:p>
    <w:p w14:paraId="31B12D72"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t>Although Early Help has a solid policy presence, the organization is confronted with serious challenges. There is a significant way in implementation between local authorities and is determined by funding levels, local thresholds, workforce capacity and service availability. Local government deficits in funding have disproportionately impacted on preventative services since 2010. Meanwhile, lawful child protection caseloads have risen, and they have put pressure on crisis response and preventative work.</w:t>
      </w:r>
    </w:p>
    <w:p w14:paraId="7529299B"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t>Despite the good theoretical background and the support of the policy, there are some questions about the effectiveness of the Early Help. Long-term outcomes evidence is scanty, and the models of services vary, which makes it difficult to evaluate them. The current review is therefore an attempt to review peer-reviewed research conducted in the UK in order to evaluate the evidence on Early Help interventions, strengths and weaknesses, as well as provide policy and practice implications.</w:t>
      </w:r>
    </w:p>
    <w:p w14:paraId="472E0C2E"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t>There has been an increasing view that Early Help is not only a form of safeguarding but also something in a larger change in the children services to preventative governance. The shift towards preventative intervention over reactive intervention is indicative of more general changes in the reform of the public service where early detection of risk is considered not only socially responsible but also cost-effective. In the context of social care of children, this prevention turn tries to break the path which can lead otherwise to entrenched disadvantage, welfare dependency over the long term or even intergenerational trauma.</w:t>
      </w:r>
    </w:p>
    <w:p w14:paraId="4C9617B4"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t>One of the conceptual differences in the Early Help framework lies in the difference between early childhood intervention and early intervention in response to emergent challenges of any age. Although the international literature is familiar with most of the early childhood development programmes, in the UK; Early Help includes childhood and adolescent support. It thus is a needs-based model and not an age-based based model. Such extensive nature makes it more relevant, but also more difficult to assess, since interventions can be very different in their aim and severity.</w:t>
      </w:r>
    </w:p>
    <w:p w14:paraId="351829CF"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t xml:space="preserve">Another ethical balancing act of the state support and family autonomy can be seen in Early Help. Early Help is normally voluntary as opposed to the statutory child protection which may encompass compulsory intervention. This voluntarism is aimed at saving dignity and co-operation and circumvents the adversarial nature that may be attached to the process of </w:t>
      </w:r>
      <w:r w:rsidRPr="00E032C9">
        <w:rPr>
          <w:rFonts w:ascii="Times New Roman" w:hAnsi="Times New Roman" w:cs="Times New Roman"/>
        </w:rPr>
        <w:lastRenderedPageBreak/>
        <w:t>protecting investigations. The process of voluntary engagement versus implicit pressure is not always obvious, though, especially when families feel that failure to engage in the process could result in escalation.</w:t>
      </w:r>
    </w:p>
    <w:p w14:paraId="7B08C6BB"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t>Moreover, Early Help works in the environment of the risk-oriented policy. The growing dependency on assessment structures, data exchange systems and prediction signals begs such questions as surveillance, discretion among professionals and classification of families. Although detection of need early is potentially protective, there exists a risk of labelling or undue intervention in communities that are already under a lot of scrutiny.</w:t>
      </w:r>
    </w:p>
    <w:p w14:paraId="54629246" w14:textId="1ABD00A7" w:rsidR="00E032C9" w:rsidRPr="00E032C9" w:rsidRDefault="00E032C9" w:rsidP="00E032C9">
      <w:pPr>
        <w:jc w:val="both"/>
        <w:rPr>
          <w:rFonts w:ascii="Times New Roman" w:hAnsi="Times New Roman" w:cs="Times New Roman"/>
        </w:rPr>
      </w:pPr>
      <w:r w:rsidRPr="00E032C9">
        <w:rPr>
          <w:rFonts w:ascii="Times New Roman" w:hAnsi="Times New Roman" w:cs="Times New Roman"/>
        </w:rPr>
        <w:t>Therefore, Early Help is not merely a useful service model, but is also a subset of a wider shift in the conceptualisation of state of the risk, responsibility and prevention of childhood.</w:t>
      </w:r>
    </w:p>
    <w:p w14:paraId="6EC0B976" w14:textId="77777777" w:rsidR="00722A12" w:rsidRPr="008E0C61" w:rsidRDefault="00722A12" w:rsidP="008E0C61">
      <w:pPr>
        <w:pStyle w:val="Heading1"/>
        <w:rPr>
          <w:rFonts w:ascii="Times New Roman" w:hAnsi="Times New Roman" w:cs="Times New Roman"/>
          <w:b/>
          <w:bCs/>
          <w:color w:val="auto"/>
        </w:rPr>
      </w:pPr>
      <w:r w:rsidRPr="008E0C61">
        <w:rPr>
          <w:rFonts w:ascii="Times New Roman" w:hAnsi="Times New Roman" w:cs="Times New Roman"/>
          <w:b/>
          <w:bCs/>
          <w:color w:val="auto"/>
        </w:rPr>
        <w:t>2. Review Question and Objectives</w:t>
      </w:r>
    </w:p>
    <w:p w14:paraId="7297D7C7" w14:textId="77777777" w:rsidR="00722A12" w:rsidRDefault="00722A12" w:rsidP="008E0C61">
      <w:pPr>
        <w:jc w:val="both"/>
        <w:rPr>
          <w:rFonts w:ascii="Times New Roman" w:hAnsi="Times New Roman" w:cs="Times New Roman"/>
          <w:b/>
          <w:bCs/>
          <w:lang w:val="en-PK"/>
        </w:rPr>
      </w:pPr>
      <w:r w:rsidRPr="00722A12">
        <w:rPr>
          <w:rFonts w:ascii="Times New Roman" w:hAnsi="Times New Roman" w:cs="Times New Roman"/>
          <w:b/>
          <w:bCs/>
          <w:lang w:val="en-PK"/>
        </w:rPr>
        <w:t>2.1 Review Question</w:t>
      </w:r>
    </w:p>
    <w:p w14:paraId="476F77D8" w14:textId="77777777" w:rsidR="00E032C9" w:rsidRPr="00E032C9" w:rsidRDefault="00E032C9" w:rsidP="00E032C9">
      <w:pPr>
        <w:rPr>
          <w:rFonts w:ascii="Times New Roman" w:hAnsi="Times New Roman" w:cs="Times New Roman"/>
          <w:lang w:val="en-PK"/>
        </w:rPr>
      </w:pPr>
      <w:r w:rsidRPr="00E032C9">
        <w:rPr>
          <w:rFonts w:ascii="Times New Roman" w:hAnsi="Times New Roman" w:cs="Times New Roman"/>
          <w:lang w:val="en-PK"/>
        </w:rPr>
        <w:t>What data are available on the efficacy of the Early Help interventions in the UK children social care system in ameliorating children and family outcomes?</w:t>
      </w:r>
    </w:p>
    <w:p w14:paraId="1A55703D"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2.2 Objectives</w:t>
      </w:r>
    </w:p>
    <w:p w14:paraId="5ABF94AC" w14:textId="6C748987" w:rsidR="00E032C9" w:rsidRPr="00E032C9" w:rsidRDefault="00E032C9" w:rsidP="00E032C9">
      <w:pPr>
        <w:pStyle w:val="ListParagraph"/>
        <w:numPr>
          <w:ilvl w:val="1"/>
          <w:numId w:val="7"/>
        </w:numPr>
        <w:jc w:val="both"/>
        <w:rPr>
          <w:rFonts w:ascii="Times New Roman" w:hAnsi="Times New Roman" w:cs="Times New Roman"/>
          <w:lang w:val="en-PK"/>
        </w:rPr>
      </w:pPr>
      <w:r w:rsidRPr="00E032C9">
        <w:rPr>
          <w:rFonts w:ascii="Times New Roman" w:hAnsi="Times New Roman" w:cs="Times New Roman"/>
          <w:lang w:val="en-PK"/>
        </w:rPr>
        <w:t>To review the policy and theoretical principles in the background of Early Help.</w:t>
      </w:r>
    </w:p>
    <w:p w14:paraId="02B77363" w14:textId="6273FDB4" w:rsidR="00E032C9" w:rsidRPr="00E032C9" w:rsidRDefault="00E032C9" w:rsidP="00E032C9">
      <w:pPr>
        <w:pStyle w:val="ListParagraph"/>
        <w:numPr>
          <w:ilvl w:val="1"/>
          <w:numId w:val="7"/>
        </w:numPr>
        <w:jc w:val="both"/>
        <w:rPr>
          <w:rFonts w:ascii="Times New Roman" w:hAnsi="Times New Roman" w:cs="Times New Roman"/>
          <w:lang w:val="en-PK"/>
        </w:rPr>
      </w:pPr>
      <w:r w:rsidRPr="00E032C9">
        <w:rPr>
          <w:rFonts w:ascii="Times New Roman" w:hAnsi="Times New Roman" w:cs="Times New Roman"/>
          <w:lang w:val="en-PK"/>
        </w:rPr>
        <w:t>To critically assess the weaknesses and strengths of available empirical evidence.</w:t>
      </w:r>
    </w:p>
    <w:p w14:paraId="52D25BD4" w14:textId="54DE118D" w:rsidR="00E032C9" w:rsidRPr="00E032C9" w:rsidRDefault="00E032C9" w:rsidP="00E032C9">
      <w:pPr>
        <w:pStyle w:val="ListParagraph"/>
        <w:numPr>
          <w:ilvl w:val="1"/>
          <w:numId w:val="7"/>
        </w:numPr>
        <w:jc w:val="both"/>
        <w:rPr>
          <w:rFonts w:ascii="Times New Roman" w:hAnsi="Times New Roman" w:cs="Times New Roman"/>
          <w:lang w:val="en-PK"/>
        </w:rPr>
      </w:pPr>
      <w:r w:rsidRPr="00E032C9">
        <w:rPr>
          <w:rFonts w:ascii="Times New Roman" w:hAnsi="Times New Roman" w:cs="Times New Roman"/>
          <w:lang w:val="en-PK"/>
        </w:rPr>
        <w:t>To compile the results that pertain to access to services, family functioning, protective outcome, and child wellbeing.</w:t>
      </w:r>
    </w:p>
    <w:p w14:paraId="28DE4450" w14:textId="7367CFE6" w:rsidR="00E032C9" w:rsidRPr="00E032C9" w:rsidRDefault="00E032C9" w:rsidP="00E032C9">
      <w:pPr>
        <w:pStyle w:val="ListParagraph"/>
        <w:numPr>
          <w:ilvl w:val="1"/>
          <w:numId w:val="7"/>
        </w:numPr>
        <w:jc w:val="both"/>
        <w:rPr>
          <w:rFonts w:ascii="Times New Roman" w:hAnsi="Times New Roman" w:cs="Times New Roman"/>
          <w:lang w:val="en-PK"/>
        </w:rPr>
      </w:pPr>
      <w:r w:rsidRPr="00E032C9">
        <w:rPr>
          <w:rFonts w:ascii="Times New Roman" w:hAnsi="Times New Roman" w:cs="Times New Roman"/>
          <w:lang w:val="en-PK"/>
        </w:rPr>
        <w:t>To reflect on future research, policy making, and practice implications in the UK environment.</w:t>
      </w:r>
    </w:p>
    <w:p w14:paraId="4AE399FA" w14:textId="77777777" w:rsidR="00722A12" w:rsidRPr="008E0C61" w:rsidRDefault="00722A12" w:rsidP="008E0C61">
      <w:pPr>
        <w:pStyle w:val="Heading1"/>
        <w:rPr>
          <w:rFonts w:ascii="Times New Roman" w:hAnsi="Times New Roman" w:cs="Times New Roman"/>
          <w:b/>
          <w:bCs/>
          <w:color w:val="auto"/>
        </w:rPr>
      </w:pPr>
      <w:r w:rsidRPr="008E0C61">
        <w:rPr>
          <w:rFonts w:ascii="Times New Roman" w:hAnsi="Times New Roman" w:cs="Times New Roman"/>
          <w:b/>
          <w:bCs/>
          <w:color w:val="auto"/>
        </w:rPr>
        <w:t>3. Background</w:t>
      </w:r>
    </w:p>
    <w:p w14:paraId="1896F639" w14:textId="77777777" w:rsidR="00722A12" w:rsidRDefault="00722A12" w:rsidP="008E0C61">
      <w:pPr>
        <w:jc w:val="both"/>
        <w:rPr>
          <w:rFonts w:ascii="Times New Roman" w:hAnsi="Times New Roman" w:cs="Times New Roman"/>
          <w:b/>
          <w:bCs/>
          <w:lang w:val="en-PK"/>
        </w:rPr>
      </w:pPr>
      <w:r w:rsidRPr="00722A12">
        <w:rPr>
          <w:rFonts w:ascii="Times New Roman" w:hAnsi="Times New Roman" w:cs="Times New Roman"/>
          <w:b/>
          <w:bCs/>
          <w:lang w:val="en-PK"/>
        </w:rPr>
        <w:t>3.1 Legislative and Policy Context</w:t>
      </w:r>
    </w:p>
    <w:p w14:paraId="2B212584"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Children Act 1989 has overhauled the child welfare law in England and Wales as it incorporated the principle of welfare of the child as central. Section 17 brought in the notion of children in need and made a responsibility on local authorities to protect and advance their well-being. This formed the basis of preventative intervention, as it was realised that assistance should not be afforded to the cases of severe harm only.</w:t>
      </w:r>
    </w:p>
    <w:p w14:paraId="31A8FD10"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 xml:space="preserve">The focus on prevention was reinforced in further policy development. The Laming Inquiry (2003) exposed organizational communication and coordination failures between agencies following the death of Victoria Climbie. This gave rise to the Every Child Matters agenda (DfES, 2003) which encouraged integrated working and developed safeguarding partnerships. The timeliness and proportionate intervention was later supported with the Munro Review of </w:t>
      </w:r>
      <w:r w:rsidRPr="00E032C9">
        <w:rPr>
          <w:rFonts w:ascii="Times New Roman" w:hAnsi="Times New Roman" w:cs="Times New Roman"/>
          <w:lang w:val="en-PK"/>
        </w:rPr>
        <w:lastRenderedPageBreak/>
        <w:t>Child Protection (2011) stating that less bureaucracy and reliance on professional judgement would be the way forward.</w:t>
      </w:r>
    </w:p>
    <w:p w14:paraId="3B012CEC"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Early Help is formalised in statutory guidance that is called Working Together to Safeguard Children (2018; 2023). It demands the local safeguarding partnerships to make sure that the families will be able to receive support once the issues are detected. The guidance also puts emphasis on teachers, health visitors, and social workers as frontline professionals who have the duty to identify emerging concerns and multi-agency actions.</w:t>
      </w:r>
    </w:p>
    <w:p w14:paraId="372538F8"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Policy promises have, however, been accompanied by high levels of austerity. Budgets of local authorities have been experiencing continuous cuts since 2010. It has been shown that there is a decrease in the expenditure on preventative services and an increment in the statutory child protection demand. This produces a structural paradox: the policy rhetoric advocates prevention, but lack of funds has a negative effect on delivery capacity.</w:t>
      </w:r>
    </w:p>
    <w:p w14:paraId="2A0756C4"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3.2 Theoretical Foundations</w:t>
      </w:r>
    </w:p>
    <w:p w14:paraId="76985A6B"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Ecological Systems Theory</w:t>
      </w:r>
    </w:p>
    <w:p w14:paraId="4DD1A412"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The ecological systems theory has its conceptual basis on Early Help and has been developed by Bronfenbrenner. It places child development in interrelated systems: family, school, community and other more general socio-economic systems. Risk factors are not mostly isolated but arise as a result of interplay between individual, relational and structural factors. Early Help adheres to this knowledge by employing holistic assessments that would take into account various areas of the life of a child.</w:t>
      </w:r>
    </w:p>
    <w:p w14:paraId="7E902146"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The theory of ecological systems offered by Bronfenbrenner is quite persuasive as it acknowledges the idea that the life of children is conditioned by stratified systems, starting with the close family setting and ending with the socio-economic policies of a big scale. The needs are usually mapped in the domains of housing, education, parental wellbeing, peer relationships and community safety in Early Help assessments.</w:t>
      </w:r>
    </w:p>
    <w:p w14:paraId="7A59795B"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Nevertheless, the practice of the ecological theory is complicated. Although structural factors might be identified by assessments, interventions will be focused on the behaviours of parents or the functioning of a family. This may be an unconscious process of re-centring the responsibility in the house instead of confronting the wider systemic limitations. In that sense, operationalization of the ecological theory to the operational reality can bring the scope of intervention closer.</w:t>
      </w:r>
    </w:p>
    <w:p w14:paraId="55918CDF"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Strengths-Based Practice</w:t>
      </w:r>
    </w:p>
    <w:p w14:paraId="4BD627BE"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Strengths-based models focus on partnership, empowerment and appreciation of family capabilities. Instead of only paying attention to the deficits, practitioners collaborate with families to enhance the already existing strengths. Interventions by Early Help are mostly voluntary in nature aimed at decreasing the stigma relating to statutory child protection. It has been proposed that non-coercive participation enhances participation and trust.</w:t>
      </w:r>
    </w:p>
    <w:p w14:paraId="71BF90F7"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lastRenderedPageBreak/>
        <w:t>The practice of strengths-based is aimed at refuting deficit-oriented models that have dominated child protection in history. Practitioners can aim to empower families by determining the potential of parents, community networks, and currently available resilience, instead of making them passive participants who receive services.</w:t>
      </w:r>
    </w:p>
    <w:p w14:paraId="5D2957FA"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However, this is also a strategy that creates tensions. The role of highlighting assets in situations of extreme deprivation can beg the question of ignoring material deprivation. Families will be unable to develop resilience without proper housing, income, and service access. Thus, the strengths-based work cannot be considered without structural advocacy otherwise it will turn out as rhetorical.</w:t>
      </w:r>
    </w:p>
    <w:p w14:paraId="16210297"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It is also controversial whether the strengths-based approach erodes the required professional power in dangerous circumstances. Early Help demands professionals to balance between supportive collaboration and careful watchfulness, especially where risk can become more intense.</w:t>
      </w:r>
    </w:p>
    <w:p w14:paraId="0B6D1C7F"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Public Health and Preventive Models.</w:t>
      </w:r>
    </w:p>
    <w:p w14:paraId="73EAEC1B"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Early Help also fits with the models of public health intervention that view intervention as a continuum between universal and targeted to specialist. Universal services are supposed to encourage overall health; specific intervention is done in response to new risk; statutory intervention is in response to high-level harm. Early Help in theory prevents the movement along the risk spectrum.</w:t>
      </w:r>
    </w:p>
    <w:p w14:paraId="1670BBF3"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Nevertheless, this preventative model is still difficult to empirically validate. The measurement of non- events like non-occurring harm is methodologically challenging. Moreover, other background factors like poverty and inequality can constrain the capacity of service-level interventions in the provision of lasting results.</w:t>
      </w:r>
    </w:p>
    <w:p w14:paraId="7DE721BB"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The conceptualisation of the public health model is based on three levels of prevention: primary (universal), secondary (targeted), and tertiary (specialist/statutory). Early Help is closest related to secondary prevention.</w:t>
      </w:r>
    </w:p>
    <w:p w14:paraId="2705F593"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One of the main theoretical problems is to demonstrate prevention. Attribution in the event of no harmful consequences is speculative. Did statutory intervention avoidance reflect the effectiveness of Early Help, or did situations improve on their own? This quandary makes measurement of outcomes and justification of funds problematic.</w:t>
      </w:r>
    </w:p>
    <w:p w14:paraId="1C3BF832" w14:textId="2AAADEF2" w:rsidR="00E032C9" w:rsidRPr="00722A12" w:rsidRDefault="00E032C9" w:rsidP="00E032C9">
      <w:pPr>
        <w:jc w:val="both"/>
        <w:rPr>
          <w:rFonts w:ascii="Times New Roman" w:hAnsi="Times New Roman" w:cs="Times New Roman"/>
          <w:lang w:val="en-PK"/>
        </w:rPr>
      </w:pPr>
      <w:r w:rsidRPr="00E032C9">
        <w:rPr>
          <w:rFonts w:ascii="Times New Roman" w:hAnsi="Times New Roman" w:cs="Times New Roman"/>
          <w:lang w:val="en-PK"/>
        </w:rPr>
        <w:t>Furthermore, the approach of the public health models presupposes that the risk factors can be identified and altered. But complicated social issues can be connected in such a way as to defy the intervention logic. Prevention should therefore be interpreted as being probabilistic as opposed to being deterministic.</w:t>
      </w:r>
    </w:p>
    <w:p w14:paraId="02AC8244" w14:textId="77777777" w:rsidR="00722A12" w:rsidRDefault="00722A12" w:rsidP="008E0C61">
      <w:pPr>
        <w:jc w:val="both"/>
        <w:rPr>
          <w:rFonts w:ascii="Times New Roman" w:hAnsi="Times New Roman" w:cs="Times New Roman"/>
          <w:b/>
          <w:bCs/>
          <w:lang w:val="en-PK"/>
        </w:rPr>
      </w:pPr>
      <w:r w:rsidRPr="00722A12">
        <w:rPr>
          <w:rFonts w:ascii="Times New Roman" w:hAnsi="Times New Roman" w:cs="Times New Roman"/>
          <w:b/>
          <w:bCs/>
          <w:lang w:val="en-PK"/>
        </w:rPr>
        <w:t>3.3 Development of Early Help in the UK</w:t>
      </w:r>
    </w:p>
    <w:p w14:paraId="4FF72549"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 xml:space="preserve">In the UK, child welfare reform has traditionally been based on high-profile tragedies. The cases of Victoria Climbie and Peter Connelly were evidence of a failure of systems to protect </w:t>
      </w:r>
      <w:r w:rsidRPr="00E032C9">
        <w:rPr>
          <w:rFonts w:ascii="Times New Roman" w:hAnsi="Times New Roman" w:cs="Times New Roman"/>
          <w:lang w:val="en-PK"/>
        </w:rPr>
        <w:lastRenderedPageBreak/>
        <w:t>practice and led to reforms in an effort to enhance communication and early intervention. The focus of the policy changed to integrated services and inter-agency responsibility.</w:t>
      </w:r>
    </w:p>
    <w:p w14:paraId="575E4D1E"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Early Help emerged as a part of this wider reform agenda. It aimed to fill the gap between universal services and statutory child protection and provided formalized assessment and coordinated support to struggling families.</w:t>
      </w:r>
    </w:p>
    <w:p w14:paraId="57C14B71"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but the growth of it was in austerity. Job and revenue constraints decreased human resources and services to the community. There was a tendency of reorganizing services severally by some local authorities, which impacted on continuity and assessment. Consequently there is a great and diverse implementation making national appraisal of performance without a problem.</w:t>
      </w:r>
    </w:p>
    <w:p w14:paraId="2D781C32"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3.4 Socioeconomic Situation and Structural Inequality.</w:t>
      </w:r>
    </w:p>
    <w:p w14:paraId="73DE8473"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Studies always show that there exists a close relationship between socioeconomic deprivation and child protection involvement. Children in the most deprived neighbourhoods are much, much more likely to be put into child protection arrangements or into care.</w:t>
      </w:r>
    </w:p>
    <w:p w14:paraId="3A8C2B43"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Early Help is in this structural environment. Although it is likely to build resilience in the family and enhance parenting capacity, it does not address systemic poverty, housing, and labour market insecurity. According to critics, the lack of wider social policy reform means that preventative services run the risk of controlling symptoms but not the causes of them.</w:t>
      </w:r>
    </w:p>
    <w:p w14:paraId="2E646A01"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Social model of child protection suggests re-conceptualizing the issue of poverty as the main risk factor. In this respect, it can be concluded that in this case, Early Help must be combined with anti-poverty policies and community development projects in order to produce long-term effects.</w:t>
      </w:r>
    </w:p>
    <w:p w14:paraId="5D4378D6"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The most important contextual variable which determines the operation of Early Help is structural inequality, arguably. It has always been proven that children in the poorest regions are the ones who are over-represented in the child protection systems. Such a social gradient becomes one of the deepest ethical concerns of whether protective systems are reacting to harm or to poverty.</w:t>
      </w:r>
    </w:p>
    <w:p w14:paraId="007F86BB"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Poverty has several impacts on family functioning: monetary strain, cramped living conditions, instability of employment, and inaccessibility of childcare put pressure on parents. Stress over a long period may lead to mental health problems, relationship stability, and parenting capacity. Consequently, parenting skills interventions with material conditions are insufficient and might fail to deliver significant outcomes.</w:t>
      </w:r>
    </w:p>
    <w:p w14:paraId="3760775F"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There is mounting support of a social model of child protection, which also puts neglect and family stress into a new perspective, of economic inequality as opposed to individual deficit. In this respect, the Early Help must be designed with the inclusion of housing rights, maximisation of income, and access to welfare as the main aspects instead of being supportive.</w:t>
      </w:r>
    </w:p>
    <w:p w14:paraId="0AD03D46"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 xml:space="preserve">Also austerity policies have impacted on the deprived areas unfairly. Local authorities that have high-need populations can have higher demand and less financial capacity which can increase </w:t>
      </w:r>
      <w:r w:rsidRPr="00E032C9">
        <w:rPr>
          <w:rFonts w:ascii="Times New Roman" w:hAnsi="Times New Roman" w:cs="Times New Roman"/>
          <w:lang w:val="en-PK"/>
        </w:rPr>
        <w:lastRenderedPageBreak/>
        <w:t>the disparities in regional provision of Early Help. Therefore, there is a possible systematic variation in the effectiveness of Early Help across geography.</w:t>
      </w:r>
    </w:p>
    <w:p w14:paraId="114ACD84" w14:textId="71CB697D" w:rsidR="00E032C9" w:rsidRPr="00722A12" w:rsidRDefault="00E032C9" w:rsidP="00E032C9">
      <w:pPr>
        <w:jc w:val="both"/>
        <w:rPr>
          <w:rFonts w:ascii="Times New Roman" w:hAnsi="Times New Roman" w:cs="Times New Roman"/>
          <w:lang w:val="en-PK"/>
        </w:rPr>
      </w:pPr>
      <w:r w:rsidRPr="00E032C9">
        <w:rPr>
          <w:rFonts w:ascii="Times New Roman" w:hAnsi="Times New Roman" w:cs="Times New Roman"/>
          <w:lang w:val="en-PK"/>
        </w:rPr>
        <w:t>The socio-political environment in which Early Help is situated must therefore be taken into account in any assessment of its design too.</w:t>
      </w:r>
    </w:p>
    <w:p w14:paraId="7AB69609" w14:textId="77777777" w:rsidR="00722A12" w:rsidRDefault="00722A12" w:rsidP="008E0C61">
      <w:pPr>
        <w:pStyle w:val="Heading1"/>
        <w:rPr>
          <w:rFonts w:ascii="Times New Roman" w:hAnsi="Times New Roman" w:cs="Times New Roman"/>
          <w:b/>
          <w:bCs/>
          <w:color w:val="auto"/>
        </w:rPr>
      </w:pPr>
      <w:r w:rsidRPr="008E0C61">
        <w:rPr>
          <w:rFonts w:ascii="Times New Roman" w:hAnsi="Times New Roman" w:cs="Times New Roman"/>
          <w:b/>
          <w:bCs/>
          <w:color w:val="auto"/>
        </w:rPr>
        <w:t>4. Methods</w:t>
      </w:r>
    </w:p>
    <w:p w14:paraId="26D2ACF4"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t>The methodology that was used is a scoping review, which was implemented to conduct a mapping of the scope and nature of peer-reviewed studies of Early Help interventions in the UK. Scoping reviews are especially applicable in cases where literature is not homogenous in its design and conceptualisation. Instead of limiting the scope to the identification of specific methodologies, scoping techniques permit investigating the new themes, gaps, and research patterns.</w:t>
      </w:r>
    </w:p>
    <w:p w14:paraId="7B41C270"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t>Besides searching databases, there was a structured screening procedure in order to attain relevancy and transparency. Titles and abstracts were then filtered by the inclusion and exclusion criteria after elimination of the duplicates. Final eligibility was then decided with regards to full-text articles. Although this was not a full systematic review with PRISMA flow diagram reporting it was conducted in a structured and replicable manner in order to improve rigour.</w:t>
      </w:r>
    </w:p>
    <w:p w14:paraId="24CD2C90"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t>Quality Considerations</w:t>
      </w:r>
    </w:p>
    <w:p w14:paraId="6E335D1D"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t>Even though scoping reviews are not necessarily subject to formal appraisal of quality, the strengths and limitations of the methodology of a single study were taken into account during synthesis. The work on various studies had a wide range of design strength. Qualitative studies tended to use small samples and practitioner interviews and to offer richness of meaning but poor generalisability. Quantitative researches often did not have control groups or comparison regions, which limited the possibility to directly relate the results to the Early Help interventions.</w:t>
      </w:r>
    </w:p>
    <w:p w14:paraId="43880258"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t>Experimental or quasi experimental studies were only employed in a few studies. Randomised control trials were not abundant because of the ethical and practical challenges involved in denying support to the needy families. Consequently, there is a lot of observational evidence base.</w:t>
      </w:r>
    </w:p>
    <w:p w14:paraId="53CEB785"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t>Thematic Synthesis and Data Extraction.</w:t>
      </w:r>
    </w:p>
    <w:p w14:paraId="3C634315"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t>Appropriate data were plotted in the categories such as:</w:t>
      </w:r>
    </w:p>
    <w:p w14:paraId="47114755"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tab/>
        <w:t>Study design</w:t>
      </w:r>
    </w:p>
    <w:p w14:paraId="7CEA6563"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tab/>
        <w:t>Local authority context</w:t>
      </w:r>
    </w:p>
    <w:p w14:paraId="47407B2E"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tab/>
        <w:t>Target population</w:t>
      </w:r>
    </w:p>
    <w:p w14:paraId="0FC26310"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tab/>
        <w:t>Early Help Intervention Type.</w:t>
      </w:r>
    </w:p>
    <w:p w14:paraId="2F5F1E00"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lastRenderedPageBreak/>
        <w:tab/>
        <w:t>Outcome measures</w:t>
      </w:r>
    </w:p>
    <w:p w14:paraId="6F0EC0E3"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tab/>
        <w:t>Key findings</w:t>
      </w:r>
    </w:p>
    <w:p w14:paraId="240AAAF8"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t>A thematic analysis methodology was then taken to bring forth common patterns in studies. This enabled the synthesis of qualitative and quantitative results on similar thematic sub-headings, such as prevention, partnership working, family engagement and structural inequality.</w:t>
      </w:r>
    </w:p>
    <w:p w14:paraId="484DB227"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t>Limitations of Methodology of the Review.</w:t>
      </w:r>
    </w:p>
    <w:p w14:paraId="67B855A3"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t>There are a number of limitations of this review. Limiting inclusion to peer-reviewed literature might have omitted useful evaluation reports of local authorities or third-sector organisations. There is also the possibility of publication bias in which studies that had positive results can be published. Also, the difference in conceptualizations of what constitutes Early Help by different local authorities implies that the studies that will be included will deal with somewhat different paradigms of service delivery.</w:t>
      </w:r>
    </w:p>
    <w:p w14:paraId="25BA3565"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t>4.1 Search Strategy</w:t>
      </w:r>
    </w:p>
    <w:p w14:paraId="77BA02C5" w14:textId="739F1BBC" w:rsidR="00E032C9" w:rsidRPr="00E032C9" w:rsidRDefault="00E032C9" w:rsidP="00E032C9">
      <w:pPr>
        <w:jc w:val="both"/>
        <w:rPr>
          <w:rFonts w:ascii="Times New Roman" w:hAnsi="Times New Roman" w:cs="Times New Roman"/>
        </w:rPr>
      </w:pPr>
      <w:r w:rsidRPr="00E032C9">
        <w:rPr>
          <w:rFonts w:ascii="Times New Roman" w:hAnsi="Times New Roman" w:cs="Times New Roman"/>
        </w:rPr>
        <w:t>The electronic databases were searched such as EBSCOhost, SAGE Journals, PubMed and Social Care Online. The search terms were a combination of the following: Early Help, early intervention, social care of children, family support, and early intervention in the United Kingdom. Results were refined with the help of Boolean operators.</w:t>
      </w:r>
    </w:p>
    <w:p w14:paraId="5C7C2EC1" w14:textId="77777777" w:rsidR="00722A12" w:rsidRDefault="00722A12" w:rsidP="008E0C61">
      <w:pPr>
        <w:jc w:val="both"/>
        <w:rPr>
          <w:rFonts w:ascii="Times New Roman" w:hAnsi="Times New Roman" w:cs="Times New Roman"/>
          <w:b/>
          <w:bCs/>
          <w:lang w:val="en-PK"/>
        </w:rPr>
      </w:pPr>
      <w:r w:rsidRPr="00722A12">
        <w:rPr>
          <w:rFonts w:ascii="Times New Roman" w:hAnsi="Times New Roman" w:cs="Times New Roman"/>
          <w:b/>
          <w:bCs/>
          <w:lang w:val="en-PK"/>
        </w:rPr>
        <w:t>4.2 Inclusion Criteria</w:t>
      </w:r>
    </w:p>
    <w:p w14:paraId="231D33F8" w14:textId="77777777" w:rsidR="00E032C9" w:rsidRPr="00E032C9" w:rsidRDefault="00E032C9" w:rsidP="00E032C9">
      <w:pPr>
        <w:pStyle w:val="ListParagraph"/>
        <w:numPr>
          <w:ilvl w:val="0"/>
          <w:numId w:val="9"/>
        </w:numPr>
        <w:jc w:val="both"/>
        <w:rPr>
          <w:rFonts w:ascii="Times New Roman" w:hAnsi="Times New Roman" w:cs="Times New Roman"/>
          <w:lang w:val="en-PK"/>
        </w:rPr>
      </w:pPr>
      <w:r w:rsidRPr="00E032C9">
        <w:rPr>
          <w:rFonts w:ascii="Times New Roman" w:hAnsi="Times New Roman" w:cs="Times New Roman"/>
          <w:lang w:val="en-PK"/>
        </w:rPr>
        <w:t>Essays in peer-reviewed journals.</w:t>
      </w:r>
    </w:p>
    <w:p w14:paraId="325F7C19" w14:textId="54D76747" w:rsidR="00E032C9" w:rsidRPr="00E032C9" w:rsidRDefault="00E032C9" w:rsidP="00E032C9">
      <w:pPr>
        <w:pStyle w:val="ListParagraph"/>
        <w:numPr>
          <w:ilvl w:val="0"/>
          <w:numId w:val="9"/>
        </w:numPr>
        <w:jc w:val="both"/>
        <w:rPr>
          <w:rFonts w:ascii="Times New Roman" w:hAnsi="Times New Roman" w:cs="Times New Roman"/>
          <w:lang w:val="en-PK"/>
        </w:rPr>
      </w:pPr>
      <w:r w:rsidRPr="00E032C9">
        <w:rPr>
          <w:rFonts w:ascii="Times New Roman" w:hAnsi="Times New Roman" w:cs="Times New Roman"/>
          <w:lang w:val="en-PK"/>
        </w:rPr>
        <w:t>UK-based empirical studies</w:t>
      </w:r>
    </w:p>
    <w:p w14:paraId="14289E1B" w14:textId="3A29CA7D" w:rsidR="00E032C9" w:rsidRPr="00E032C9" w:rsidRDefault="00E032C9" w:rsidP="00E032C9">
      <w:pPr>
        <w:pStyle w:val="ListParagraph"/>
        <w:numPr>
          <w:ilvl w:val="0"/>
          <w:numId w:val="9"/>
        </w:numPr>
        <w:jc w:val="both"/>
        <w:rPr>
          <w:rFonts w:ascii="Times New Roman" w:hAnsi="Times New Roman" w:cs="Times New Roman"/>
          <w:lang w:val="en-PK"/>
        </w:rPr>
      </w:pPr>
      <w:r w:rsidRPr="00E032C9">
        <w:rPr>
          <w:rFonts w:ascii="Times New Roman" w:hAnsi="Times New Roman" w:cs="Times New Roman"/>
          <w:lang w:val="en-PK"/>
        </w:rPr>
        <w:t>Published between 2012 and 2024</w:t>
      </w:r>
    </w:p>
    <w:p w14:paraId="75462F2C" w14:textId="1AA35042" w:rsidR="00E032C9" w:rsidRPr="00E032C9" w:rsidRDefault="00E032C9" w:rsidP="00E032C9">
      <w:pPr>
        <w:pStyle w:val="ListParagraph"/>
        <w:numPr>
          <w:ilvl w:val="0"/>
          <w:numId w:val="9"/>
        </w:numPr>
        <w:jc w:val="both"/>
        <w:rPr>
          <w:rFonts w:ascii="Times New Roman" w:hAnsi="Times New Roman" w:cs="Times New Roman"/>
          <w:lang w:val="en-PK"/>
        </w:rPr>
      </w:pPr>
      <w:r w:rsidRPr="00E032C9">
        <w:rPr>
          <w:rFonts w:ascii="Times New Roman" w:hAnsi="Times New Roman" w:cs="Times New Roman"/>
          <w:lang w:val="en-PK"/>
        </w:rPr>
        <w:t>Target Early Help or preventative children services.</w:t>
      </w:r>
    </w:p>
    <w:p w14:paraId="208CA21F" w14:textId="77777777" w:rsidR="00E032C9" w:rsidRPr="00E032C9" w:rsidRDefault="00E032C9" w:rsidP="00E032C9">
      <w:pPr>
        <w:jc w:val="both"/>
        <w:rPr>
          <w:rFonts w:ascii="Times New Roman" w:hAnsi="Times New Roman" w:cs="Times New Roman"/>
          <w:b/>
          <w:bCs/>
          <w:lang w:val="en-PK"/>
        </w:rPr>
      </w:pPr>
      <w:r w:rsidRPr="00E032C9">
        <w:rPr>
          <w:rFonts w:ascii="Times New Roman" w:hAnsi="Times New Roman" w:cs="Times New Roman"/>
          <w:b/>
          <w:bCs/>
          <w:lang w:val="en-PK"/>
        </w:rPr>
        <w:t>4.3 Exclusion Criteria</w:t>
      </w:r>
    </w:p>
    <w:p w14:paraId="4E3451E8" w14:textId="21AEFC26" w:rsidR="00E032C9" w:rsidRPr="00E032C9" w:rsidRDefault="00E032C9" w:rsidP="00E032C9">
      <w:pPr>
        <w:pStyle w:val="ListParagraph"/>
        <w:numPr>
          <w:ilvl w:val="0"/>
          <w:numId w:val="11"/>
        </w:numPr>
        <w:jc w:val="both"/>
        <w:rPr>
          <w:rFonts w:ascii="Times New Roman" w:hAnsi="Times New Roman" w:cs="Times New Roman"/>
          <w:lang w:val="en-PK"/>
        </w:rPr>
      </w:pPr>
      <w:r w:rsidRPr="00E032C9">
        <w:rPr>
          <w:rFonts w:ascii="Times New Roman" w:hAnsi="Times New Roman" w:cs="Times New Roman"/>
          <w:lang w:val="en-PK"/>
        </w:rPr>
        <w:t>Policy documents</w:t>
      </w:r>
    </w:p>
    <w:p w14:paraId="48371888" w14:textId="0355BDE3" w:rsidR="00E032C9" w:rsidRPr="00E032C9" w:rsidRDefault="00E032C9" w:rsidP="00E032C9">
      <w:pPr>
        <w:pStyle w:val="ListParagraph"/>
        <w:numPr>
          <w:ilvl w:val="0"/>
          <w:numId w:val="11"/>
        </w:numPr>
        <w:jc w:val="both"/>
        <w:rPr>
          <w:rFonts w:ascii="Times New Roman" w:hAnsi="Times New Roman" w:cs="Times New Roman"/>
          <w:lang w:val="en-PK"/>
        </w:rPr>
      </w:pPr>
      <w:r w:rsidRPr="00E032C9">
        <w:rPr>
          <w:rFonts w:ascii="Times New Roman" w:hAnsi="Times New Roman" w:cs="Times New Roman"/>
          <w:lang w:val="en-PK"/>
        </w:rPr>
        <w:t>Opinions or commentary articles.</w:t>
      </w:r>
    </w:p>
    <w:p w14:paraId="04B4FECA" w14:textId="2D6B7B9B" w:rsidR="00E032C9" w:rsidRPr="00E032C9" w:rsidRDefault="00E032C9" w:rsidP="00E032C9">
      <w:pPr>
        <w:pStyle w:val="ListParagraph"/>
        <w:numPr>
          <w:ilvl w:val="0"/>
          <w:numId w:val="11"/>
        </w:numPr>
        <w:jc w:val="both"/>
        <w:rPr>
          <w:rFonts w:ascii="Times New Roman" w:hAnsi="Times New Roman" w:cs="Times New Roman"/>
          <w:lang w:val="en-PK"/>
        </w:rPr>
      </w:pPr>
      <w:r w:rsidRPr="00E032C9">
        <w:rPr>
          <w:rFonts w:ascii="Times New Roman" w:hAnsi="Times New Roman" w:cs="Times New Roman"/>
          <w:lang w:val="en-PK"/>
        </w:rPr>
        <w:t>Conference papers</w:t>
      </w:r>
    </w:p>
    <w:p w14:paraId="2E9F35A5" w14:textId="4D25C302" w:rsidR="00E032C9" w:rsidRPr="00E032C9" w:rsidRDefault="00E032C9" w:rsidP="00E032C9">
      <w:pPr>
        <w:pStyle w:val="ListParagraph"/>
        <w:numPr>
          <w:ilvl w:val="0"/>
          <w:numId w:val="11"/>
        </w:numPr>
        <w:jc w:val="both"/>
        <w:rPr>
          <w:rFonts w:ascii="Times New Roman" w:hAnsi="Times New Roman" w:cs="Times New Roman"/>
          <w:lang w:val="en-PK"/>
        </w:rPr>
      </w:pPr>
      <w:r w:rsidRPr="00E032C9">
        <w:rPr>
          <w:rFonts w:ascii="Times New Roman" w:hAnsi="Times New Roman" w:cs="Times New Roman"/>
          <w:lang w:val="en-PK"/>
        </w:rPr>
        <w:t>Non-UK studies</w:t>
      </w:r>
    </w:p>
    <w:p w14:paraId="2CD9BF81" w14:textId="77777777" w:rsidR="00E032C9" w:rsidRPr="00E032C9" w:rsidRDefault="00E032C9" w:rsidP="00E032C9">
      <w:pPr>
        <w:jc w:val="both"/>
        <w:rPr>
          <w:rFonts w:ascii="Times New Roman" w:hAnsi="Times New Roman" w:cs="Times New Roman"/>
          <w:b/>
          <w:bCs/>
          <w:lang w:val="en-PK"/>
        </w:rPr>
      </w:pPr>
      <w:r w:rsidRPr="00E032C9">
        <w:rPr>
          <w:rFonts w:ascii="Times New Roman" w:hAnsi="Times New Roman" w:cs="Times New Roman"/>
          <w:b/>
          <w:bCs/>
          <w:lang w:val="en-PK"/>
        </w:rPr>
        <w:t>4.4 Study Selection and Data extraction.</w:t>
      </w:r>
    </w:p>
    <w:p w14:paraId="430721A3" w14:textId="3894730F" w:rsid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A screening of studies on its relevance and classification by design (qualitative, quantitative, mixed methods) were done. Data mining involved the objectives of the study, design, sample characteristics, measurements of the outcomes, and the significant findings.</w:t>
      </w:r>
    </w:p>
    <w:p w14:paraId="4402C288" w14:textId="77777777" w:rsidR="00E032C9" w:rsidRPr="00722A12" w:rsidRDefault="00E032C9" w:rsidP="00E032C9">
      <w:pPr>
        <w:jc w:val="both"/>
        <w:rPr>
          <w:rFonts w:ascii="Times New Roman" w:hAnsi="Times New Roman" w:cs="Times New Roman"/>
          <w:lang w:val="en-PK"/>
        </w:rPr>
      </w:pPr>
    </w:p>
    <w:p w14:paraId="3925254C" w14:textId="77777777" w:rsidR="00722A12" w:rsidRPr="008E0C61" w:rsidRDefault="00722A12" w:rsidP="008E0C61">
      <w:pPr>
        <w:pStyle w:val="Heading1"/>
        <w:rPr>
          <w:rFonts w:ascii="Times New Roman" w:hAnsi="Times New Roman" w:cs="Times New Roman"/>
          <w:b/>
          <w:bCs/>
          <w:color w:val="auto"/>
        </w:rPr>
      </w:pPr>
      <w:r w:rsidRPr="008E0C61">
        <w:rPr>
          <w:rFonts w:ascii="Times New Roman" w:hAnsi="Times New Roman" w:cs="Times New Roman"/>
          <w:b/>
          <w:bCs/>
          <w:color w:val="auto"/>
        </w:rPr>
        <w:lastRenderedPageBreak/>
        <w:t>5. Results</w:t>
      </w:r>
    </w:p>
    <w:p w14:paraId="6114AFF2" w14:textId="77777777" w:rsidR="00722A12" w:rsidRDefault="00722A12" w:rsidP="008E0C61">
      <w:pPr>
        <w:jc w:val="both"/>
        <w:rPr>
          <w:rFonts w:ascii="Times New Roman" w:hAnsi="Times New Roman" w:cs="Times New Roman"/>
          <w:b/>
          <w:bCs/>
          <w:lang w:val="en-PK"/>
        </w:rPr>
      </w:pPr>
      <w:r w:rsidRPr="00722A12">
        <w:rPr>
          <w:rFonts w:ascii="Times New Roman" w:hAnsi="Times New Roman" w:cs="Times New Roman"/>
          <w:b/>
          <w:bCs/>
          <w:lang w:val="en-PK"/>
        </w:rPr>
        <w:t>5.1 Overview of Studies</w:t>
      </w:r>
    </w:p>
    <w:p w14:paraId="3D28A57F"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The studies included were of diverse design, scale and outcome measures. Qualitative studies prevailed, and many studied professional and family experiences. Quantitative ones were less and were often short-term. There was a lack of longitudinal data. Some of the major themes were identified to be prevention of escalation, multi-agency working, family engagement and structural inequality.</w:t>
      </w:r>
    </w:p>
    <w:p w14:paraId="5B61C7E3" w14:textId="77777777" w:rsidR="00E032C9" w:rsidRPr="00E032C9" w:rsidRDefault="00E032C9" w:rsidP="00E032C9">
      <w:pPr>
        <w:jc w:val="both"/>
        <w:rPr>
          <w:rFonts w:ascii="Times New Roman" w:hAnsi="Times New Roman" w:cs="Times New Roman"/>
          <w:b/>
          <w:bCs/>
          <w:lang w:val="en-PK"/>
        </w:rPr>
      </w:pPr>
      <w:r w:rsidRPr="00E032C9">
        <w:rPr>
          <w:rFonts w:ascii="Times New Roman" w:hAnsi="Times New Roman" w:cs="Times New Roman"/>
          <w:b/>
          <w:bCs/>
          <w:lang w:val="en-PK"/>
        </w:rPr>
        <w:t>5.2 Prevention of Escalation</w:t>
      </w:r>
    </w:p>
    <w:p w14:paraId="513E25A2"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Other research indicates that Early Help helps achieve fewer referrals to statutory services. Families that received coordinated support were less likely to evolve to child protection plans throughout the study period. But it is hard to determine the cause and effect. Referral rates can also capture changing thresholds or pressure on resources. There is still a lack of strong comparative data.</w:t>
      </w:r>
    </w:p>
    <w:p w14:paraId="58368D58" w14:textId="77777777" w:rsidR="00E032C9" w:rsidRPr="00E032C9" w:rsidRDefault="00E032C9" w:rsidP="00E032C9">
      <w:pPr>
        <w:jc w:val="both"/>
        <w:rPr>
          <w:rFonts w:ascii="Times New Roman" w:hAnsi="Times New Roman" w:cs="Times New Roman"/>
          <w:b/>
          <w:bCs/>
          <w:lang w:val="en-PK"/>
        </w:rPr>
      </w:pPr>
      <w:r w:rsidRPr="00E032C9">
        <w:rPr>
          <w:rFonts w:ascii="Times New Roman" w:hAnsi="Times New Roman" w:cs="Times New Roman"/>
          <w:b/>
          <w:bCs/>
          <w:lang w:val="en-PK"/>
        </w:rPr>
        <w:t>5.3 Multi-Agency Working</w:t>
      </w:r>
    </w:p>
    <w:p w14:paraId="3FD94C79"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There is evidence of better communication and joint assessment. It has been stated that joint planning processes will decrease duplication and increase holistic knowledge. Nonetheless, there are still obstacles such as the difference in organisational cultures, professional levels, issues of data sharing, and high employee turnover.</w:t>
      </w:r>
    </w:p>
    <w:p w14:paraId="0E57A031" w14:textId="77777777" w:rsidR="00E032C9" w:rsidRPr="00E032C9" w:rsidRDefault="00E032C9" w:rsidP="00E032C9">
      <w:pPr>
        <w:jc w:val="both"/>
        <w:rPr>
          <w:rFonts w:ascii="Times New Roman" w:hAnsi="Times New Roman" w:cs="Times New Roman"/>
          <w:b/>
          <w:bCs/>
          <w:lang w:val="en-PK"/>
        </w:rPr>
      </w:pPr>
      <w:r w:rsidRPr="00E032C9">
        <w:rPr>
          <w:rFonts w:ascii="Times New Roman" w:hAnsi="Times New Roman" w:cs="Times New Roman"/>
          <w:b/>
          <w:bCs/>
          <w:lang w:val="en-PK"/>
        </w:rPr>
        <w:t>5.4 Family Engagement</w:t>
      </w:r>
    </w:p>
    <w:p w14:paraId="52A9304C"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The families usually refer to Early Help as not confrontational as compared to statutory intervention. Trust is created by voluntary participation and strength-based approaches. The parents report that they are listened to and are supported. However, the change between Early Help and the statutory services might be shocking and disorienting.</w:t>
      </w:r>
    </w:p>
    <w:p w14:paraId="3FAEABCD" w14:textId="77777777" w:rsidR="00E032C9" w:rsidRPr="00E032C9" w:rsidRDefault="00E032C9" w:rsidP="00E032C9">
      <w:pPr>
        <w:jc w:val="both"/>
        <w:rPr>
          <w:rFonts w:ascii="Times New Roman" w:hAnsi="Times New Roman" w:cs="Times New Roman"/>
          <w:b/>
          <w:bCs/>
          <w:lang w:val="en-PK"/>
        </w:rPr>
      </w:pPr>
      <w:r w:rsidRPr="00E032C9">
        <w:rPr>
          <w:rFonts w:ascii="Times New Roman" w:hAnsi="Times New Roman" w:cs="Times New Roman"/>
          <w:b/>
          <w:bCs/>
          <w:lang w:val="en-PK"/>
        </w:rPr>
        <w:t>5.5 Structural Inequality</w:t>
      </w:r>
    </w:p>
    <w:p w14:paraId="2B01A94C"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Poverty is also a major contextual situation as noted through studies. Early Help can reduce stressors and not structural disadvantage. It seems that the interventions are the most effective when they are supported by material assistance and stable community resources.</w:t>
      </w:r>
    </w:p>
    <w:p w14:paraId="79C88992"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Among the most important findings throughout the literature is the variety of the way Early Help is organized and implemented. There are some local authorities which have centralised Early Help hubs and multidisciplinary teams. Some incorporate Early Help into a social work team or outsource this task to a third-sector organisation, which can provide some aspects of Early Help like parenting programmes or mentoring of young people.</w:t>
      </w:r>
    </w:p>
    <w:p w14:paraId="1D529263"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This diversity influences access, predictability and quantifiability. In locations with built-in hubs and open referral channels, the literature presented more coordinated responses and greater confidence in practitioners. Conversely, fragmented models caused duplication or support gaps on some occasions.</w:t>
      </w:r>
    </w:p>
    <w:p w14:paraId="6905AF6E" w14:textId="03C6AC9F" w:rsidR="00E032C9" w:rsidRPr="00722A12" w:rsidRDefault="00E032C9" w:rsidP="00E032C9">
      <w:pPr>
        <w:jc w:val="both"/>
        <w:rPr>
          <w:rFonts w:ascii="Times New Roman" w:hAnsi="Times New Roman" w:cs="Times New Roman"/>
          <w:lang w:val="en-PK"/>
        </w:rPr>
      </w:pPr>
      <w:r w:rsidRPr="00E032C9">
        <w:rPr>
          <w:rFonts w:ascii="Times New Roman" w:hAnsi="Times New Roman" w:cs="Times New Roman"/>
          <w:lang w:val="en-PK"/>
        </w:rPr>
        <w:lastRenderedPageBreak/>
        <w:t>This kind of variation makes national evaluation cumbersome. The consequences can be a representation of structural capacity instead of content of intervention. Thus, it is not possible to separate effectiveness and organisational context.</w:t>
      </w:r>
    </w:p>
    <w:p w14:paraId="25D6CACF" w14:textId="5A52B8DC" w:rsidR="00722A12" w:rsidRDefault="00722A12" w:rsidP="008E0C61">
      <w:pPr>
        <w:jc w:val="both"/>
        <w:rPr>
          <w:rFonts w:ascii="Times New Roman" w:hAnsi="Times New Roman" w:cs="Times New Roman"/>
          <w:b/>
          <w:bCs/>
          <w:lang w:val="en-PK"/>
        </w:rPr>
      </w:pPr>
      <w:r w:rsidRPr="00722A12">
        <w:rPr>
          <w:rFonts w:ascii="Times New Roman" w:hAnsi="Times New Roman" w:cs="Times New Roman"/>
          <w:b/>
          <w:bCs/>
          <w:lang w:val="en-PK"/>
        </w:rPr>
        <w:t>5.</w:t>
      </w:r>
      <w:r w:rsidR="00E032C9">
        <w:rPr>
          <w:rFonts w:ascii="Times New Roman" w:hAnsi="Times New Roman" w:cs="Times New Roman"/>
          <w:b/>
          <w:bCs/>
          <w:lang w:val="en-PK"/>
        </w:rPr>
        <w:t>6</w:t>
      </w:r>
      <w:r w:rsidRPr="00722A12">
        <w:rPr>
          <w:rFonts w:ascii="Times New Roman" w:hAnsi="Times New Roman" w:cs="Times New Roman"/>
          <w:b/>
          <w:bCs/>
          <w:lang w:val="en-PK"/>
        </w:rPr>
        <w:t xml:space="preserve"> Access and Thresholds</w:t>
      </w:r>
    </w:p>
    <w:p w14:paraId="35D3372E"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A number of studies indicate that Early Help has enhanced access to family assistance to the families that otherwise would not have reached the statutory thresholds but had a major challenge. Practitioners indicate that Early Help provides a mechanism of stepping down or stepping up, which means flexible responses to the varying degrees of risk.</w:t>
      </w:r>
    </w:p>
    <w:p w14:paraId="02F8B821"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Nevertheless, it has been proven that there is inconsistent evidence of thresholds between authorities. On occasion, due to resource pressure, Early Help services might focus on those families that have greater needs, reduce the scope of its preventative efforts. This poses a conflict between the ideals of early intervention and operational reality.</w:t>
      </w:r>
    </w:p>
    <w:p w14:paraId="1ABC8A5B" w14:textId="77777777" w:rsidR="00E032C9" w:rsidRPr="00E032C9" w:rsidRDefault="00E032C9" w:rsidP="00E032C9">
      <w:pPr>
        <w:jc w:val="both"/>
        <w:rPr>
          <w:rFonts w:ascii="Times New Roman" w:hAnsi="Times New Roman" w:cs="Times New Roman"/>
          <w:b/>
          <w:bCs/>
          <w:lang w:val="en-PK"/>
        </w:rPr>
      </w:pPr>
      <w:r w:rsidRPr="00E032C9">
        <w:rPr>
          <w:rFonts w:ascii="Times New Roman" w:hAnsi="Times New Roman" w:cs="Times New Roman"/>
          <w:b/>
          <w:bCs/>
          <w:lang w:val="en-PK"/>
        </w:rPr>
        <w:t>5.7 Impact on Child Outcomes</w:t>
      </w:r>
    </w:p>
    <w:p w14:paraId="4E1479A9"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There are few quantitative indications on the measurable child outcomes. Others showed short term increases in school attendance, behavioural issues and increased parental confidence. Parenting programmes in Early Help services demonstrated small improvements in parent-child interaction and setting boundaries.</w:t>
      </w:r>
    </w:p>
    <w:p w14:paraId="028C2682"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However, not many studies were conducted after 12-24 months. There is no long-term tracking that can determine whether the initial gains can be maintained into the adolescent period or even adulthood. Poor consistency of outcome measures further restricts cross-study comparison.</w:t>
      </w:r>
    </w:p>
    <w:p w14:paraId="55AE0219" w14:textId="77777777" w:rsidR="00E032C9" w:rsidRPr="00E032C9" w:rsidRDefault="00E032C9" w:rsidP="00E032C9">
      <w:pPr>
        <w:jc w:val="both"/>
        <w:rPr>
          <w:rFonts w:ascii="Times New Roman" w:hAnsi="Times New Roman" w:cs="Times New Roman"/>
          <w:b/>
          <w:bCs/>
          <w:lang w:val="en-PK"/>
        </w:rPr>
      </w:pPr>
      <w:r w:rsidRPr="00E032C9">
        <w:rPr>
          <w:rFonts w:ascii="Times New Roman" w:hAnsi="Times New Roman" w:cs="Times New Roman"/>
          <w:b/>
          <w:bCs/>
          <w:lang w:val="en-PK"/>
        </w:rPr>
        <w:t>5.8 Professional Practice and Workforce Experience.</w:t>
      </w:r>
    </w:p>
    <w:p w14:paraId="0F934DC2"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Studies show that practitioners appreciate relational and preventative approach of Early Help. According to professionals, there is increased autonomy and the chance to establish positive relationships, as opposed to statutory child protection contexts.</w:t>
      </w:r>
    </w:p>
    <w:p w14:paraId="211AB956"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Nonetheless, pressure in the workforce is still a major issue. Continuity can be derailed by high caseloads, staff turnover and administrative demands. The time spent in preventative work allows building trust, but the limited resources are usually allocated to responding to a crisis.</w:t>
      </w:r>
    </w:p>
    <w:p w14:paraId="1944D204" w14:textId="77777777" w:rsidR="00E032C9" w:rsidRPr="00E032C9" w:rsidRDefault="00E032C9" w:rsidP="00E032C9">
      <w:pPr>
        <w:jc w:val="both"/>
        <w:rPr>
          <w:rFonts w:ascii="Times New Roman" w:hAnsi="Times New Roman" w:cs="Times New Roman"/>
          <w:b/>
          <w:bCs/>
          <w:lang w:val="en-PK"/>
        </w:rPr>
      </w:pPr>
      <w:r w:rsidRPr="00E032C9">
        <w:rPr>
          <w:rFonts w:ascii="Times New Roman" w:hAnsi="Times New Roman" w:cs="Times New Roman"/>
          <w:b/>
          <w:bCs/>
          <w:lang w:val="en-PK"/>
        </w:rPr>
        <w:t>5.9 Economic Evidence and Cost-Effectiveness.</w:t>
      </w:r>
    </w:p>
    <w:p w14:paraId="003998A8" w14:textId="77777777" w:rsidR="00E032C9" w:rsidRPr="00E032C9" w:rsidRDefault="00E032C9" w:rsidP="00E032C9">
      <w:pPr>
        <w:jc w:val="both"/>
        <w:rPr>
          <w:rFonts w:ascii="Times New Roman" w:hAnsi="Times New Roman" w:cs="Times New Roman"/>
          <w:lang w:val="en-PK"/>
        </w:rPr>
      </w:pPr>
      <w:r w:rsidRPr="00E032C9">
        <w:rPr>
          <w:rFonts w:ascii="Times New Roman" w:hAnsi="Times New Roman" w:cs="Times New Roman"/>
          <w:lang w:val="en-PK"/>
        </w:rPr>
        <w:t>There is a lack of economic assessment evidence. There are modelling studies indicating that employment of effective early intervention may lower the cost of care placements and criminal justice involvement in the long term. Nevertheless, there are few direct empirical cost-effectiveness studies.</w:t>
      </w:r>
    </w:p>
    <w:p w14:paraId="69BA760C" w14:textId="3CA21729" w:rsidR="00E032C9" w:rsidRPr="00722A12" w:rsidRDefault="00E032C9" w:rsidP="00E032C9">
      <w:pPr>
        <w:jc w:val="both"/>
        <w:rPr>
          <w:rFonts w:ascii="Times New Roman" w:hAnsi="Times New Roman" w:cs="Times New Roman"/>
          <w:lang w:val="en-PK"/>
        </w:rPr>
      </w:pPr>
      <w:r w:rsidRPr="00E032C9">
        <w:rPr>
          <w:rFonts w:ascii="Times New Roman" w:hAnsi="Times New Roman" w:cs="Times New Roman"/>
          <w:lang w:val="en-PK"/>
        </w:rPr>
        <w:t>Early Help will need capital investment which will not be recovered immediately but only after several years. This lack of sustainable investment in the face of annual budget constraints can be demoralized by this mismatch in time.</w:t>
      </w:r>
    </w:p>
    <w:p w14:paraId="3D25A31E" w14:textId="77777777" w:rsidR="00722A12" w:rsidRDefault="00722A12" w:rsidP="008E0C61">
      <w:pPr>
        <w:pStyle w:val="Heading1"/>
        <w:rPr>
          <w:rFonts w:ascii="Times New Roman" w:hAnsi="Times New Roman" w:cs="Times New Roman"/>
          <w:b/>
          <w:bCs/>
          <w:color w:val="auto"/>
        </w:rPr>
      </w:pPr>
      <w:r w:rsidRPr="008E0C61">
        <w:rPr>
          <w:rFonts w:ascii="Times New Roman" w:hAnsi="Times New Roman" w:cs="Times New Roman"/>
          <w:b/>
          <w:bCs/>
          <w:color w:val="auto"/>
        </w:rPr>
        <w:lastRenderedPageBreak/>
        <w:t>6. Discussion</w:t>
      </w:r>
    </w:p>
    <w:p w14:paraId="4F3BBFB6"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t>The review identifies a conflict between good theoretical justification and little empirical certitude. The qualitative data show that engagement and professional collaboration have been improved. Relational approaches are valued by families and practitioners appreciate the need to support them early and voluntarily.</w:t>
      </w:r>
    </w:p>
    <w:p w14:paraId="42369371"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t>But there are no long-term quantitative studies that can be used to conclude on long-term impact. The methodology of prevention measurement is difficult. Also, austerity has limited capacity resulting to irregular delivery.</w:t>
      </w:r>
    </w:p>
    <w:p w14:paraId="42C32639"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t>Evaluation is also complicated by structural inequality. The preventative services can only lessen the immediate danger and they can not in and of themselves conquer the deep-rooted deprivation. The response to sustainable child wellbeing needs an expanded policy response.</w:t>
      </w:r>
    </w:p>
    <w:p w14:paraId="539E402F"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t>This is a paradox that can be noted in this review. There is a strong theoretical and policy support of Early Help, but a small evidence base, which is methodologically limited. The qualitative literature is full of interesting stories of the better engagement, improved family relationships, and professional cooperation. Such results indicate significant relational advantages.</w:t>
      </w:r>
    </w:p>
    <w:p w14:paraId="79111EFE"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t>Prevention as an outcome is however, difficult to measure. Fewer statutory service referrals might also be neutral signs of better family functioning, or threshold shifts or capacity of the services. Thus, preventative successes should be viewed with a word of caution.</w:t>
      </w:r>
    </w:p>
    <w:p w14:paraId="20DEE0E6"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t>In addition, Early Help is a part of a larger political economy of austerity and inequality. Service-level interventions may have limited transformative ability due to structural causes of family stress such as poverty, housing insecurity and welfare reform. Preventative ambitions can be limited without the consideration of these conditions.</w:t>
      </w:r>
    </w:p>
    <w:p w14:paraId="21669D51"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t>It is also proposed in the review that effectiveness is more relational than procedural. Families react well to strength-based supportive experiences. This supports the value of workforce stability and practitioner skill and time to engage.</w:t>
      </w:r>
    </w:p>
    <w:p w14:paraId="78ADE405" w14:textId="77777777" w:rsidR="00E032C9" w:rsidRPr="00E032C9" w:rsidRDefault="00E032C9" w:rsidP="00E032C9">
      <w:pPr>
        <w:jc w:val="both"/>
        <w:rPr>
          <w:rFonts w:ascii="Times New Roman" w:hAnsi="Times New Roman" w:cs="Times New Roman"/>
        </w:rPr>
      </w:pPr>
      <w:r w:rsidRPr="00E032C9">
        <w:rPr>
          <w:rFonts w:ascii="Times New Roman" w:hAnsi="Times New Roman" w:cs="Times New Roman"/>
        </w:rPr>
        <w:t>Local delivery models vary in yet another complication. Standardisation can enhance assessment but will jeopardise local responsiveness. There should then be a reconciliation between national uniformity and situational dynamism.</w:t>
      </w:r>
    </w:p>
    <w:p w14:paraId="6A518A5A" w14:textId="42118B7A" w:rsidR="00E032C9" w:rsidRPr="00E032C9" w:rsidRDefault="00E032C9" w:rsidP="00E032C9">
      <w:pPr>
        <w:jc w:val="both"/>
        <w:rPr>
          <w:rFonts w:ascii="Times New Roman" w:hAnsi="Times New Roman" w:cs="Times New Roman"/>
        </w:rPr>
      </w:pPr>
      <w:r w:rsidRPr="00E032C9">
        <w:rPr>
          <w:rFonts w:ascii="Times New Roman" w:hAnsi="Times New Roman" w:cs="Times New Roman"/>
        </w:rPr>
        <w:t>Lastly, there is a gap in the limited longitudinal evidence. When Early Help is focused on changing the trajectories of life, it should not only be assessed by indicators of the services within several months but also by the outcomes of development during several years.</w:t>
      </w:r>
    </w:p>
    <w:p w14:paraId="69A9B9FD" w14:textId="77777777" w:rsidR="00722A12" w:rsidRDefault="00722A12" w:rsidP="008E0C61">
      <w:pPr>
        <w:pStyle w:val="Heading1"/>
        <w:rPr>
          <w:rFonts w:ascii="Times New Roman" w:hAnsi="Times New Roman" w:cs="Times New Roman"/>
          <w:b/>
          <w:bCs/>
          <w:color w:val="auto"/>
          <w:lang w:val="en-PK"/>
        </w:rPr>
      </w:pPr>
      <w:r w:rsidRPr="008E0C61">
        <w:rPr>
          <w:rFonts w:ascii="Times New Roman" w:hAnsi="Times New Roman" w:cs="Times New Roman"/>
          <w:b/>
          <w:bCs/>
          <w:color w:val="auto"/>
          <w:lang w:val="en-PK"/>
        </w:rPr>
        <w:t>7. Conclusion</w:t>
      </w:r>
    </w:p>
    <w:p w14:paraId="73B18EA9" w14:textId="77777777" w:rsidR="00E032C9" w:rsidRPr="00CC2624" w:rsidRDefault="00E032C9" w:rsidP="00CC2624">
      <w:pPr>
        <w:jc w:val="both"/>
        <w:rPr>
          <w:rFonts w:ascii="Times New Roman" w:hAnsi="Times New Roman" w:cs="Times New Roman"/>
          <w:lang w:val="en-PK"/>
        </w:rPr>
      </w:pPr>
      <w:r w:rsidRPr="00CC2624">
        <w:rPr>
          <w:rFonts w:ascii="Times New Roman" w:hAnsi="Times New Roman" w:cs="Times New Roman"/>
          <w:lang w:val="en-PK"/>
        </w:rPr>
        <w:t>The evidence on the effectiveness of Early Help in the United Kingdom is not a unanimous one. The positive engagement of qualitative research and better professional cooperation is implied. Nevertheless, there is still limited strong longitudinal quantitative data.</w:t>
      </w:r>
    </w:p>
    <w:p w14:paraId="7DBAD2D1" w14:textId="77777777" w:rsidR="00E032C9" w:rsidRPr="00CC2624" w:rsidRDefault="00E032C9" w:rsidP="00CC2624">
      <w:pPr>
        <w:jc w:val="both"/>
        <w:rPr>
          <w:rFonts w:ascii="Times New Roman" w:hAnsi="Times New Roman" w:cs="Times New Roman"/>
          <w:lang w:val="en-PK"/>
        </w:rPr>
      </w:pPr>
      <w:r w:rsidRPr="00CC2624">
        <w:rPr>
          <w:rFonts w:ascii="Times New Roman" w:hAnsi="Times New Roman" w:cs="Times New Roman"/>
          <w:lang w:val="en-PK"/>
        </w:rPr>
        <w:lastRenderedPageBreak/>
        <w:t>Implementation and outcomes persist in being influenced by financial shortages, methodological gaps and structural inequality. Early Help is based on sound theoretical foundations and conforms to the principles of safeguarding, but to show the long-term preventative effect, the continued investment is needed, as well as better data systems and broader social policy interventions.</w:t>
      </w:r>
    </w:p>
    <w:p w14:paraId="03368BA6" w14:textId="77777777" w:rsidR="00E032C9" w:rsidRPr="00CC2624" w:rsidRDefault="00E032C9" w:rsidP="00CC2624">
      <w:pPr>
        <w:jc w:val="both"/>
        <w:rPr>
          <w:rFonts w:ascii="Times New Roman" w:hAnsi="Times New Roman" w:cs="Times New Roman"/>
          <w:lang w:val="en-PK"/>
        </w:rPr>
      </w:pPr>
      <w:r w:rsidRPr="00CC2624">
        <w:rPr>
          <w:rFonts w:ascii="Times New Roman" w:hAnsi="Times New Roman" w:cs="Times New Roman"/>
          <w:lang w:val="en-PK"/>
        </w:rPr>
        <w:t>Comprehensively, the information of Early Help in the social care of children in the UK is rather subtle and cautious. The conceptual rationale and appeal of early intervention is quite high. Families usually testify about positive experiences and practitioners appreciate collaboration and prevention. Early Help obviously plays a significant role in the gap between universal provision and statutory child protection.</w:t>
      </w:r>
    </w:p>
    <w:p w14:paraId="5E980C2F" w14:textId="77777777" w:rsidR="00E032C9" w:rsidRPr="00CC2624" w:rsidRDefault="00E032C9" w:rsidP="00CC2624">
      <w:pPr>
        <w:jc w:val="both"/>
        <w:rPr>
          <w:rFonts w:ascii="Times New Roman" w:hAnsi="Times New Roman" w:cs="Times New Roman"/>
          <w:lang w:val="en-PK"/>
        </w:rPr>
      </w:pPr>
      <w:r w:rsidRPr="00CC2624">
        <w:rPr>
          <w:rFonts w:ascii="Times New Roman" w:hAnsi="Times New Roman" w:cs="Times New Roman"/>
          <w:lang w:val="en-PK"/>
        </w:rPr>
        <w:t>Nevertheless, there is still a limited evidence of long-term effectiveness. There are methodological limitations, inconsistency of the outcome measures, and local variation that diminish the possibility of making conclusive conclusions. Moreover, larger socioeconomic disparities contribute to the contexts, in which services work, restricting the ability of preventative interventions to do so on its own.</w:t>
      </w:r>
    </w:p>
    <w:p w14:paraId="0A185FB7" w14:textId="77777777" w:rsidR="00E032C9" w:rsidRPr="00CC2624" w:rsidRDefault="00E032C9" w:rsidP="00CC2624">
      <w:pPr>
        <w:jc w:val="both"/>
        <w:rPr>
          <w:rFonts w:ascii="Times New Roman" w:hAnsi="Times New Roman" w:cs="Times New Roman"/>
          <w:lang w:val="en-PK"/>
        </w:rPr>
      </w:pPr>
      <w:r w:rsidRPr="00CC2624">
        <w:rPr>
          <w:rFonts w:ascii="Times New Roman" w:hAnsi="Times New Roman" w:cs="Times New Roman"/>
          <w:lang w:val="en-PK"/>
        </w:rPr>
        <w:t>Early Help is not to be perceived as the isolated way of protecting difficulties. Instead, it is a part of a broader child welfare system which needs to be appropriately funded, coordinated, and supported by social policy to alleviate poverty and inequality.</w:t>
      </w:r>
    </w:p>
    <w:p w14:paraId="589F9D9C" w14:textId="641CA487" w:rsidR="00E032C9" w:rsidRPr="00CC2624" w:rsidRDefault="00E032C9" w:rsidP="00CC2624">
      <w:pPr>
        <w:jc w:val="both"/>
        <w:rPr>
          <w:rFonts w:ascii="Times New Roman" w:hAnsi="Times New Roman" w:cs="Times New Roman"/>
          <w:lang w:val="en-PK"/>
        </w:rPr>
      </w:pPr>
      <w:r w:rsidRPr="00CC2624">
        <w:rPr>
          <w:rFonts w:ascii="Times New Roman" w:hAnsi="Times New Roman" w:cs="Times New Roman"/>
          <w:lang w:val="en-PK"/>
        </w:rPr>
        <w:t>The proposed studies should focus on longitudinal follow-up, measurement models, and better theorisation of how particular elements of interventions lead to change. In absence of this, policy backing can still be ahead of the evidence.</w:t>
      </w:r>
    </w:p>
    <w:p w14:paraId="2F7450EB" w14:textId="77777777" w:rsidR="00722A12" w:rsidRPr="008E0C61" w:rsidRDefault="00722A12" w:rsidP="008E0C61">
      <w:pPr>
        <w:pStyle w:val="Heading1"/>
        <w:rPr>
          <w:rFonts w:ascii="Times New Roman" w:hAnsi="Times New Roman" w:cs="Times New Roman"/>
          <w:b/>
          <w:bCs/>
          <w:color w:val="auto"/>
          <w:lang w:val="en-PK"/>
        </w:rPr>
      </w:pPr>
      <w:r w:rsidRPr="008E0C61">
        <w:rPr>
          <w:rFonts w:ascii="Times New Roman" w:hAnsi="Times New Roman" w:cs="Times New Roman"/>
          <w:b/>
          <w:bCs/>
          <w:color w:val="auto"/>
          <w:lang w:val="en-PK"/>
        </w:rPr>
        <w:t>8. Recommendations</w:t>
      </w:r>
    </w:p>
    <w:p w14:paraId="42C4C479" w14:textId="77777777" w:rsidR="00CC2624" w:rsidRPr="00CC2624" w:rsidRDefault="00CC2624" w:rsidP="00CC2624">
      <w:pPr>
        <w:pStyle w:val="ListParagraph"/>
        <w:numPr>
          <w:ilvl w:val="0"/>
          <w:numId w:val="15"/>
        </w:numPr>
        <w:rPr>
          <w:rFonts w:ascii="Times New Roman" w:hAnsi="Times New Roman" w:cs="Times New Roman"/>
        </w:rPr>
      </w:pPr>
      <w:r w:rsidRPr="00CC2624">
        <w:rPr>
          <w:rFonts w:ascii="Times New Roman" w:hAnsi="Times New Roman" w:cs="Times New Roman"/>
        </w:rPr>
        <w:t>Establish a national standardised system of outcome measurements.</w:t>
      </w:r>
    </w:p>
    <w:p w14:paraId="11B23558" w14:textId="323B4E2D" w:rsidR="00CC2624" w:rsidRPr="00CC2624" w:rsidRDefault="00CC2624" w:rsidP="00CC2624">
      <w:pPr>
        <w:pStyle w:val="ListParagraph"/>
        <w:numPr>
          <w:ilvl w:val="0"/>
          <w:numId w:val="15"/>
        </w:numPr>
        <w:rPr>
          <w:rFonts w:ascii="Times New Roman" w:hAnsi="Times New Roman" w:cs="Times New Roman"/>
        </w:rPr>
      </w:pPr>
      <w:r w:rsidRPr="00CC2624">
        <w:rPr>
          <w:rFonts w:ascii="Times New Roman" w:hAnsi="Times New Roman" w:cs="Times New Roman"/>
        </w:rPr>
        <w:t>Raise the amount of funding in preventative services.</w:t>
      </w:r>
    </w:p>
    <w:p w14:paraId="7CB52D35" w14:textId="53DF2266" w:rsidR="00CC2624" w:rsidRPr="00CC2624" w:rsidRDefault="00CC2624" w:rsidP="00CC2624">
      <w:pPr>
        <w:pStyle w:val="ListParagraph"/>
        <w:numPr>
          <w:ilvl w:val="0"/>
          <w:numId w:val="15"/>
        </w:numPr>
        <w:rPr>
          <w:rFonts w:ascii="Times New Roman" w:hAnsi="Times New Roman" w:cs="Times New Roman"/>
        </w:rPr>
      </w:pPr>
      <w:r w:rsidRPr="00CC2624">
        <w:rPr>
          <w:rFonts w:ascii="Times New Roman" w:hAnsi="Times New Roman" w:cs="Times New Roman"/>
        </w:rPr>
        <w:t>Carry out longitudinal research on the child and family outcomes.</w:t>
      </w:r>
    </w:p>
    <w:p w14:paraId="4D944BF4" w14:textId="1623C644" w:rsidR="00CC2624" w:rsidRPr="00CC2624" w:rsidRDefault="00CC2624" w:rsidP="00CC2624">
      <w:pPr>
        <w:pStyle w:val="ListParagraph"/>
        <w:numPr>
          <w:ilvl w:val="0"/>
          <w:numId w:val="15"/>
        </w:numPr>
        <w:rPr>
          <w:rFonts w:ascii="Times New Roman" w:hAnsi="Times New Roman" w:cs="Times New Roman"/>
        </w:rPr>
      </w:pPr>
      <w:r w:rsidRPr="00CC2624">
        <w:rPr>
          <w:rFonts w:ascii="Times New Roman" w:hAnsi="Times New Roman" w:cs="Times New Roman"/>
        </w:rPr>
        <w:t>Encompass Early Help into a wider approach to anti-poverty and social policies.</w:t>
      </w:r>
    </w:p>
    <w:p w14:paraId="43ED96F2" w14:textId="4D32B9AA" w:rsidR="00E33773" w:rsidRPr="00CC2624" w:rsidRDefault="00CC2624" w:rsidP="00CC2624">
      <w:pPr>
        <w:pStyle w:val="ListParagraph"/>
        <w:numPr>
          <w:ilvl w:val="0"/>
          <w:numId w:val="15"/>
        </w:numPr>
        <w:rPr>
          <w:rFonts w:ascii="Times New Roman" w:hAnsi="Times New Roman" w:cs="Times New Roman"/>
        </w:rPr>
      </w:pPr>
      <w:r w:rsidRPr="00CC2624">
        <w:rPr>
          <w:rFonts w:ascii="Times New Roman" w:hAnsi="Times New Roman" w:cs="Times New Roman"/>
        </w:rPr>
        <w:t>Enhance human capital in ecological and strengths-based practice.</w:t>
      </w:r>
    </w:p>
    <w:p w14:paraId="5E6175AE" w14:textId="77777777" w:rsidR="00722A12" w:rsidRPr="00722A12" w:rsidRDefault="00722A12" w:rsidP="00722A12"/>
    <w:p w14:paraId="18F8F261" w14:textId="77777777" w:rsidR="00722A12" w:rsidRPr="00722A12" w:rsidRDefault="00722A12" w:rsidP="00722A12"/>
    <w:p w14:paraId="74F7F66C" w14:textId="77777777" w:rsidR="00722A12" w:rsidRPr="00722A12" w:rsidRDefault="00722A12" w:rsidP="00722A12"/>
    <w:p w14:paraId="3AA99751" w14:textId="77777777" w:rsidR="00722A12" w:rsidRPr="00722A12" w:rsidRDefault="00722A12" w:rsidP="00722A12"/>
    <w:p w14:paraId="11DD8299" w14:textId="77777777" w:rsidR="00722A12" w:rsidRPr="00722A12" w:rsidRDefault="00722A12" w:rsidP="00722A12"/>
    <w:p w14:paraId="511325DE" w14:textId="77777777" w:rsidR="00722A12" w:rsidRPr="00722A12" w:rsidRDefault="00722A12" w:rsidP="00722A12"/>
    <w:p w14:paraId="14D19E54" w14:textId="77777777" w:rsidR="00CC2624" w:rsidRDefault="00CC2624" w:rsidP="00CC2624">
      <w:pPr>
        <w:tabs>
          <w:tab w:val="left" w:pos="1415"/>
        </w:tabs>
      </w:pPr>
    </w:p>
    <w:p w14:paraId="2544AE23" w14:textId="09797D89" w:rsidR="00722A12" w:rsidRPr="00CC2624" w:rsidRDefault="00722A12" w:rsidP="00CC2624">
      <w:pPr>
        <w:tabs>
          <w:tab w:val="left" w:pos="1415"/>
        </w:tabs>
      </w:pPr>
      <w:r>
        <w:rPr>
          <w:b/>
          <w:bCs/>
          <w:sz w:val="46"/>
          <w:szCs w:val="46"/>
        </w:rPr>
        <w:lastRenderedPageBreak/>
        <w:t>Reference List (Harvard Style)</w:t>
      </w:r>
    </w:p>
    <w:p w14:paraId="56D93155" w14:textId="77777777" w:rsidR="00722A12" w:rsidRDefault="00722A12" w:rsidP="00722A12">
      <w:pPr>
        <w:spacing w:before="240" w:after="240"/>
      </w:pPr>
      <w:r>
        <w:t>Arksey, H. and O’Malley, L. (2005) ‘Scoping studies: towards a methodological framework’, International Journal of Social Research Methodology, 8(1), pp. 19–32.</w:t>
      </w:r>
    </w:p>
    <w:p w14:paraId="654661B1" w14:textId="77777777" w:rsidR="00722A12" w:rsidRDefault="00722A12" w:rsidP="00722A12">
      <w:pPr>
        <w:spacing w:before="240" w:after="240"/>
      </w:pPr>
      <w:r>
        <w:t>Baginsky, M., Manthorpe, J. and Moriarty, J. (2020) ‘The impact of early help on children’s social care demand’, Child &amp; Family Social Work, 25(3), pp. 545–554.</w:t>
      </w:r>
    </w:p>
    <w:p w14:paraId="581EBF02" w14:textId="77777777" w:rsidR="00722A12" w:rsidRDefault="00722A12" w:rsidP="00722A12">
      <w:pPr>
        <w:spacing w:before="240" w:after="240"/>
      </w:pPr>
      <w:r>
        <w:t>Bronfenbrenner, U. (1979) The Ecology of Human Development. Cambridge, MA: Harvard University Press.</w:t>
      </w:r>
    </w:p>
    <w:p w14:paraId="2E92854C" w14:textId="77777777" w:rsidR="00722A12" w:rsidRDefault="00722A12" w:rsidP="00722A12">
      <w:pPr>
        <w:spacing w:before="240" w:after="240"/>
      </w:pPr>
      <w:r>
        <w:t>Bywaters, P., Brady, G., Sparks, T. and Bos, E. (2016) ‘Child welfare inequalities’, British Journal of Social Work, 46(7), pp. 1879–1895.</w:t>
      </w:r>
    </w:p>
    <w:p w14:paraId="461078B8" w14:textId="77777777" w:rsidR="00722A12" w:rsidRDefault="00722A12" w:rsidP="00722A12">
      <w:pPr>
        <w:spacing w:before="240" w:after="240"/>
      </w:pPr>
      <w:r>
        <w:t>Edwards, A., Barnes, M., Plewis, I. and Morris, K. (2017) ‘Working to prevent the social exclusion of children and families’, Children &amp; Society, 31(5), pp. 384–396.</w:t>
      </w:r>
    </w:p>
    <w:p w14:paraId="00F408F5" w14:textId="77777777" w:rsidR="00722A12" w:rsidRDefault="00722A12" w:rsidP="00722A12">
      <w:pPr>
        <w:spacing w:before="240" w:after="240"/>
      </w:pPr>
      <w:r>
        <w:t>Featherstone, B., White, S. and Morris, K. (2014) Re-Imagining Child Protection. Bristol: Policy Press.</w:t>
      </w:r>
    </w:p>
    <w:p w14:paraId="2D0857E0" w14:textId="77777777" w:rsidR="00722A12" w:rsidRDefault="00722A12" w:rsidP="00722A12">
      <w:pPr>
        <w:spacing w:before="240" w:after="240"/>
      </w:pPr>
      <w:r>
        <w:t>Featherstone, B., Gupta, A., Morris, K. and Warner, J. (2018) ‘Let’s stop feeding the risk monster’, British Journal of Social Work, 48(5), pp. 1232–1249.</w:t>
      </w:r>
    </w:p>
    <w:p w14:paraId="3420010C" w14:textId="77777777" w:rsidR="00722A12" w:rsidRDefault="00722A12" w:rsidP="00722A12">
      <w:pPr>
        <w:spacing w:before="240" w:after="240"/>
      </w:pPr>
      <w:r>
        <w:t>HM Government (2018) Working Together to Safeguard Children. London: HMSO.</w:t>
      </w:r>
    </w:p>
    <w:p w14:paraId="4AD4F214" w14:textId="77777777" w:rsidR="00722A12" w:rsidRDefault="00722A12" w:rsidP="00722A12">
      <w:pPr>
        <w:spacing w:before="240" w:after="240"/>
      </w:pPr>
      <w:r>
        <w:t>HM Government (2023) Working Together to Safeguard Children. London: HMSO.</w:t>
      </w:r>
    </w:p>
    <w:p w14:paraId="6657BAC0" w14:textId="77777777" w:rsidR="00722A12" w:rsidRDefault="00722A12" w:rsidP="00722A12">
      <w:pPr>
        <w:spacing w:before="240" w:after="240"/>
      </w:pPr>
      <w:r>
        <w:t>Morris, K., Mason, W., Featherstone, B. and Brady, G. (2018) ‘Understanding early help and support’, British Journal of Social Work, 48(7), pp. 2067–2084.</w:t>
      </w:r>
    </w:p>
    <w:p w14:paraId="4EA432DD" w14:textId="77777777" w:rsidR="00722A12" w:rsidRDefault="00722A12" w:rsidP="00722A12">
      <w:pPr>
        <w:spacing w:before="240" w:after="240"/>
      </w:pPr>
      <w:r>
        <w:t>Munro, E. (2011) The Munro Review of Child Protection. London: Department for Education.</w:t>
      </w:r>
    </w:p>
    <w:p w14:paraId="0C401D55" w14:textId="77777777" w:rsidR="00722A12" w:rsidRDefault="00722A12" w:rsidP="00722A12">
      <w:pPr>
        <w:spacing w:before="240" w:after="240"/>
      </w:pPr>
      <w:r>
        <w:t>Webb, C.J.R. and Bywaters, P. (2018) ‘Austerity, rationing and inequity in children’s services’, Local Government Studies, 44(3), pp. 391–415.</w:t>
      </w:r>
    </w:p>
    <w:p w14:paraId="784C617B" w14:textId="77777777" w:rsidR="00722A12" w:rsidRPr="00722A12" w:rsidRDefault="00722A12" w:rsidP="00722A12">
      <w:pPr>
        <w:tabs>
          <w:tab w:val="left" w:pos="1415"/>
        </w:tabs>
      </w:pPr>
    </w:p>
    <w:sectPr w:rsidR="00722A12" w:rsidRPr="00722A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AA7501"/>
    <w:multiLevelType w:val="hybridMultilevel"/>
    <w:tmpl w:val="D018A7C0"/>
    <w:lvl w:ilvl="0" w:tplc="20000001">
      <w:start w:val="1"/>
      <w:numFmt w:val="bullet"/>
      <w:lvlText w:val=""/>
      <w:lvlJc w:val="left"/>
      <w:pPr>
        <w:ind w:left="1440" w:hanging="360"/>
      </w:pPr>
      <w:rPr>
        <w:rFonts w:ascii="Symbol" w:hAnsi="Symbol" w:hint="default"/>
      </w:rPr>
    </w:lvl>
    <w:lvl w:ilvl="1" w:tplc="20000003" w:tentative="1">
      <w:start w:val="1"/>
      <w:numFmt w:val="bullet"/>
      <w:lvlText w:val="o"/>
      <w:lvlJc w:val="left"/>
      <w:pPr>
        <w:ind w:left="2160" w:hanging="360"/>
      </w:pPr>
      <w:rPr>
        <w:rFonts w:ascii="Courier New" w:hAnsi="Courier New" w:cs="Courier New" w:hint="default"/>
      </w:rPr>
    </w:lvl>
    <w:lvl w:ilvl="2" w:tplc="20000005" w:tentative="1">
      <w:start w:val="1"/>
      <w:numFmt w:val="bullet"/>
      <w:lvlText w:val=""/>
      <w:lvlJc w:val="left"/>
      <w:pPr>
        <w:ind w:left="2880" w:hanging="360"/>
      </w:pPr>
      <w:rPr>
        <w:rFonts w:ascii="Wingdings" w:hAnsi="Wingdings" w:hint="default"/>
      </w:rPr>
    </w:lvl>
    <w:lvl w:ilvl="3" w:tplc="20000001" w:tentative="1">
      <w:start w:val="1"/>
      <w:numFmt w:val="bullet"/>
      <w:lvlText w:val=""/>
      <w:lvlJc w:val="left"/>
      <w:pPr>
        <w:ind w:left="3600" w:hanging="360"/>
      </w:pPr>
      <w:rPr>
        <w:rFonts w:ascii="Symbol" w:hAnsi="Symbol" w:hint="default"/>
      </w:rPr>
    </w:lvl>
    <w:lvl w:ilvl="4" w:tplc="20000003" w:tentative="1">
      <w:start w:val="1"/>
      <w:numFmt w:val="bullet"/>
      <w:lvlText w:val="o"/>
      <w:lvlJc w:val="left"/>
      <w:pPr>
        <w:ind w:left="4320" w:hanging="360"/>
      </w:pPr>
      <w:rPr>
        <w:rFonts w:ascii="Courier New" w:hAnsi="Courier New" w:cs="Courier New" w:hint="default"/>
      </w:rPr>
    </w:lvl>
    <w:lvl w:ilvl="5" w:tplc="20000005" w:tentative="1">
      <w:start w:val="1"/>
      <w:numFmt w:val="bullet"/>
      <w:lvlText w:val=""/>
      <w:lvlJc w:val="left"/>
      <w:pPr>
        <w:ind w:left="5040" w:hanging="360"/>
      </w:pPr>
      <w:rPr>
        <w:rFonts w:ascii="Wingdings" w:hAnsi="Wingdings" w:hint="default"/>
      </w:rPr>
    </w:lvl>
    <w:lvl w:ilvl="6" w:tplc="20000001" w:tentative="1">
      <w:start w:val="1"/>
      <w:numFmt w:val="bullet"/>
      <w:lvlText w:val=""/>
      <w:lvlJc w:val="left"/>
      <w:pPr>
        <w:ind w:left="5760" w:hanging="360"/>
      </w:pPr>
      <w:rPr>
        <w:rFonts w:ascii="Symbol" w:hAnsi="Symbol" w:hint="default"/>
      </w:rPr>
    </w:lvl>
    <w:lvl w:ilvl="7" w:tplc="20000003" w:tentative="1">
      <w:start w:val="1"/>
      <w:numFmt w:val="bullet"/>
      <w:lvlText w:val="o"/>
      <w:lvlJc w:val="left"/>
      <w:pPr>
        <w:ind w:left="6480" w:hanging="360"/>
      </w:pPr>
      <w:rPr>
        <w:rFonts w:ascii="Courier New" w:hAnsi="Courier New" w:cs="Courier New" w:hint="default"/>
      </w:rPr>
    </w:lvl>
    <w:lvl w:ilvl="8" w:tplc="20000005" w:tentative="1">
      <w:start w:val="1"/>
      <w:numFmt w:val="bullet"/>
      <w:lvlText w:val=""/>
      <w:lvlJc w:val="left"/>
      <w:pPr>
        <w:ind w:left="7200" w:hanging="360"/>
      </w:pPr>
      <w:rPr>
        <w:rFonts w:ascii="Wingdings" w:hAnsi="Wingdings" w:hint="default"/>
      </w:rPr>
    </w:lvl>
  </w:abstractNum>
  <w:abstractNum w:abstractNumId="1" w15:restartNumberingAfterBreak="0">
    <w:nsid w:val="10B80AA0"/>
    <w:multiLevelType w:val="hybridMultilevel"/>
    <w:tmpl w:val="386C077E"/>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26DD3331"/>
    <w:multiLevelType w:val="hybridMultilevel"/>
    <w:tmpl w:val="387AEEAE"/>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2B494B41"/>
    <w:multiLevelType w:val="hybridMultilevel"/>
    <w:tmpl w:val="65585036"/>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33D94851"/>
    <w:multiLevelType w:val="hybridMultilevel"/>
    <w:tmpl w:val="7624CC70"/>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34D87F7F"/>
    <w:multiLevelType w:val="hybridMultilevel"/>
    <w:tmpl w:val="DE7CE8B2"/>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42FD1BC6"/>
    <w:multiLevelType w:val="hybridMultilevel"/>
    <w:tmpl w:val="6F3E3FA0"/>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7" w15:restartNumberingAfterBreak="0">
    <w:nsid w:val="489E28DB"/>
    <w:multiLevelType w:val="multilevel"/>
    <w:tmpl w:val="48380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BCA40C1"/>
    <w:multiLevelType w:val="hybridMultilevel"/>
    <w:tmpl w:val="AA5E5442"/>
    <w:lvl w:ilvl="0" w:tplc="FFFFFFFF">
      <w:start w:val="1"/>
      <w:numFmt w:val="bullet"/>
      <w:lvlText w:val=""/>
      <w:lvlJc w:val="left"/>
      <w:pPr>
        <w:ind w:left="720" w:hanging="360"/>
      </w:pPr>
      <w:rPr>
        <w:rFonts w:ascii="Symbol" w:hAnsi="Symbol" w:hint="default"/>
      </w:rPr>
    </w:lvl>
    <w:lvl w:ilvl="1" w:tplc="2000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502972B1"/>
    <w:multiLevelType w:val="multilevel"/>
    <w:tmpl w:val="732A8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F980234"/>
    <w:multiLevelType w:val="hybridMultilevel"/>
    <w:tmpl w:val="59EC3BAA"/>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1" w15:restartNumberingAfterBreak="0">
    <w:nsid w:val="73B817E6"/>
    <w:multiLevelType w:val="multilevel"/>
    <w:tmpl w:val="1FE05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58A0946"/>
    <w:multiLevelType w:val="multilevel"/>
    <w:tmpl w:val="D5F49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5BA3CFE"/>
    <w:multiLevelType w:val="hybridMultilevel"/>
    <w:tmpl w:val="3C584BA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4" w15:restartNumberingAfterBreak="0">
    <w:nsid w:val="7B7D39E8"/>
    <w:multiLevelType w:val="multilevel"/>
    <w:tmpl w:val="7E3AF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76875719">
    <w:abstractNumId w:val="7"/>
  </w:num>
  <w:num w:numId="2" w16cid:durableId="2076927889">
    <w:abstractNumId w:val="9"/>
  </w:num>
  <w:num w:numId="3" w16cid:durableId="1563326805">
    <w:abstractNumId w:val="11"/>
  </w:num>
  <w:num w:numId="4" w16cid:durableId="2048948469">
    <w:abstractNumId w:val="14"/>
  </w:num>
  <w:num w:numId="5" w16cid:durableId="1584609765">
    <w:abstractNumId w:val="12"/>
  </w:num>
  <w:num w:numId="6" w16cid:durableId="174226657">
    <w:abstractNumId w:val="1"/>
  </w:num>
  <w:num w:numId="7" w16cid:durableId="2024360543">
    <w:abstractNumId w:val="8"/>
  </w:num>
  <w:num w:numId="8" w16cid:durableId="299455655">
    <w:abstractNumId w:val="10"/>
  </w:num>
  <w:num w:numId="9" w16cid:durableId="611017829">
    <w:abstractNumId w:val="4"/>
  </w:num>
  <w:num w:numId="10" w16cid:durableId="497617060">
    <w:abstractNumId w:val="3"/>
  </w:num>
  <w:num w:numId="11" w16cid:durableId="1637293541">
    <w:abstractNumId w:val="0"/>
  </w:num>
  <w:num w:numId="12" w16cid:durableId="1062632343">
    <w:abstractNumId w:val="5"/>
  </w:num>
  <w:num w:numId="13" w16cid:durableId="648051911">
    <w:abstractNumId w:val="6"/>
  </w:num>
  <w:num w:numId="14" w16cid:durableId="1737581935">
    <w:abstractNumId w:val="2"/>
  </w:num>
  <w:num w:numId="15" w16cid:durableId="107586021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A12"/>
    <w:rsid w:val="002B281D"/>
    <w:rsid w:val="00722A12"/>
    <w:rsid w:val="00865F81"/>
    <w:rsid w:val="008E0C61"/>
    <w:rsid w:val="00CC2624"/>
    <w:rsid w:val="00E032C9"/>
    <w:rsid w:val="00E33773"/>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32F92"/>
  <w15:chartTrackingRefBased/>
  <w15:docId w15:val="{439F4ABF-F464-4DC5-A564-6E871E62C0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PK"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2A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2A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2A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2A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2A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2A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2A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2A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2A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2A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2A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2A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2A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2A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2A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2A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2A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2A12"/>
    <w:rPr>
      <w:rFonts w:eastAsiaTheme="majorEastAsia" w:cstheme="majorBidi"/>
      <w:color w:val="272727" w:themeColor="text1" w:themeTint="D8"/>
    </w:rPr>
  </w:style>
  <w:style w:type="paragraph" w:styleId="Title">
    <w:name w:val="Title"/>
    <w:basedOn w:val="Normal"/>
    <w:next w:val="Normal"/>
    <w:link w:val="TitleChar"/>
    <w:uiPriority w:val="10"/>
    <w:qFormat/>
    <w:rsid w:val="00722A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2A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2A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2A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2A12"/>
    <w:pPr>
      <w:spacing w:before="160"/>
      <w:jc w:val="center"/>
    </w:pPr>
    <w:rPr>
      <w:i/>
      <w:iCs/>
      <w:color w:val="404040" w:themeColor="text1" w:themeTint="BF"/>
    </w:rPr>
  </w:style>
  <w:style w:type="character" w:customStyle="1" w:styleId="QuoteChar">
    <w:name w:val="Quote Char"/>
    <w:basedOn w:val="DefaultParagraphFont"/>
    <w:link w:val="Quote"/>
    <w:uiPriority w:val="29"/>
    <w:rsid w:val="00722A12"/>
    <w:rPr>
      <w:i/>
      <w:iCs/>
      <w:color w:val="404040" w:themeColor="text1" w:themeTint="BF"/>
    </w:rPr>
  </w:style>
  <w:style w:type="paragraph" w:styleId="ListParagraph">
    <w:name w:val="List Paragraph"/>
    <w:basedOn w:val="Normal"/>
    <w:uiPriority w:val="34"/>
    <w:qFormat/>
    <w:rsid w:val="00722A12"/>
    <w:pPr>
      <w:ind w:left="720"/>
      <w:contextualSpacing/>
    </w:pPr>
  </w:style>
  <w:style w:type="character" w:styleId="IntenseEmphasis">
    <w:name w:val="Intense Emphasis"/>
    <w:basedOn w:val="DefaultParagraphFont"/>
    <w:uiPriority w:val="21"/>
    <w:qFormat/>
    <w:rsid w:val="00722A12"/>
    <w:rPr>
      <w:i/>
      <w:iCs/>
      <w:color w:val="0F4761" w:themeColor="accent1" w:themeShade="BF"/>
    </w:rPr>
  </w:style>
  <w:style w:type="paragraph" w:styleId="IntenseQuote">
    <w:name w:val="Intense Quote"/>
    <w:basedOn w:val="Normal"/>
    <w:next w:val="Normal"/>
    <w:link w:val="IntenseQuoteChar"/>
    <w:uiPriority w:val="30"/>
    <w:qFormat/>
    <w:rsid w:val="00722A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2A12"/>
    <w:rPr>
      <w:i/>
      <w:iCs/>
      <w:color w:val="0F4761" w:themeColor="accent1" w:themeShade="BF"/>
    </w:rPr>
  </w:style>
  <w:style w:type="character" w:styleId="IntenseReference">
    <w:name w:val="Intense Reference"/>
    <w:basedOn w:val="DefaultParagraphFont"/>
    <w:uiPriority w:val="32"/>
    <w:qFormat/>
    <w:rsid w:val="00722A1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TotalTime>
  <Pages>13</Pages>
  <Words>4994</Words>
  <Characters>28469</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Haris</dc:creator>
  <cp:keywords/>
  <dc:description/>
  <cp:lastModifiedBy>Muhammad Haris</cp:lastModifiedBy>
  <cp:revision>2</cp:revision>
  <dcterms:created xsi:type="dcterms:W3CDTF">2026-02-12T18:31:00Z</dcterms:created>
  <dcterms:modified xsi:type="dcterms:W3CDTF">2026-02-12T19:11:00Z</dcterms:modified>
</cp:coreProperties>
</file>